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FA" w:rsidRDefault="004A492B">
      <w:pPr>
        <w:jc w:val="center"/>
        <w:rPr>
          <w:rFonts w:ascii="方正小标宋_GBK" w:eastAsia="方正小标宋_GBK" w:hAnsi="仿宋_GB2312" w:cs="仿宋_GB2312"/>
          <w:b/>
          <w:bCs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重庆城市综合交通枢纽(集团)有限公司</w:t>
      </w:r>
    </w:p>
    <w:p w:rsidR="00A037FA" w:rsidRDefault="004A492B">
      <w:pPr>
        <w:tabs>
          <w:tab w:val="left" w:pos="-7488"/>
        </w:tabs>
        <w:ind w:rightChars="291" w:right="611"/>
        <w:jc w:val="center"/>
        <w:rPr>
          <w:rFonts w:ascii="方正小标宋_GBK" w:eastAsia="方正小标宋_GBK" w:hAnsi="仿宋_GB2312" w:cs="仿宋_GB2312"/>
          <w:b/>
          <w:bCs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关于枢纽智能数据中心（</w:t>
      </w:r>
      <w:r>
        <w:rPr>
          <w:rFonts w:ascii="方正小标宋_GBK" w:eastAsia="方正小标宋_GBK" w:hAnsi="仿宋_GB2312" w:cs="仿宋_GB2312"/>
          <w:b/>
          <w:bCs/>
          <w:sz w:val="36"/>
          <w:szCs w:val="36"/>
        </w:rPr>
        <w:t>O11-3）</w:t>
      </w:r>
      <w:r>
        <w:rPr>
          <w:rFonts w:ascii="方正小标宋_GBK" w:eastAsia="方正小标宋_GBK" w:hAnsi="仿宋_GB2312" w:cs="仿宋_GB2312" w:hint="eastAsia"/>
          <w:b/>
          <w:bCs/>
          <w:sz w:val="36"/>
          <w:szCs w:val="36"/>
        </w:rPr>
        <w:t>地块功能优化研究方案工作实施单位比选文件邀请函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>被邀请单位名称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：</w:t>
      </w:r>
    </w:p>
    <w:p w:rsidR="00A037FA" w:rsidRDefault="004A492B">
      <w:p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我司拟对枢纽智能数据中心（</w:t>
      </w:r>
      <w:r>
        <w:rPr>
          <w:rFonts w:ascii="方正仿宋_GBK" w:eastAsia="方正仿宋_GBK" w:hAnsi="仿宋_GB2312" w:cs="仿宋_GB2312"/>
          <w:sz w:val="28"/>
          <w:szCs w:val="28"/>
        </w:rPr>
        <w:t>O11-3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）项目地块功能优化研究方案开展相关工作。本次地块功能优化研究方案工作实施单位的确定将采用公开</w:t>
      </w:r>
      <w:r w:rsidR="00FD7820">
        <w:rPr>
          <w:rFonts w:ascii="方正仿宋_GBK" w:eastAsia="方正仿宋_GBK" w:hAnsi="仿宋_GB2312" w:cs="仿宋_GB2312" w:hint="eastAsia"/>
          <w:sz w:val="28"/>
          <w:szCs w:val="28"/>
        </w:rPr>
        <w:t>竞争性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比选方式进行。现邀请贵单位作为潜在</w:t>
      </w:r>
      <w:r w:rsidR="001A6F4A">
        <w:rPr>
          <w:rFonts w:ascii="方正仿宋_GBK" w:eastAsia="方正仿宋_GBK" w:hAnsi="仿宋_GB2312" w:cs="仿宋_GB2312" w:hint="eastAsia"/>
          <w:sz w:val="28"/>
          <w:szCs w:val="28"/>
        </w:rPr>
        <w:t>竞选</w:t>
      </w:r>
      <w:r w:rsidR="00FD7820">
        <w:rPr>
          <w:rFonts w:ascii="方正仿宋_GBK" w:eastAsia="方正仿宋_GBK" w:hAnsi="仿宋_GB2312" w:cs="仿宋_GB2312" w:hint="eastAsia"/>
          <w:sz w:val="28"/>
          <w:szCs w:val="28"/>
        </w:rPr>
        <w:t>人之一参加报价和比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选。具体项目情况如下： </w:t>
      </w:r>
    </w:p>
    <w:tbl>
      <w:tblPr>
        <w:tblStyle w:val="a7"/>
        <w:tblW w:w="8897" w:type="dxa"/>
        <w:tblLayout w:type="fixed"/>
        <w:tblLook w:val="04A0"/>
      </w:tblPr>
      <w:tblGrid>
        <w:gridCol w:w="1951"/>
        <w:gridCol w:w="6946"/>
      </w:tblGrid>
      <w:tr w:rsidR="00A037FA">
        <w:trPr>
          <w:trHeight w:hRule="exact" w:val="567"/>
        </w:trPr>
        <w:tc>
          <w:tcPr>
            <w:tcW w:w="8897" w:type="dxa"/>
            <w:gridSpan w:val="2"/>
            <w:vAlign w:val="center"/>
          </w:tcPr>
          <w:p w:rsidR="00A037FA" w:rsidRPr="0065380D" w:rsidRDefault="004A492B">
            <w:pPr>
              <w:rPr>
                <w:rFonts w:ascii="方正仿宋_GBK" w:eastAsia="方正仿宋_GBK" w:hAnsi="仿宋_GB2312" w:cs="仿宋_GB2312"/>
                <w:b/>
                <w:sz w:val="24"/>
                <w:szCs w:val="24"/>
              </w:rPr>
            </w:pPr>
            <w:r w:rsidRPr="0065380D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一、</w:t>
            </w:r>
            <w:r w:rsidRPr="0065380D">
              <w:rPr>
                <w:rFonts w:ascii="方正仿宋_GBK" w:eastAsia="方正仿宋_GBK" w:hAnsi="仿宋_GB2312" w:cs="仿宋_GB2312" w:hint="eastAsia"/>
                <w:b/>
                <w:sz w:val="24"/>
                <w:szCs w:val="24"/>
              </w:rPr>
              <w:t xml:space="preserve">项目概况 </w:t>
            </w:r>
          </w:p>
          <w:p w:rsidR="00A037FA" w:rsidRDefault="00A037FA">
            <w:pPr>
              <w:rPr>
                <w:sz w:val="24"/>
                <w:szCs w:val="24"/>
              </w:rPr>
            </w:pPr>
          </w:p>
        </w:tc>
      </w:tr>
      <w:tr w:rsidR="00A037FA" w:rsidTr="00954FAC">
        <w:trPr>
          <w:trHeight w:hRule="exact" w:val="685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tabs>
                <w:tab w:val="left" w:pos="-7488"/>
              </w:tabs>
              <w:ind w:rightChars="291" w:right="611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枢纽智能数据中心（O11-3）项目地块功能优化研究方案</w:t>
            </w:r>
          </w:p>
        </w:tc>
      </w:tr>
      <w:tr w:rsidR="00A037FA" w:rsidTr="00954FAC">
        <w:trPr>
          <w:trHeight w:hRule="exact" w:val="566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项目费用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snapToGrid w:val="0"/>
              <w:spacing w:line="300" w:lineRule="auto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总价最高限价30万元；</w:t>
            </w:r>
          </w:p>
        </w:tc>
      </w:tr>
      <w:tr w:rsidR="00A037FA" w:rsidTr="00954FAC">
        <w:trPr>
          <w:trHeight w:hRule="exact" w:val="5096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项目具体概况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tabs>
                <w:tab w:val="left" w:pos="-7488"/>
              </w:tabs>
              <w:ind w:rightChars="291" w:right="611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1、将枢纽智能数据中心（O11-3）地块用地性质由轨道交通用地兼容公共交通场站用地（S2S41）修改为科研用地兼容公共交通场站用地（A35S41），面积0.74公顷，容积率由4.0调减为1.5（公共交通场站建筑规模不计入容积率）。</w:t>
            </w:r>
          </w:p>
          <w:p w:rsidR="00A037FA" w:rsidRDefault="004A492B">
            <w:pPr>
              <w:tabs>
                <w:tab w:val="left" w:pos="-7488"/>
              </w:tabs>
              <w:ind w:rightChars="291" w:right="611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2、研究此地块轨道交通性质取消的可行性，提出配套公交首末站开口与建筑方案开口的协调布局方案。</w:t>
            </w:r>
          </w:p>
          <w:p w:rsidR="00A037FA" w:rsidRDefault="004A492B">
            <w:pPr>
              <w:tabs>
                <w:tab w:val="left" w:pos="-7488"/>
              </w:tabs>
              <w:ind w:rightChars="291" w:right="611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3、分析该项目所在街区单元中相关公共服务配套设施的布局情况，对接分区规划对该地块的相关要求。</w:t>
            </w:r>
          </w:p>
        </w:tc>
      </w:tr>
      <w:tr w:rsidR="00A037FA" w:rsidTr="00954FAC">
        <w:trPr>
          <w:trHeight w:hRule="exact" w:val="1838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工期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合同签订后</w:t>
            </w:r>
            <w:r>
              <w:rPr>
                <w:rFonts w:ascii="方正仿宋_GBK" w:eastAsia="方正仿宋_GBK" w:hAnsi="仿宋_GB2312" w:cs="仿宋_GB2312"/>
                <w:sz w:val="24"/>
                <w:szCs w:val="24"/>
              </w:rPr>
              <w:t>15天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内提供成果，在两江管委会调规申请、枢纽集团设计方案、三维仿真等要件齐全的基础上，1个月内配合完成调规审查并进行公示。</w:t>
            </w:r>
          </w:p>
        </w:tc>
      </w:tr>
      <w:tr w:rsidR="00A037FA">
        <w:trPr>
          <w:trHeight w:hRule="exact" w:val="713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★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预计开展时间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snapToGrid w:val="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在合同签订后5个工作日内开展</w:t>
            </w:r>
          </w:p>
        </w:tc>
      </w:tr>
      <w:tr w:rsidR="00A037FA">
        <w:trPr>
          <w:trHeight w:hRule="exact" w:val="567"/>
        </w:trPr>
        <w:tc>
          <w:tcPr>
            <w:tcW w:w="8897" w:type="dxa"/>
            <w:gridSpan w:val="2"/>
            <w:vAlign w:val="center"/>
          </w:tcPr>
          <w:p w:rsidR="00A037FA" w:rsidRPr="0065380D" w:rsidRDefault="004A492B">
            <w:pPr>
              <w:rPr>
                <w:rFonts w:ascii="方正仿宋_GBK" w:eastAsia="方正仿宋_GBK" w:hAnsi="仿宋_GB2312" w:cs="仿宋_GB2312"/>
                <w:b/>
                <w:sz w:val="24"/>
                <w:szCs w:val="24"/>
              </w:rPr>
            </w:pPr>
            <w:r w:rsidRPr="0065380D">
              <w:rPr>
                <w:rFonts w:ascii="方正仿宋_GBK" w:eastAsia="方正仿宋_GBK" w:hAnsi="仿宋_GB2312" w:cs="仿宋_GB2312" w:hint="eastAsia"/>
                <w:b/>
                <w:sz w:val="24"/>
                <w:szCs w:val="24"/>
              </w:rPr>
              <w:t>二、</w:t>
            </w:r>
            <w:r w:rsidR="001A6F4A" w:rsidRPr="0065380D">
              <w:rPr>
                <w:rFonts w:ascii="方正仿宋_GBK" w:eastAsia="方正仿宋_GBK" w:hAnsi="仿宋_GB2312" w:cs="仿宋_GB2312" w:hint="eastAsia"/>
                <w:b/>
                <w:sz w:val="28"/>
                <w:szCs w:val="28"/>
              </w:rPr>
              <w:t>竞选</w:t>
            </w:r>
            <w:r w:rsidRPr="0065380D">
              <w:rPr>
                <w:rFonts w:ascii="方正仿宋_GBK" w:eastAsia="方正仿宋_GBK" w:hAnsi="仿宋_GB2312" w:cs="仿宋_GB2312" w:hint="eastAsia"/>
                <w:b/>
                <w:sz w:val="24"/>
                <w:szCs w:val="24"/>
              </w:rPr>
              <w:t>人须知</w:t>
            </w:r>
          </w:p>
        </w:tc>
      </w:tr>
      <w:tr w:rsidR="00A037FA" w:rsidTr="00954FAC">
        <w:trPr>
          <w:trHeight w:hRule="exact" w:val="4395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</w:t>
            </w:r>
            <w:r w:rsidR="001A6F4A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竞选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范围及内容</w:t>
            </w:r>
          </w:p>
        </w:tc>
        <w:tc>
          <w:tcPr>
            <w:tcW w:w="6946" w:type="dxa"/>
            <w:vAlign w:val="center"/>
          </w:tcPr>
          <w:p w:rsidR="00A037FA" w:rsidRPr="005C25D3" w:rsidRDefault="004A492B">
            <w:pPr>
              <w:spacing w:line="600" w:lineRule="exact"/>
              <w:ind w:firstLineChars="200" w:firstLine="480"/>
              <w:jc w:val="lef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 w:rsidRPr="005C25D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1.将O11-3地块用地性质由轨道交通用地兼容公共交通场站用地（S2S41）修改为科研用地兼容公共交通场站用地（A35S41），面积0.74公顷，容积率由4.0调减为1.5（公共交通场站建筑规模不计入容积率）。2.研究此地块轨道交通性质取消的可行性</w:t>
            </w:r>
            <w:r w:rsidRPr="005C25D3">
              <w:rPr>
                <w:rFonts w:eastAsia="方正仿宋_GBK" w:hint="eastAsia"/>
                <w:color w:val="000000" w:themeColor="text1"/>
                <w:sz w:val="24"/>
                <w:szCs w:val="24"/>
              </w:rPr>
              <w:t>，</w:t>
            </w:r>
            <w:r w:rsidRPr="005C25D3"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提出配套公交首末站开口与建筑方案开口的协调布局方案。3.分析该项目所在街区单元中相关公共服务配套设施的布局情况，对接分区规划对该地块的相关要求。</w:t>
            </w:r>
            <w:bookmarkStart w:id="0" w:name="_GoBack"/>
            <w:bookmarkEnd w:id="0"/>
          </w:p>
        </w:tc>
      </w:tr>
      <w:tr w:rsidR="00A037FA" w:rsidTr="00954FAC">
        <w:trPr>
          <w:trHeight w:hRule="exact" w:val="1139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</w:t>
            </w:r>
            <w:r w:rsidR="001A6F4A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竞选</w:t>
            </w: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人资格要求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比选申请人应具备城乡规划编制乙级及以上资质。</w:t>
            </w:r>
          </w:p>
        </w:tc>
      </w:tr>
      <w:tr w:rsidR="00A037FA" w:rsidTr="00954FAC">
        <w:trPr>
          <w:trHeight w:hRule="exact" w:val="1838"/>
        </w:trPr>
        <w:tc>
          <w:tcPr>
            <w:tcW w:w="1951" w:type="dxa"/>
            <w:vAlign w:val="center"/>
          </w:tcPr>
          <w:p w:rsidR="00A037FA" w:rsidRDefault="004A492B">
            <w:pPr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★比选文件递交时间、地点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递交时间：于</w:t>
            </w:r>
            <w:r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 xml:space="preserve">3年 </w:t>
            </w:r>
            <w:r w:rsidR="00CB3B3E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 xml:space="preserve">月 </w:t>
            </w:r>
            <w:r w:rsidR="002A7976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日</w:t>
            </w:r>
            <w:r w:rsidR="00931442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 xml:space="preserve"> 时</w:t>
            </w:r>
            <w:r w:rsidR="00F34EEC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3</w:t>
            </w:r>
            <w:r w:rsidR="00931442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 xml:space="preserve"> 分截止。    </w:t>
            </w:r>
          </w:p>
          <w:p w:rsidR="00A037FA" w:rsidRDefault="004A492B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递交地点：重庆市两江新区泰山大道东段梧桐路6号（交通开投大厦</w:t>
            </w:r>
            <w:r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206室）</w:t>
            </w:r>
          </w:p>
          <w:p w:rsidR="00A037FA" w:rsidRDefault="004A492B" w:rsidP="002A7976">
            <w:pPr>
              <w:snapToGrid w:val="0"/>
              <w:ind w:firstLineChars="200" w:firstLine="48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 xml:space="preserve">比选时间： 于 </w:t>
            </w:r>
            <w:r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3年</w:t>
            </w:r>
            <w:r w:rsidR="00CB3B3E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 w:rsidR="002A7976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日</w:t>
            </w:r>
            <w:r w:rsidR="00CB3B3E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 xml:space="preserve"> 时</w:t>
            </w:r>
            <w:r w:rsidR="00CB3B3E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3</w:t>
            </w:r>
            <w:r w:rsidR="00F34EEC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037FA" w:rsidTr="00954FAC">
        <w:trPr>
          <w:trHeight w:hRule="exact" w:val="974"/>
        </w:trPr>
        <w:tc>
          <w:tcPr>
            <w:tcW w:w="1951" w:type="dxa"/>
            <w:vMerge w:val="restart"/>
            <w:vAlign w:val="center"/>
          </w:tcPr>
          <w:p w:rsidR="00A037FA" w:rsidRDefault="004A492B">
            <w:pPr>
              <w:spacing w:line="44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★限价及比选报价要求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snapToGrid w:val="0"/>
              <w:ind w:firstLine="560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限价：枢纽智能数据中心（O11-3）项目地块功能优化研究方案费用总价最高限价30万元。</w:t>
            </w:r>
          </w:p>
        </w:tc>
      </w:tr>
      <w:tr w:rsidR="00A037FA">
        <w:trPr>
          <w:trHeight w:hRule="exact" w:val="1850"/>
        </w:trPr>
        <w:tc>
          <w:tcPr>
            <w:tcW w:w="1951" w:type="dxa"/>
            <w:vMerge/>
            <w:vAlign w:val="center"/>
          </w:tcPr>
          <w:p w:rsidR="00A037FA" w:rsidRDefault="00A037FA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037FA" w:rsidRDefault="004A492B">
            <w:pPr>
              <w:spacing w:line="440" w:lineRule="exact"/>
              <w:ind w:firstLine="56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比选报价要求：本次比选报价为全费用包干，包含但不限于人工费、材料费、企业管理费、利润、风险费用、检测费、赶工补偿费、水电费、税金以及本工程备案与验收、其他风险等相关手续的所有费用。</w:t>
            </w:r>
          </w:p>
          <w:p w:rsidR="00A037FA" w:rsidRDefault="00A037FA">
            <w:pPr>
              <w:spacing w:line="440" w:lineRule="exac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A037FA" w:rsidTr="00954FAC">
        <w:trPr>
          <w:trHeight w:hRule="exact" w:val="1850"/>
        </w:trPr>
        <w:tc>
          <w:tcPr>
            <w:tcW w:w="1951" w:type="dxa"/>
            <w:vAlign w:val="center"/>
          </w:tcPr>
          <w:p w:rsidR="00A037FA" w:rsidRDefault="004A492B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费用支付方式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1、合同签订后向乙方支付合同金额的20%，乙方提交正式成果并配合调规入库后再向乙方支付剩余合同金额的</w:t>
            </w:r>
            <w:r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0%。</w:t>
            </w:r>
          </w:p>
          <w:p w:rsidR="00A037FA" w:rsidRDefault="004A492B">
            <w:pPr>
              <w:spacing w:line="440" w:lineRule="exac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2、该费用乙方按甲方税收征管要求出具增值税专用发票后，再进行支付。</w:t>
            </w:r>
          </w:p>
        </w:tc>
      </w:tr>
      <w:tr w:rsidR="00A037FA" w:rsidTr="00954FAC">
        <w:trPr>
          <w:trHeight w:hRule="exact" w:val="1002"/>
        </w:trPr>
        <w:tc>
          <w:tcPr>
            <w:tcW w:w="1951" w:type="dxa"/>
            <w:vAlign w:val="center"/>
          </w:tcPr>
          <w:p w:rsidR="00A037FA" w:rsidRDefault="004A492B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lastRenderedPageBreak/>
              <w:t>其他需告知</w:t>
            </w:r>
            <w:r w:rsidR="001A6F4A" w:rsidRPr="001A6F4A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竞选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人的要求</w:t>
            </w:r>
          </w:p>
        </w:tc>
        <w:tc>
          <w:tcPr>
            <w:tcW w:w="6946" w:type="dxa"/>
            <w:vAlign w:val="center"/>
          </w:tcPr>
          <w:p w:rsidR="00A037FA" w:rsidRDefault="004A492B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后附合同模板，仅供参考，具体款项根据实际情况做出调整。</w:t>
            </w:r>
          </w:p>
        </w:tc>
      </w:tr>
      <w:tr w:rsidR="00A037FA">
        <w:trPr>
          <w:trHeight w:hRule="exact" w:val="567"/>
        </w:trPr>
        <w:tc>
          <w:tcPr>
            <w:tcW w:w="8897" w:type="dxa"/>
            <w:gridSpan w:val="2"/>
            <w:vAlign w:val="center"/>
          </w:tcPr>
          <w:p w:rsidR="00A037FA" w:rsidRPr="0065380D" w:rsidRDefault="004A492B">
            <w:pPr>
              <w:spacing w:line="440" w:lineRule="exact"/>
              <w:rPr>
                <w:b/>
                <w:color w:val="000000" w:themeColor="text1"/>
                <w:sz w:val="24"/>
                <w:szCs w:val="24"/>
              </w:rPr>
            </w:pPr>
            <w:r w:rsidRPr="0065380D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</w:rPr>
              <w:t>★</w:t>
            </w:r>
            <w:r w:rsidRPr="0065380D">
              <w:rPr>
                <w:rFonts w:ascii="方正仿宋_GBK" w:eastAsia="方正仿宋_GBK" w:hAnsi="仿宋_GB2312" w:cs="仿宋_GB2312" w:hint="eastAsia"/>
                <w:b/>
                <w:color w:val="000000" w:themeColor="text1"/>
                <w:sz w:val="24"/>
                <w:szCs w:val="24"/>
              </w:rPr>
              <w:t>三、评选、定选方式</w:t>
            </w:r>
          </w:p>
        </w:tc>
      </w:tr>
      <w:tr w:rsidR="00A037FA" w:rsidTr="00954FAC">
        <w:trPr>
          <w:trHeight w:hRule="exact" w:val="1876"/>
        </w:trPr>
        <w:tc>
          <w:tcPr>
            <w:tcW w:w="8897" w:type="dxa"/>
            <w:gridSpan w:val="2"/>
            <w:vAlign w:val="center"/>
          </w:tcPr>
          <w:p w:rsidR="00A037FA" w:rsidRDefault="004A492B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当众开封查验响应性文件，宣读报价书，委托代理人签字确认报价后离场，评选小组对比选文件进行评审，</w:t>
            </w: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在满足比选文件邀请函要求的情况下，所有</w:t>
            </w:r>
            <w:r w:rsidR="001A6F4A" w:rsidRPr="001A6F4A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竞选</w:t>
            </w:r>
            <w:r w:rsidRPr="001A6F4A"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综合评分最高的</w:t>
            </w: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比选单位为第一候选单位，对未中选情况不做解释。</w:t>
            </w: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（注：报价高于最高限价的及资质业绩不符合要求的为废标，不参与评选）</w:t>
            </w:r>
          </w:p>
        </w:tc>
      </w:tr>
      <w:tr w:rsidR="00A037FA">
        <w:trPr>
          <w:trHeight w:hRule="exact" w:val="567"/>
        </w:trPr>
        <w:tc>
          <w:tcPr>
            <w:tcW w:w="8897" w:type="dxa"/>
            <w:gridSpan w:val="2"/>
            <w:vAlign w:val="center"/>
          </w:tcPr>
          <w:p w:rsidR="00A037FA" w:rsidRDefault="004A492B">
            <w:pPr>
              <w:spacing w:line="4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65380D">
              <w:rPr>
                <w:rFonts w:ascii="方正仿宋_GBK" w:eastAsia="方正仿宋_GBK" w:hAnsi="仿宋_GB2312" w:cs="仿宋_GB2312" w:hint="eastAsia"/>
                <w:b/>
                <w:color w:val="000000" w:themeColor="text1"/>
                <w:sz w:val="24"/>
                <w:szCs w:val="24"/>
              </w:rPr>
              <w:t>四、评选标准</w:t>
            </w:r>
          </w:p>
        </w:tc>
      </w:tr>
      <w:tr w:rsidR="00A037FA" w:rsidTr="00954FAC">
        <w:trPr>
          <w:trHeight w:hRule="exact" w:val="7240"/>
        </w:trPr>
        <w:tc>
          <w:tcPr>
            <w:tcW w:w="8897" w:type="dxa"/>
            <w:gridSpan w:val="2"/>
            <w:vAlign w:val="center"/>
          </w:tcPr>
          <w:p w:rsidR="00A037FA" w:rsidRDefault="004A492B">
            <w:pPr>
              <w:spacing w:line="440" w:lineRule="exact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（1）竞选报价（20%），20分：</w:t>
            </w:r>
          </w:p>
          <w:p w:rsidR="00A037FA" w:rsidRDefault="004A492B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有效竞选报价中的最低价为评标基准价，其价格分为满分。其他竞选人的价格分统一按照下列公式计算：</w:t>
            </w:r>
          </w:p>
          <w:p w:rsidR="00A037FA" w:rsidRDefault="004A492B">
            <w:pPr>
              <w:spacing w:line="440" w:lineRule="exact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竞选报价得分＝（竞选基准价/竞选报价）×价格权重×100。</w:t>
            </w:r>
          </w:p>
          <w:p w:rsidR="00A037FA" w:rsidRDefault="004A492B">
            <w:pPr>
              <w:spacing w:line="440" w:lineRule="exact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（2）商务部分（80%），80分</w:t>
            </w:r>
          </w:p>
          <w:p w:rsidR="00A037FA" w:rsidRDefault="004A492B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 xml:space="preserve"> 2014年1月1日以来（规范发布时间范围内均可），竞选人主编过国家、省、直辖市级的控制性详细规划编制技术规定编写的得10分，未提供不得分，本项最多得10分。</w:t>
            </w:r>
          </w:p>
          <w:p w:rsidR="00A037FA" w:rsidRDefault="004A492B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2014年1月1日以来（规范发布时间范围内均可），竞选人主编过国家、省、直辖市级的公共服务设施规划标准的得10分，未提供不得分，本项最多得10分。</w:t>
            </w:r>
          </w:p>
          <w:p w:rsidR="00A037FA" w:rsidRDefault="004A492B">
            <w:pPr>
              <w:spacing w:line="440" w:lineRule="exact"/>
              <w:ind w:firstLineChars="200" w:firstLine="48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2014年1月1日以来，竞选人每获得一个全国城乡（市）规划类奖项的得10分，最多不超过30分。</w:t>
            </w:r>
          </w:p>
          <w:p w:rsidR="00A037FA" w:rsidRDefault="004A492B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2014年1月1日起至竞标截止日止（以合同签订时间为准），竞选人承接过公交站场地块调规类（控规修改、规划修改、控规调整研究等）类似业绩的，每提供一个得10分，最多得30分。</w:t>
            </w:r>
          </w:p>
        </w:tc>
      </w:tr>
      <w:tr w:rsidR="00A037FA">
        <w:trPr>
          <w:trHeight w:hRule="exact" w:val="567"/>
        </w:trPr>
        <w:tc>
          <w:tcPr>
            <w:tcW w:w="8897" w:type="dxa"/>
            <w:gridSpan w:val="2"/>
            <w:vAlign w:val="center"/>
          </w:tcPr>
          <w:p w:rsidR="00A037FA" w:rsidRDefault="004A492B">
            <w:pPr>
              <w:spacing w:line="440" w:lineRule="exact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★</w:t>
            </w:r>
            <w:r w:rsidRPr="0065380D">
              <w:rPr>
                <w:rFonts w:ascii="方正仿宋_GBK" w:eastAsia="方正仿宋_GBK" w:hAnsi="仿宋_GB2312" w:cs="仿宋_GB2312" w:hint="eastAsia"/>
                <w:b/>
                <w:color w:val="000000" w:themeColor="text1"/>
                <w:sz w:val="24"/>
                <w:szCs w:val="24"/>
              </w:rPr>
              <w:t>五、比选文件组成及要求</w:t>
            </w:r>
          </w:p>
          <w:p w:rsidR="00A037FA" w:rsidRDefault="00A037FA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A037FA" w:rsidTr="00954FAC">
        <w:trPr>
          <w:trHeight w:hRule="exact" w:val="2404"/>
        </w:trPr>
        <w:tc>
          <w:tcPr>
            <w:tcW w:w="8897" w:type="dxa"/>
            <w:gridSpan w:val="2"/>
            <w:vAlign w:val="center"/>
          </w:tcPr>
          <w:p w:rsidR="00A037FA" w:rsidRDefault="004A492B">
            <w:pPr>
              <w:spacing w:line="440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lastRenderedPageBreak/>
              <w:t xml:space="preserve">  1、比选文件包括但不限于以下内容：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（1）比选函及报价清单；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（2）营业执照、企业资质证书复印件或相关依据材料；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（3）法定代表人或授权代理人身份证明及授权委托书；</w:t>
            </w:r>
            <w:r w:rsidR="0047592F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 w:rsidR="0047592F" w:rsidRPr="0047592F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（4）商务资料等</w:t>
            </w:r>
          </w:p>
          <w:p w:rsidR="00A037FA" w:rsidRPr="00954FAC" w:rsidRDefault="004A492B">
            <w:pPr>
              <w:spacing w:line="440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2、要求提供的资料均需加盖鲜章，所有资料密封并在密封袋上写明单位名称并加盖公章。</w:t>
            </w:r>
          </w:p>
        </w:tc>
      </w:tr>
      <w:tr w:rsidR="00A037FA">
        <w:trPr>
          <w:trHeight w:hRule="exact" w:val="708"/>
        </w:trPr>
        <w:tc>
          <w:tcPr>
            <w:tcW w:w="8897" w:type="dxa"/>
            <w:gridSpan w:val="2"/>
          </w:tcPr>
          <w:p w:rsidR="00A037FA" w:rsidRDefault="004A492B">
            <w:pPr>
              <w:spacing w:line="440" w:lineRule="exact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4"/>
                <w:szCs w:val="24"/>
              </w:rPr>
              <w:t>★六、否决比选条款</w:t>
            </w:r>
          </w:p>
        </w:tc>
      </w:tr>
      <w:tr w:rsidR="00A037FA">
        <w:trPr>
          <w:trHeight w:hRule="exact" w:val="7147"/>
        </w:trPr>
        <w:tc>
          <w:tcPr>
            <w:tcW w:w="8897" w:type="dxa"/>
            <w:gridSpan w:val="2"/>
          </w:tcPr>
          <w:p w:rsidR="00A037FA" w:rsidRDefault="004A492B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未在规定的时间内递交比选文件；</w:t>
            </w:r>
          </w:p>
          <w:p w:rsidR="00A037FA" w:rsidRDefault="004A492B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 xml:space="preserve"> 未按要求报价或超过最高限价的；</w:t>
            </w:r>
          </w:p>
          <w:p w:rsidR="00A037FA" w:rsidRDefault="004A492B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法定代表人或其委托代理人的签字（或盖章）不齐全，授权代表人身份证明 不相符；</w:t>
            </w:r>
          </w:p>
          <w:p w:rsidR="00A037FA" w:rsidRDefault="004A492B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资质（或营业执照明确的经营范围）不符合文件上述要求，审查营业执照范围或资质证书等级等；</w:t>
            </w:r>
          </w:p>
          <w:p w:rsidR="00A037FA" w:rsidRDefault="004A492B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比选文件未按要求加盖公章；</w:t>
            </w:r>
          </w:p>
          <w:p w:rsidR="00A037FA" w:rsidRDefault="004A492B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发现串通比选或弄虚作假或有其他违法行为的；</w:t>
            </w:r>
          </w:p>
          <w:p w:rsidR="00A037FA" w:rsidRDefault="004A492B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方正仿宋_GBK" w:eastAsia="方正仿宋_GBK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未按照比选文件其他相关要求的。</w:t>
            </w:r>
          </w:p>
        </w:tc>
      </w:tr>
    </w:tbl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br w:type="page"/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t>比选文件格式</w:t>
      </w:r>
    </w:p>
    <w:p w:rsidR="00A037FA" w:rsidRDefault="004A492B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★</w:t>
      </w:r>
      <w:r w:rsidRPr="00FF6C6C">
        <w:rPr>
          <w:rFonts w:ascii="方正仿宋_GBK" w:eastAsia="方正仿宋_GBK" w:hAnsi="仿宋_GB2312" w:cs="仿宋_GB2312" w:hint="eastAsia"/>
          <w:b/>
          <w:sz w:val="28"/>
          <w:szCs w:val="28"/>
        </w:rPr>
        <w:t>格式一   比 选 函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  <w:u w:val="single"/>
        </w:rPr>
      </w:pP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                 ：</w:t>
      </w:r>
    </w:p>
    <w:p w:rsidR="00A037FA" w:rsidRDefault="004A492B">
      <w:pPr>
        <w:ind w:firstLineChars="50" w:firstLine="140"/>
        <w:jc w:val="left"/>
        <w:rPr>
          <w:rFonts w:ascii="方正仿宋_GBK" w:eastAsia="方正仿宋_GBK" w:hAnsi="仿宋_GB2312" w:cs="仿宋_GB2312"/>
          <w:sz w:val="28"/>
          <w:szCs w:val="28"/>
          <w:u w:val="single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根据贵方项目的比选函文件，本公司正式授权的下述签字人（姓名和职务）代表本公司（</w:t>
      </w:r>
      <w:r w:rsidR="005A504C" w:rsidRPr="005A504C">
        <w:rPr>
          <w:rFonts w:ascii="方正仿宋_GBK" w:eastAsia="方正仿宋_GBK" w:hAnsi="仿宋_GB2312" w:cs="仿宋_GB2312" w:hint="eastAsia"/>
          <w:sz w:val="28"/>
          <w:szCs w:val="28"/>
        </w:rPr>
        <w:t>竞选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人名称），提交本比选函。据此函，签字人兹宣布同意如下：</w:t>
      </w:r>
    </w:p>
    <w:p w:rsidR="00A037FA" w:rsidRDefault="004A492B">
      <w:pPr>
        <w:ind w:leftChars="100" w:left="210" w:firstLineChars="100" w:firstLine="28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(1) 愿意接受比选函中提出的酬金支付方式与合同条款并按照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总费用万元作为本项目报价。（所填报数字至少保留至小数点后1位）</w:t>
      </w:r>
    </w:p>
    <w:p w:rsidR="00A037FA" w:rsidRDefault="004A492B">
      <w:pPr>
        <w:numPr>
          <w:ilvl w:val="255"/>
          <w:numId w:val="0"/>
        </w:num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(2) 我司承诺满足贵单位比选邀请函中的“</w:t>
      </w:r>
      <w:r w:rsidR="004B004B">
        <w:rPr>
          <w:rFonts w:ascii="方正仿宋_GBK" w:eastAsia="方正仿宋_GBK" w:hAnsi="仿宋_GB2312" w:cs="仿宋_GB2312" w:hint="eastAsia"/>
          <w:sz w:val="28"/>
          <w:szCs w:val="28"/>
        </w:rPr>
        <w:t>竞选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人资格要求”</w:t>
      </w:r>
      <w:r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>
        <w:rPr>
          <w:rFonts w:ascii="方正仿宋_GBK" w:eastAsia="方正仿宋_GBK" w:hAnsi="仿宋_GB2312" w:cs="仿宋_GB2312" w:hint="eastAsia"/>
          <w:sz w:val="28"/>
          <w:szCs w:val="28"/>
        </w:rPr>
        <w:t>资质要求</w:t>
      </w:r>
      <w:r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>
        <w:rPr>
          <w:rFonts w:ascii="方正仿宋_GBK" w:eastAsia="方正仿宋_GBK" w:hAnsi="仿宋_GB2312" w:cs="仿宋_GB2312" w:hint="eastAsia"/>
          <w:sz w:val="28"/>
          <w:szCs w:val="28"/>
        </w:rPr>
        <w:t>工期要求（勾选）。</w:t>
      </w:r>
    </w:p>
    <w:p w:rsidR="00A037FA" w:rsidRDefault="004A492B">
      <w:pPr>
        <w:numPr>
          <w:ilvl w:val="255"/>
          <w:numId w:val="0"/>
        </w:num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(3)我们已详细阅读了比选函全部内容，我们知道必须放弃提出含糊不清或误解的问题的权利。</w:t>
      </w:r>
    </w:p>
    <w:p w:rsidR="00A037FA" w:rsidRDefault="004A492B">
      <w:p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(4)我们保证根据规定履行合同责任和义务，不得要求变更我司所报总费用金额。</w:t>
      </w:r>
    </w:p>
    <w:p w:rsidR="00A037FA" w:rsidRDefault="004A492B">
      <w:pPr>
        <w:ind w:firstLineChars="150" w:firstLine="42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(5)本比选函自开启之日起至项目全部完成之内有效。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报价人全称（公章）： 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通信地址：                              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电话、传真：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报价人法定代表人或授权代理人签字 ：</w:t>
      </w:r>
    </w:p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日期： </w:t>
      </w:r>
    </w:p>
    <w:p w:rsidR="00A037FA" w:rsidRDefault="004A492B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 w:rsidRPr="00FF6C6C">
        <w:rPr>
          <w:rFonts w:ascii="方正仿宋_GBK" w:eastAsia="方正仿宋_GBK" w:hAnsi="仿宋_GB2312" w:cs="仿宋_GB2312" w:hint="eastAsia"/>
          <w:b/>
          <w:sz w:val="28"/>
          <w:szCs w:val="28"/>
        </w:rPr>
        <w:t>格式二</w:t>
      </w:r>
      <w:r w:rsidRPr="00FF6C6C">
        <w:rPr>
          <w:rFonts w:ascii="方正仿宋_GBK" w:eastAsia="方正仿宋_GBK" w:hAnsi="仿宋_GB2312" w:cs="仿宋_GB2312" w:hint="eastAsia"/>
          <w:b/>
          <w:sz w:val="28"/>
          <w:szCs w:val="28"/>
        </w:rPr>
        <w:t> </w:t>
      </w:r>
      <w:r w:rsidRPr="00FF6C6C">
        <w:rPr>
          <w:rFonts w:ascii="方正仿宋_GBK" w:eastAsia="方正仿宋_GBK" w:hAnsi="仿宋_GB2312" w:cs="仿宋_GB2312" w:hint="eastAsia"/>
          <w:b/>
          <w:sz w:val="28"/>
          <w:szCs w:val="28"/>
        </w:rPr>
        <w:t xml:space="preserve"> 报价清单</w:t>
      </w:r>
    </w:p>
    <w:p w:rsidR="00A037FA" w:rsidRDefault="00A037FA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9"/>
        <w:gridCol w:w="3592"/>
        <w:gridCol w:w="1484"/>
        <w:gridCol w:w="1631"/>
        <w:gridCol w:w="1106"/>
      </w:tblGrid>
      <w:tr w:rsidR="00A037FA">
        <w:trPr>
          <w:trHeight w:val="1014"/>
        </w:trPr>
        <w:tc>
          <w:tcPr>
            <w:tcW w:w="0" w:type="auto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0" w:type="auto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面积（亩）</w:t>
            </w:r>
          </w:p>
        </w:tc>
        <w:tc>
          <w:tcPr>
            <w:tcW w:w="0" w:type="auto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报价（万元）</w:t>
            </w:r>
          </w:p>
        </w:tc>
        <w:tc>
          <w:tcPr>
            <w:tcW w:w="1106" w:type="dxa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A037FA">
        <w:trPr>
          <w:trHeight w:val="1553"/>
        </w:trPr>
        <w:tc>
          <w:tcPr>
            <w:tcW w:w="0" w:type="auto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  <w:szCs w:val="24"/>
              </w:rPr>
              <w:t>枢纽智能数据中心（O11-3地块）项目</w:t>
            </w:r>
          </w:p>
        </w:tc>
        <w:tc>
          <w:tcPr>
            <w:tcW w:w="0" w:type="auto"/>
          </w:tcPr>
          <w:p w:rsidR="00A037FA" w:rsidRDefault="004A49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037FA" w:rsidRDefault="00A037FA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A037FA" w:rsidRDefault="00A037FA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</w:tbl>
    <w:p w:rsidR="00A037FA" w:rsidRDefault="004A49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注：所填报数字至少保留至小数点后1位</w:t>
      </w:r>
    </w:p>
    <w:p w:rsidR="00A037FA" w:rsidRDefault="004A492B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A037FA" w:rsidRDefault="004A492B">
      <w:pPr>
        <w:jc w:val="center"/>
        <w:rPr>
          <w:rFonts w:ascii="方正仿宋_GBK" w:eastAsia="方正仿宋_GBK" w:hAnsi="宋体" w:cs="宋体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 w:rsidRPr="00FF6C6C">
        <w:rPr>
          <w:rFonts w:ascii="方正仿宋_GBK" w:eastAsia="方正仿宋_GBK" w:hAnsi="仿宋_GB2312" w:cs="仿宋_GB2312" w:hint="eastAsia"/>
          <w:b/>
          <w:sz w:val="28"/>
          <w:szCs w:val="28"/>
        </w:rPr>
        <w:t>格式三   法定代表人授权委托书</w:t>
      </w:r>
    </w:p>
    <w:p w:rsidR="00A037FA" w:rsidRDefault="004A492B"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本授权书声明：注册于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（注册地址）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        （公司名称）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公司的在下面签字的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（法定代表人姓名、职务）代表本公司授权在下面签字的被授权人的姓名、职务）为本公司的合法代理人，就项目的报价以及合同的谈判、签约、执行、完成等全权负责，以本公司名义处理一切与之有关的事务。</w:t>
      </w:r>
    </w:p>
    <w:p w:rsidR="00A037FA" w:rsidRDefault="004A492B">
      <w:pPr>
        <w:widowControl/>
        <w:snapToGrid w:val="0"/>
        <w:spacing w:before="100" w:beforeAutospacing="1" w:after="100" w:afterAutospacing="1" w:line="360" w:lineRule="auto"/>
        <w:ind w:firstLineChars="200" w:firstLine="560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年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月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日签字生效，特此声明。</w:t>
      </w:r>
    </w:p>
    <w:p w:rsidR="00A037FA" w:rsidRDefault="004A49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报价单位名称（盖章）：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</w:t>
      </w:r>
    </w:p>
    <w:p w:rsidR="00A037FA" w:rsidRDefault="004A49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报价单位地址：</w:t>
      </w:r>
    </w:p>
    <w:p w:rsidR="00A037FA" w:rsidRDefault="004A49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授权人（法定代表人）签字：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           </w:t>
      </w:r>
    </w:p>
    <w:p w:rsidR="00A037FA" w:rsidRDefault="004A49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被授权人（代理人）签字：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</w:t>
      </w:r>
      <w:r>
        <w:rPr>
          <w:rFonts w:ascii="宋体" w:eastAsia="方正仿宋_GBK" w:hAnsi="宋体" w:cs="华文楷体" w:hint="eastAsia"/>
          <w:kern w:val="0"/>
          <w:sz w:val="32"/>
          <w:szCs w:val="32"/>
        </w:rPr>
        <w:t> </w:t>
      </w:r>
    </w:p>
    <w:p w:rsidR="00A037FA" w:rsidRDefault="00687E5E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8pt;margin-top:11.6pt;width:234pt;height:179.4pt;z-index:251660288" o:gfxdata="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0GZ0fZAAAACgEAAA8AAAAA&#10;AAAAAQAgAAAAIgAAAGRycy9kb3ducmV2LnhtbFBLAQIUABQAAAAIAIdO4kBbgvovEwIAAEUEAAAO&#10;AAAAAAAAAAEAIAAAACgBAABkcnMvZTJvRG9jLnhtbFBLBQYAAAAABgAGAFkBAACtBQAAAAA=&#10;">
            <v:textbox>
              <w:txbxContent>
                <w:p w:rsidR="00A037FA" w:rsidRDefault="004A492B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:rsidR="00A037FA" w:rsidRDefault="00A037FA"/>
              </w:txbxContent>
            </v:textbox>
          </v:shape>
        </w:pict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pict>
          <v:shape id="_x0000_s1027" type="#_x0000_t202" style="position:absolute;left:0;text-align:left;margin-left:-36pt;margin-top:11.1pt;width:225pt;height:179.4pt;z-index:251659264" o:gfxdata="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cE0m9kAAAAKAQAADwAAAAAA&#10;AAABACAAAAAiAAAAZHJzL2Rvd25yZXYueG1sUEsBAhQAFAAAAAgAh07iQHWYhZgSAgAARQQAAA4A&#10;AAAAAAAAAQAgAAAAKAEAAGRycy9lMm9Eb2MueG1sUEsFBgAAAAAGAAYAWQEAAKwFAAAAAA==&#10;">
            <v:textbox>
              <w:txbxContent>
                <w:p w:rsidR="00A037FA" w:rsidRDefault="004A492B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:rsidR="00A037FA" w:rsidRDefault="00A037FA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A037FA" w:rsidRDefault="00A037FA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A037FA" w:rsidRDefault="004A492B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 </w:t>
      </w:r>
    </w:p>
    <w:p w:rsidR="00A037FA" w:rsidRDefault="00A037FA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A037FA" w:rsidRDefault="00A037FA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</w:p>
    <w:p w:rsidR="00A037FA" w:rsidRPr="00FF6C6C" w:rsidRDefault="004A492B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仿宋_GB2312" w:cs="仿宋_GB2312"/>
          <w:b/>
          <w:sz w:val="28"/>
          <w:szCs w:val="28"/>
        </w:rPr>
      </w:pPr>
      <w:r w:rsidRPr="00FF6C6C">
        <w:rPr>
          <w:rFonts w:ascii="方正仿宋_GBK" w:eastAsia="方正仿宋_GBK" w:hAnsi="仿宋_GB2312" w:cs="仿宋_GB2312" w:hint="eastAsia"/>
          <w:b/>
          <w:sz w:val="28"/>
          <w:szCs w:val="28"/>
        </w:rPr>
        <w:lastRenderedPageBreak/>
        <w:t>★格式四  业绩证明材料</w:t>
      </w:r>
    </w:p>
    <w:p w:rsidR="00A037FA" w:rsidRPr="002E7B61" w:rsidRDefault="004A492B">
      <w:pPr>
        <w:widowControl/>
        <w:spacing w:before="100" w:beforeAutospacing="1" w:after="100" w:afterAutospacing="1" w:line="252" w:lineRule="atLeast"/>
        <w:rPr>
          <w:rFonts w:ascii="方正仿宋_GBK" w:eastAsia="方正仿宋_GBK" w:hAnsi="宋体" w:cs="华文楷体"/>
          <w:kern w:val="0"/>
          <w:sz w:val="28"/>
          <w:szCs w:val="28"/>
        </w:rPr>
      </w:pPr>
      <w:r w:rsidRPr="002E7B61">
        <w:rPr>
          <w:rFonts w:ascii="方正仿宋_GBK" w:eastAsia="方正仿宋_GBK" w:hAnsi="宋体" w:cs="华文楷体" w:hint="eastAsia"/>
          <w:kern w:val="0"/>
          <w:sz w:val="28"/>
          <w:szCs w:val="28"/>
        </w:rPr>
        <w:t>提供相关证明材料</w:t>
      </w:r>
    </w:p>
    <w:p w:rsidR="00A037FA" w:rsidRPr="002E7B61" w:rsidRDefault="004A492B">
      <w:pPr>
        <w:widowControl/>
        <w:spacing w:before="100" w:beforeAutospacing="1" w:after="100" w:afterAutospacing="1" w:line="252" w:lineRule="atLeast"/>
        <w:rPr>
          <w:rFonts w:ascii="方正仿宋_GBK" w:eastAsia="方正仿宋_GBK" w:hAnsi="宋体" w:cs="华文楷体"/>
          <w:kern w:val="0"/>
          <w:sz w:val="28"/>
          <w:szCs w:val="28"/>
        </w:rPr>
      </w:pPr>
      <w:r w:rsidRPr="002E7B61">
        <w:rPr>
          <w:rFonts w:ascii="方正仿宋_GBK" w:eastAsia="方正仿宋_GBK" w:hAnsi="宋体" w:cs="华文楷体" w:hint="eastAsia"/>
          <w:kern w:val="0"/>
          <w:sz w:val="28"/>
          <w:szCs w:val="28"/>
        </w:rPr>
        <w:t>注：以上材料需提供合同复印件并加盖鲜章</w:t>
      </w:r>
    </w:p>
    <w:p w:rsidR="002E7B61" w:rsidRPr="002E7B61" w:rsidRDefault="004A492B">
      <w:pPr>
        <w:widowControl/>
        <w:spacing w:before="100" w:beforeAutospacing="1" w:after="100" w:afterAutospacing="1" w:line="252" w:lineRule="atLeast"/>
        <w:rPr>
          <w:rFonts w:ascii="方正仿宋_GBK" w:eastAsia="方正仿宋_GBK" w:hAnsi="宋体" w:cs="华文楷体"/>
          <w:kern w:val="0"/>
          <w:sz w:val="28"/>
          <w:szCs w:val="28"/>
        </w:rPr>
      </w:pPr>
      <w:r w:rsidRPr="002E7B61">
        <w:rPr>
          <w:rFonts w:ascii="方正仿宋_GBK" w:eastAsia="方正仿宋_GBK" w:hAnsi="宋体" w:cs="华文楷体" w:hint="eastAsia"/>
          <w:kern w:val="0"/>
          <w:sz w:val="28"/>
          <w:szCs w:val="28"/>
        </w:rPr>
        <w:t xml:space="preserve">  </w:t>
      </w:r>
    </w:p>
    <w:p w:rsidR="002E7B61" w:rsidRPr="002E7B61" w:rsidRDefault="002E7B61">
      <w:pPr>
        <w:widowControl/>
        <w:spacing w:before="100" w:beforeAutospacing="1" w:after="100" w:afterAutospacing="1" w:line="252" w:lineRule="atLeast"/>
        <w:rPr>
          <w:rFonts w:ascii="方正仿宋_GBK" w:eastAsia="方正仿宋_GBK" w:hAnsi="宋体" w:cs="华文楷体"/>
          <w:kern w:val="0"/>
          <w:sz w:val="28"/>
          <w:szCs w:val="28"/>
        </w:rPr>
      </w:pPr>
    </w:p>
    <w:p w:rsidR="002E7B61" w:rsidRPr="002E7B61" w:rsidRDefault="002E7B61">
      <w:pPr>
        <w:widowControl/>
        <w:spacing w:before="100" w:beforeAutospacing="1" w:after="100" w:afterAutospacing="1" w:line="252" w:lineRule="atLeast"/>
        <w:rPr>
          <w:rFonts w:ascii="方正仿宋_GBK" w:eastAsia="方正仿宋_GBK" w:hAnsi="宋体" w:cs="华文楷体"/>
          <w:kern w:val="0"/>
          <w:sz w:val="28"/>
          <w:szCs w:val="28"/>
        </w:rPr>
      </w:pPr>
    </w:p>
    <w:p w:rsidR="002E7B61" w:rsidRPr="002E7B61" w:rsidRDefault="002E7B61" w:rsidP="002E7B61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宋体" w:cs="华文楷体"/>
          <w:kern w:val="0"/>
          <w:sz w:val="28"/>
          <w:szCs w:val="28"/>
        </w:rPr>
      </w:pPr>
      <w:r w:rsidRPr="002E7B61">
        <w:rPr>
          <w:rFonts w:ascii="方正仿宋_GBK" w:eastAsia="方正仿宋_GBK" w:hAnsi="宋体" w:cs="华文楷体" w:hint="eastAsia"/>
          <w:kern w:val="0"/>
          <w:sz w:val="28"/>
          <w:szCs w:val="28"/>
        </w:rPr>
        <w:t xml:space="preserve">       重庆城市综合交通枢纽（集团）有限公司</w:t>
      </w:r>
    </w:p>
    <w:p w:rsidR="002E7B61" w:rsidRPr="002E7B61" w:rsidRDefault="002E7B61" w:rsidP="002E7B61">
      <w:pPr>
        <w:widowControl/>
        <w:spacing w:before="100" w:beforeAutospacing="1" w:after="100" w:afterAutospacing="1" w:line="252" w:lineRule="atLeast"/>
        <w:jc w:val="center"/>
        <w:rPr>
          <w:rFonts w:ascii="方正仿宋_GBK" w:eastAsia="方正仿宋_GBK" w:hAnsi="宋体" w:cs="华文楷体"/>
          <w:kern w:val="0"/>
          <w:sz w:val="28"/>
          <w:szCs w:val="28"/>
        </w:rPr>
      </w:pPr>
      <w:r w:rsidRPr="002E7B61">
        <w:rPr>
          <w:rFonts w:ascii="方正仿宋_GBK" w:eastAsia="方正仿宋_GBK" w:hAnsi="宋体" w:cs="华文楷体" w:hint="eastAsia"/>
          <w:kern w:val="0"/>
          <w:sz w:val="28"/>
          <w:szCs w:val="28"/>
        </w:rPr>
        <w:t xml:space="preserve">                     年    月    日</w:t>
      </w:r>
    </w:p>
    <w:p w:rsidR="002E7B61" w:rsidRPr="002E7B61" w:rsidRDefault="002E7B61">
      <w:pPr>
        <w:widowControl/>
        <w:spacing w:before="100" w:beforeAutospacing="1" w:after="100" w:afterAutospacing="1" w:line="252" w:lineRule="atLeast"/>
        <w:rPr>
          <w:rFonts w:ascii="方正仿宋_GBK" w:eastAsia="方正仿宋_GBK" w:hAnsi="宋体" w:cs="华文楷体"/>
          <w:kern w:val="0"/>
          <w:sz w:val="28"/>
          <w:szCs w:val="28"/>
        </w:rPr>
      </w:pPr>
    </w:p>
    <w:p w:rsidR="00A037FA" w:rsidRPr="002E7B61" w:rsidRDefault="004A492B">
      <w:pPr>
        <w:widowControl/>
        <w:spacing w:before="100" w:beforeAutospacing="1" w:after="100" w:afterAutospacing="1" w:line="252" w:lineRule="atLeast"/>
        <w:rPr>
          <w:rFonts w:ascii="方正仿宋_GBK" w:eastAsia="方正仿宋_GBK" w:hAnsi="宋体" w:cs="华文楷体"/>
          <w:kern w:val="0"/>
          <w:sz w:val="28"/>
          <w:szCs w:val="28"/>
        </w:rPr>
      </w:pPr>
      <w:r w:rsidRPr="002E7B61">
        <w:rPr>
          <w:rFonts w:ascii="方正仿宋_GBK" w:eastAsia="方正仿宋_GBK" w:hAnsi="宋体" w:cs="华文楷体" w:hint="eastAsia"/>
          <w:kern w:val="0"/>
          <w:sz w:val="28"/>
          <w:szCs w:val="28"/>
        </w:rPr>
        <w:t xml:space="preserve">  注：加“★”条款为比选文件中必须明确的事项，其他条款可根据项目具体情况增减。</w:t>
      </w:r>
    </w:p>
    <w:p w:rsidR="00A037FA" w:rsidRDefault="00A037FA"/>
    <w:sectPr w:rsidR="00A037FA" w:rsidSect="00A03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E9" w:rsidRDefault="002B4BE9" w:rsidP="00432E83">
      <w:r>
        <w:separator/>
      </w:r>
    </w:p>
  </w:endnote>
  <w:endnote w:type="continuationSeparator" w:id="1">
    <w:p w:rsidR="002B4BE9" w:rsidRDefault="002B4BE9" w:rsidP="0043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83" w:rsidRDefault="00432E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3310952"/>
      <w:docPartObj>
        <w:docPartGallery w:val="Page Numbers (Bottom of Page)"/>
        <w:docPartUnique/>
      </w:docPartObj>
    </w:sdtPr>
    <w:sdtContent>
      <w:p w:rsidR="00432E83" w:rsidRDefault="00687E5E">
        <w:pPr>
          <w:pStyle w:val="a4"/>
          <w:jc w:val="center"/>
        </w:pPr>
        <w:fldSimple w:instr=" PAGE   \* MERGEFORMAT ">
          <w:r w:rsidR="005C25D3" w:rsidRPr="005C25D3">
            <w:rPr>
              <w:noProof/>
              <w:lang w:val="zh-CN"/>
            </w:rPr>
            <w:t>2</w:t>
          </w:r>
        </w:fldSimple>
      </w:p>
    </w:sdtContent>
  </w:sdt>
  <w:p w:rsidR="00432E83" w:rsidRDefault="00432E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83" w:rsidRDefault="00432E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E9" w:rsidRDefault="002B4BE9" w:rsidP="00432E83">
      <w:r>
        <w:separator/>
      </w:r>
    </w:p>
  </w:footnote>
  <w:footnote w:type="continuationSeparator" w:id="1">
    <w:p w:rsidR="002B4BE9" w:rsidRDefault="002B4BE9" w:rsidP="0043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83" w:rsidRDefault="00432E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83" w:rsidRDefault="00432E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83" w:rsidRDefault="00432E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D1F"/>
    <w:multiLevelType w:val="multilevel"/>
    <w:tmpl w:val="6F1E2D1F"/>
    <w:lvl w:ilvl="0">
      <w:start w:val="1"/>
      <w:numFmt w:val="decimal"/>
      <w:lvlText w:val="%1、"/>
      <w:lvlJc w:val="left"/>
      <w:pPr>
        <w:ind w:left="360" w:hanging="360"/>
      </w:pPr>
      <w:rPr>
        <w:rFonts w:ascii="方正仿宋_GBK" w:eastAsia="方正仿宋_GBK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2ZjY3M2FjYjc4OTgxODdmNjhmOGNlOTg5ZDlkM2QifQ=="/>
  </w:docVars>
  <w:rsids>
    <w:rsidRoot w:val="70F65CA1"/>
    <w:rsid w:val="0000053E"/>
    <w:rsid w:val="000034FA"/>
    <w:rsid w:val="0000591F"/>
    <w:rsid w:val="00006016"/>
    <w:rsid w:val="000175B7"/>
    <w:rsid w:val="00023B5D"/>
    <w:rsid w:val="0002708D"/>
    <w:rsid w:val="00034983"/>
    <w:rsid w:val="000756BD"/>
    <w:rsid w:val="0008084F"/>
    <w:rsid w:val="00096B5A"/>
    <w:rsid w:val="000A6EEC"/>
    <w:rsid w:val="000C0E14"/>
    <w:rsid w:val="000E0B4E"/>
    <w:rsid w:val="000E77EF"/>
    <w:rsid w:val="00116728"/>
    <w:rsid w:val="00116897"/>
    <w:rsid w:val="0013535A"/>
    <w:rsid w:val="00150B2E"/>
    <w:rsid w:val="00156B04"/>
    <w:rsid w:val="001574D7"/>
    <w:rsid w:val="00161073"/>
    <w:rsid w:val="00161722"/>
    <w:rsid w:val="00162D91"/>
    <w:rsid w:val="0017224C"/>
    <w:rsid w:val="00176232"/>
    <w:rsid w:val="00190DF9"/>
    <w:rsid w:val="00195D27"/>
    <w:rsid w:val="0019680D"/>
    <w:rsid w:val="001A438C"/>
    <w:rsid w:val="001A6F4A"/>
    <w:rsid w:val="001B0521"/>
    <w:rsid w:val="001B411B"/>
    <w:rsid w:val="001B4120"/>
    <w:rsid w:val="001B4180"/>
    <w:rsid w:val="001C28E1"/>
    <w:rsid w:val="001D12AD"/>
    <w:rsid w:val="001D5A38"/>
    <w:rsid w:val="001D6045"/>
    <w:rsid w:val="001F238E"/>
    <w:rsid w:val="001F2A9F"/>
    <w:rsid w:val="00200497"/>
    <w:rsid w:val="0020322C"/>
    <w:rsid w:val="00207773"/>
    <w:rsid w:val="00211938"/>
    <w:rsid w:val="0023756A"/>
    <w:rsid w:val="002537D4"/>
    <w:rsid w:val="00260776"/>
    <w:rsid w:val="00263AC0"/>
    <w:rsid w:val="00284CDD"/>
    <w:rsid w:val="0029278C"/>
    <w:rsid w:val="00293A3E"/>
    <w:rsid w:val="002A7976"/>
    <w:rsid w:val="002B4BE9"/>
    <w:rsid w:val="002C14C2"/>
    <w:rsid w:val="002C459F"/>
    <w:rsid w:val="002E7B61"/>
    <w:rsid w:val="00302617"/>
    <w:rsid w:val="00311986"/>
    <w:rsid w:val="0031331A"/>
    <w:rsid w:val="0031755C"/>
    <w:rsid w:val="00317B1A"/>
    <w:rsid w:val="00333B36"/>
    <w:rsid w:val="00335BDF"/>
    <w:rsid w:val="0033795C"/>
    <w:rsid w:val="003430A6"/>
    <w:rsid w:val="00344689"/>
    <w:rsid w:val="003524B6"/>
    <w:rsid w:val="0035253D"/>
    <w:rsid w:val="00371A7C"/>
    <w:rsid w:val="0038637C"/>
    <w:rsid w:val="00386DCD"/>
    <w:rsid w:val="00387CFA"/>
    <w:rsid w:val="003955E0"/>
    <w:rsid w:val="0039769E"/>
    <w:rsid w:val="003A2BCF"/>
    <w:rsid w:val="003A54B5"/>
    <w:rsid w:val="003B3F70"/>
    <w:rsid w:val="003D128F"/>
    <w:rsid w:val="003D1944"/>
    <w:rsid w:val="003D635D"/>
    <w:rsid w:val="003E2988"/>
    <w:rsid w:val="003E5B40"/>
    <w:rsid w:val="003E6143"/>
    <w:rsid w:val="003F4EF9"/>
    <w:rsid w:val="0040031D"/>
    <w:rsid w:val="00403A27"/>
    <w:rsid w:val="0041099D"/>
    <w:rsid w:val="00432E83"/>
    <w:rsid w:val="0045295F"/>
    <w:rsid w:val="00471529"/>
    <w:rsid w:val="00473AB0"/>
    <w:rsid w:val="0047592F"/>
    <w:rsid w:val="0047688D"/>
    <w:rsid w:val="004855D5"/>
    <w:rsid w:val="0049593B"/>
    <w:rsid w:val="00496533"/>
    <w:rsid w:val="004A492B"/>
    <w:rsid w:val="004A5E6B"/>
    <w:rsid w:val="004B004B"/>
    <w:rsid w:val="004B3AC2"/>
    <w:rsid w:val="004B7119"/>
    <w:rsid w:val="004C2016"/>
    <w:rsid w:val="004C7025"/>
    <w:rsid w:val="004F33EF"/>
    <w:rsid w:val="0050704C"/>
    <w:rsid w:val="00513D6D"/>
    <w:rsid w:val="00516C81"/>
    <w:rsid w:val="00520D09"/>
    <w:rsid w:val="00522DD2"/>
    <w:rsid w:val="00531B5A"/>
    <w:rsid w:val="00550DB3"/>
    <w:rsid w:val="00567A67"/>
    <w:rsid w:val="00580CC8"/>
    <w:rsid w:val="00592032"/>
    <w:rsid w:val="005970D6"/>
    <w:rsid w:val="0059769D"/>
    <w:rsid w:val="005A504C"/>
    <w:rsid w:val="005B49ED"/>
    <w:rsid w:val="005B584D"/>
    <w:rsid w:val="005B6809"/>
    <w:rsid w:val="005C25D3"/>
    <w:rsid w:val="005C2846"/>
    <w:rsid w:val="005C341C"/>
    <w:rsid w:val="005D1A74"/>
    <w:rsid w:val="005E5FFE"/>
    <w:rsid w:val="005E6487"/>
    <w:rsid w:val="005F59A7"/>
    <w:rsid w:val="005F6D34"/>
    <w:rsid w:val="0060178A"/>
    <w:rsid w:val="00605103"/>
    <w:rsid w:val="006065EE"/>
    <w:rsid w:val="00637577"/>
    <w:rsid w:val="00637B97"/>
    <w:rsid w:val="0065380D"/>
    <w:rsid w:val="00653C0A"/>
    <w:rsid w:val="00661DCA"/>
    <w:rsid w:val="006645B8"/>
    <w:rsid w:val="006676CE"/>
    <w:rsid w:val="006720B1"/>
    <w:rsid w:val="00687E5E"/>
    <w:rsid w:val="0069472C"/>
    <w:rsid w:val="006B5AD4"/>
    <w:rsid w:val="006C36CF"/>
    <w:rsid w:val="006C672A"/>
    <w:rsid w:val="006E0285"/>
    <w:rsid w:val="006E0954"/>
    <w:rsid w:val="006E4554"/>
    <w:rsid w:val="00700B4D"/>
    <w:rsid w:val="007137CB"/>
    <w:rsid w:val="007147BF"/>
    <w:rsid w:val="00714CF1"/>
    <w:rsid w:val="0073446A"/>
    <w:rsid w:val="00737932"/>
    <w:rsid w:val="00742DD9"/>
    <w:rsid w:val="007575E1"/>
    <w:rsid w:val="0076119B"/>
    <w:rsid w:val="007819C8"/>
    <w:rsid w:val="00785CC5"/>
    <w:rsid w:val="00786D48"/>
    <w:rsid w:val="007B030F"/>
    <w:rsid w:val="007B0355"/>
    <w:rsid w:val="007B2304"/>
    <w:rsid w:val="007B4EC3"/>
    <w:rsid w:val="007B7015"/>
    <w:rsid w:val="007E07C2"/>
    <w:rsid w:val="007E1718"/>
    <w:rsid w:val="007F28A0"/>
    <w:rsid w:val="00801179"/>
    <w:rsid w:val="008029F2"/>
    <w:rsid w:val="0080615E"/>
    <w:rsid w:val="00815948"/>
    <w:rsid w:val="00842418"/>
    <w:rsid w:val="008467AE"/>
    <w:rsid w:val="008645CB"/>
    <w:rsid w:val="00897D02"/>
    <w:rsid w:val="008A4682"/>
    <w:rsid w:val="008B156E"/>
    <w:rsid w:val="008B1905"/>
    <w:rsid w:val="008B2239"/>
    <w:rsid w:val="008B3D4A"/>
    <w:rsid w:val="008C5ECF"/>
    <w:rsid w:val="008E2E46"/>
    <w:rsid w:val="008F1299"/>
    <w:rsid w:val="00931442"/>
    <w:rsid w:val="00943B0F"/>
    <w:rsid w:val="009445C8"/>
    <w:rsid w:val="00946FB4"/>
    <w:rsid w:val="00951E03"/>
    <w:rsid w:val="00954FAC"/>
    <w:rsid w:val="00971C5E"/>
    <w:rsid w:val="00983F99"/>
    <w:rsid w:val="009948E6"/>
    <w:rsid w:val="00995E7E"/>
    <w:rsid w:val="009A3462"/>
    <w:rsid w:val="009A73A2"/>
    <w:rsid w:val="009A7F1E"/>
    <w:rsid w:val="009B0F16"/>
    <w:rsid w:val="009B3428"/>
    <w:rsid w:val="009B634C"/>
    <w:rsid w:val="009D3A82"/>
    <w:rsid w:val="009E6129"/>
    <w:rsid w:val="00A037FA"/>
    <w:rsid w:val="00A04E77"/>
    <w:rsid w:val="00A06F40"/>
    <w:rsid w:val="00A27B18"/>
    <w:rsid w:val="00A331D4"/>
    <w:rsid w:val="00A35E32"/>
    <w:rsid w:val="00A535AE"/>
    <w:rsid w:val="00A608CA"/>
    <w:rsid w:val="00A62E1B"/>
    <w:rsid w:val="00A76FEE"/>
    <w:rsid w:val="00A90EE6"/>
    <w:rsid w:val="00A95051"/>
    <w:rsid w:val="00AB0AD5"/>
    <w:rsid w:val="00AB0BD5"/>
    <w:rsid w:val="00AB461C"/>
    <w:rsid w:val="00AC39EB"/>
    <w:rsid w:val="00AC4490"/>
    <w:rsid w:val="00AE1898"/>
    <w:rsid w:val="00AF3B91"/>
    <w:rsid w:val="00AF6C06"/>
    <w:rsid w:val="00B06E23"/>
    <w:rsid w:val="00B1159A"/>
    <w:rsid w:val="00B20A2B"/>
    <w:rsid w:val="00B349F1"/>
    <w:rsid w:val="00B403E4"/>
    <w:rsid w:val="00B40943"/>
    <w:rsid w:val="00B4110F"/>
    <w:rsid w:val="00B434EE"/>
    <w:rsid w:val="00B81E85"/>
    <w:rsid w:val="00B87750"/>
    <w:rsid w:val="00B97236"/>
    <w:rsid w:val="00B978F7"/>
    <w:rsid w:val="00BB1AB1"/>
    <w:rsid w:val="00BB2744"/>
    <w:rsid w:val="00BD0220"/>
    <w:rsid w:val="00BD2CF0"/>
    <w:rsid w:val="00BE090F"/>
    <w:rsid w:val="00BE2A7D"/>
    <w:rsid w:val="00C0032E"/>
    <w:rsid w:val="00C142F4"/>
    <w:rsid w:val="00C3248F"/>
    <w:rsid w:val="00C32DE0"/>
    <w:rsid w:val="00C32EEE"/>
    <w:rsid w:val="00C335A2"/>
    <w:rsid w:val="00C35028"/>
    <w:rsid w:val="00C36EBF"/>
    <w:rsid w:val="00C65E3B"/>
    <w:rsid w:val="00C66FF8"/>
    <w:rsid w:val="00C70478"/>
    <w:rsid w:val="00C72275"/>
    <w:rsid w:val="00C74E7F"/>
    <w:rsid w:val="00C84F6F"/>
    <w:rsid w:val="00C963E3"/>
    <w:rsid w:val="00CB3B3E"/>
    <w:rsid w:val="00CD5FC3"/>
    <w:rsid w:val="00CD6BEE"/>
    <w:rsid w:val="00D00303"/>
    <w:rsid w:val="00D070A0"/>
    <w:rsid w:val="00D17409"/>
    <w:rsid w:val="00D43E81"/>
    <w:rsid w:val="00D62715"/>
    <w:rsid w:val="00D64844"/>
    <w:rsid w:val="00D74E83"/>
    <w:rsid w:val="00D77DC1"/>
    <w:rsid w:val="00D80879"/>
    <w:rsid w:val="00DA48AC"/>
    <w:rsid w:val="00DC273A"/>
    <w:rsid w:val="00DC49B3"/>
    <w:rsid w:val="00DC7397"/>
    <w:rsid w:val="00DD4D86"/>
    <w:rsid w:val="00DE412D"/>
    <w:rsid w:val="00DF6EA5"/>
    <w:rsid w:val="00DF7117"/>
    <w:rsid w:val="00E01C07"/>
    <w:rsid w:val="00E062D6"/>
    <w:rsid w:val="00E443A4"/>
    <w:rsid w:val="00E47000"/>
    <w:rsid w:val="00E57E00"/>
    <w:rsid w:val="00E64112"/>
    <w:rsid w:val="00E64DCD"/>
    <w:rsid w:val="00E84ECD"/>
    <w:rsid w:val="00EB59A3"/>
    <w:rsid w:val="00EF0A32"/>
    <w:rsid w:val="00EF644E"/>
    <w:rsid w:val="00F06E3E"/>
    <w:rsid w:val="00F1779C"/>
    <w:rsid w:val="00F2535B"/>
    <w:rsid w:val="00F34EEC"/>
    <w:rsid w:val="00F46E9D"/>
    <w:rsid w:val="00F47303"/>
    <w:rsid w:val="00F550A8"/>
    <w:rsid w:val="00F82BA5"/>
    <w:rsid w:val="00FA0B1A"/>
    <w:rsid w:val="00FA178E"/>
    <w:rsid w:val="00FA2DC6"/>
    <w:rsid w:val="00FB022B"/>
    <w:rsid w:val="00FB03A5"/>
    <w:rsid w:val="00FC0E9F"/>
    <w:rsid w:val="00FD524F"/>
    <w:rsid w:val="00FD6896"/>
    <w:rsid w:val="00FD7820"/>
    <w:rsid w:val="00FE67A0"/>
    <w:rsid w:val="00FF041D"/>
    <w:rsid w:val="00FF6C6C"/>
    <w:rsid w:val="02D76FBF"/>
    <w:rsid w:val="04CD134A"/>
    <w:rsid w:val="06B805C0"/>
    <w:rsid w:val="47CB4D90"/>
    <w:rsid w:val="4F3B1489"/>
    <w:rsid w:val="5C31109C"/>
    <w:rsid w:val="70F6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037FA"/>
    <w:rPr>
      <w:sz w:val="18"/>
      <w:szCs w:val="18"/>
    </w:rPr>
  </w:style>
  <w:style w:type="paragraph" w:styleId="a4">
    <w:name w:val="footer"/>
    <w:basedOn w:val="a"/>
    <w:link w:val="Char0"/>
    <w:uiPriority w:val="99"/>
    <w:rsid w:val="00A03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03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037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rsid w:val="00A037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A037F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7F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A037FA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A037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5C944-9E4B-4202-A158-DF724F60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高晶</dc:creator>
  <cp:lastModifiedBy>唐维</cp:lastModifiedBy>
  <cp:revision>126</cp:revision>
  <cp:lastPrinted>2023-06-27T04:44:00Z</cp:lastPrinted>
  <dcterms:created xsi:type="dcterms:W3CDTF">2021-04-26T03:02:00Z</dcterms:created>
  <dcterms:modified xsi:type="dcterms:W3CDTF">2023-06-27T04:51:00Z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B236E14654954966A94D81D4A7490029_13</vt:lpwstr>
  </property>
</Properties>
</file>