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仿宋_GB2312" w:eastAsia="方正小标宋_GBK" w:cs="仿宋_GB2312"/>
          <w:b/>
          <w:bCs/>
          <w:sz w:val="36"/>
          <w:szCs w:val="36"/>
        </w:rPr>
      </w:pPr>
      <w:bookmarkStart w:id="0" w:name="OLE_LINK3"/>
      <w:r>
        <w:rPr>
          <w:rFonts w:hint="eastAsia" w:ascii="方正小标宋_GBK" w:hAnsi="仿宋_GB2312" w:eastAsia="方正小标宋_GBK" w:cs="仿宋_GB2312"/>
          <w:b/>
          <w:bCs/>
          <w:sz w:val="36"/>
          <w:szCs w:val="36"/>
        </w:rPr>
        <w:t>重庆城市综合交通枢纽(集团)有限公司</w:t>
      </w:r>
    </w:p>
    <w:p>
      <w:pPr>
        <w:tabs>
          <w:tab w:val="left" w:pos="-7488"/>
        </w:tabs>
        <w:ind w:right="611" w:rightChars="291"/>
        <w:jc w:val="center"/>
        <w:rPr>
          <w:rFonts w:ascii="方正小标宋_GBK" w:hAnsi="仿宋_GB2312" w:eastAsia="方正小标宋_GBK" w:cs="仿宋_GB2312"/>
          <w:b/>
          <w:bCs/>
          <w:sz w:val="36"/>
          <w:szCs w:val="36"/>
        </w:rPr>
      </w:pPr>
      <w:r>
        <w:rPr>
          <w:rFonts w:hint="eastAsia" w:ascii="方正小标宋_GBK" w:hAnsi="仿宋_GB2312" w:eastAsia="方正小标宋_GBK" w:cs="仿宋_GB2312"/>
          <w:b/>
          <w:bCs/>
          <w:sz w:val="36"/>
          <w:szCs w:val="36"/>
        </w:rPr>
        <w:t>关于开展大竹林F标准分区F06-6-1/06地块（九曲河公交站场）污染土壤</w:t>
      </w:r>
      <w:r>
        <w:rPr>
          <w:rFonts w:hint="eastAsia" w:ascii="方正小标宋_GBK" w:hAnsi="仿宋_GB2312" w:eastAsia="方正小标宋_GBK" w:cs="仿宋_GB2312"/>
          <w:b/>
          <w:bCs/>
          <w:sz w:val="36"/>
          <w:szCs w:val="36"/>
          <w:lang w:val="en-US" w:eastAsia="zh-CN"/>
        </w:rPr>
        <w:t>治理修复效果评估</w:t>
      </w:r>
      <w:r>
        <w:rPr>
          <w:rFonts w:hint="eastAsia" w:ascii="方正小标宋_GBK" w:hAnsi="仿宋_GB2312" w:eastAsia="方正小标宋_GBK" w:cs="仿宋_GB2312"/>
          <w:b/>
          <w:bCs/>
          <w:sz w:val="36"/>
          <w:szCs w:val="36"/>
        </w:rPr>
        <w:t>工程</w:t>
      </w:r>
    </w:p>
    <w:p>
      <w:pPr>
        <w:tabs>
          <w:tab w:val="left" w:pos="-7488"/>
        </w:tabs>
        <w:ind w:right="611" w:rightChars="291"/>
        <w:jc w:val="center"/>
        <w:rPr>
          <w:rFonts w:ascii="方正小标宋_GBK" w:hAnsi="仿宋_GB2312" w:eastAsia="方正小标宋_GBK" w:cs="仿宋_GB2312"/>
          <w:b/>
          <w:bCs/>
          <w:sz w:val="36"/>
          <w:szCs w:val="36"/>
        </w:rPr>
      </w:pPr>
      <w:r>
        <w:rPr>
          <w:rFonts w:hint="eastAsia" w:ascii="方正小标宋_GBK" w:hAnsi="仿宋_GB2312" w:eastAsia="方正小标宋_GBK" w:cs="仿宋_GB2312"/>
          <w:b/>
          <w:bCs/>
          <w:sz w:val="36"/>
          <w:szCs w:val="36"/>
        </w:rPr>
        <w:t>比选文件函</w:t>
      </w:r>
    </w:p>
    <w:bookmarkEnd w:id="0"/>
    <w:p>
      <w:pPr>
        <w:pStyle w:val="5"/>
      </w:pPr>
    </w:p>
    <w:p>
      <w:pPr>
        <w:ind w:firstLine="560" w:firstLineChars="200"/>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 xml:space="preserve">我司拟对大竹林F标准分区F06-6-1/06地块（九曲河公交站场）开展污染土壤治理修复效果评估工作。本次污染土壤治理修复效果评估工作实施单位的确定将采用比选方式进行。具体项目情况如下： </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317"/>
        <w:gridCol w:w="6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exact"/>
        </w:trPr>
        <w:tc>
          <w:tcPr>
            <w:tcW w:w="1843"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sz w:val="24"/>
                <w:szCs w:val="24"/>
              </w:rPr>
            </w:pPr>
            <w:r>
              <w:rPr>
                <w:rFonts w:hint="eastAsia" w:ascii="方正仿宋_GBK" w:hAnsi="仿宋_GB2312" w:eastAsia="方正仿宋_GBK" w:cs="仿宋_GB2312"/>
                <w:sz w:val="24"/>
                <w:szCs w:val="24"/>
              </w:rPr>
              <w:t>项目名称</w:t>
            </w:r>
          </w:p>
        </w:tc>
        <w:tc>
          <w:tcPr>
            <w:tcW w:w="6946" w:type="dxa"/>
            <w:gridSpan w:val="2"/>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方正仿宋_GBK" w:hAnsi="仿宋_GB2312" w:eastAsia="方正仿宋_GBK" w:cs="仿宋_GB2312"/>
                <w:sz w:val="24"/>
                <w:szCs w:val="24"/>
              </w:rPr>
            </w:pPr>
            <w:r>
              <w:rPr>
                <w:rFonts w:hint="eastAsia" w:ascii="方正仿宋_GBK" w:hAnsi="仿宋_GB2312" w:eastAsia="方正仿宋_GBK" w:cs="仿宋_GB2312"/>
                <w:color w:val="000000" w:themeColor="text1"/>
                <w:sz w:val="24"/>
                <w:szCs w:val="24"/>
                <w14:textFill>
                  <w14:solidFill>
                    <w14:schemeClr w14:val="tx1"/>
                  </w14:solidFill>
                </w14:textFill>
              </w:rPr>
              <w:t>大竹林F标准分区F06-6-1/06地块（九曲河公交站场）污染土壤治理修复效果评估工程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43"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sz w:val="24"/>
                <w:szCs w:val="24"/>
              </w:rPr>
            </w:pPr>
            <w:r>
              <w:rPr>
                <w:rFonts w:hint="eastAsia" w:ascii="方正仿宋_GBK" w:hAnsi="仿宋_GB2312" w:eastAsia="方正仿宋_GBK" w:cs="仿宋_GB2312"/>
                <w:sz w:val="24"/>
                <w:szCs w:val="24"/>
              </w:rPr>
              <w:t>项目费用</w:t>
            </w:r>
          </w:p>
        </w:tc>
        <w:tc>
          <w:tcPr>
            <w:tcW w:w="6946" w:type="dxa"/>
            <w:gridSpan w:val="2"/>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方正仿宋_GBK" w:hAnsi="仿宋_GB2312" w:eastAsia="方正仿宋_GBK" w:cs="仿宋_GB2312"/>
                <w:color w:val="000000" w:themeColor="text1"/>
                <w:sz w:val="24"/>
                <w:szCs w:val="24"/>
                <w14:textFill>
                  <w14:solidFill>
                    <w14:schemeClr w14:val="tx1"/>
                  </w14:solidFill>
                </w14:textFill>
              </w:rPr>
            </w:pPr>
            <w:r>
              <w:rPr>
                <w:rFonts w:hint="eastAsia" w:ascii="方正仿宋_GBK" w:hAnsi="仿宋_GB2312" w:eastAsia="方正仿宋_GBK" w:cs="仿宋_GB2312"/>
                <w:color w:val="000000" w:themeColor="text1"/>
                <w:sz w:val="24"/>
                <w:szCs w:val="24"/>
                <w:lang w:val="en-US" w:eastAsia="zh-CN"/>
                <w14:textFill>
                  <w14:solidFill>
                    <w14:schemeClr w14:val="tx1"/>
                  </w14:solidFill>
                </w14:textFill>
              </w:rPr>
              <w:t>费用</w:t>
            </w:r>
            <w:r>
              <w:rPr>
                <w:rFonts w:hint="eastAsia" w:ascii="方正仿宋_GBK" w:hAnsi="仿宋_GB2312" w:eastAsia="方正仿宋_GBK" w:cs="仿宋_GB2312"/>
                <w:color w:val="000000" w:themeColor="text1"/>
                <w:sz w:val="24"/>
                <w:szCs w:val="24"/>
                <w14:textFill>
                  <w14:solidFill>
                    <w14:schemeClr w14:val="tx1"/>
                  </w14:solidFill>
                </w14:textFill>
              </w:rPr>
              <w:t>总限价</w:t>
            </w:r>
            <w:r>
              <w:rPr>
                <w:rFonts w:hint="eastAsia" w:ascii="方正仿宋_GBK" w:hAnsi="仿宋_GB2312" w:eastAsia="方正仿宋_GBK" w:cs="仿宋_GB2312"/>
                <w:color w:val="000000" w:themeColor="text1"/>
                <w:sz w:val="24"/>
                <w:szCs w:val="24"/>
                <w:lang w:val="en-US" w:eastAsia="zh-CN"/>
                <w14:textFill>
                  <w14:solidFill>
                    <w14:schemeClr w14:val="tx1"/>
                  </w14:solidFill>
                </w14:textFill>
              </w:rPr>
              <w:t>为1</w:t>
            </w:r>
            <w:r>
              <w:rPr>
                <w:rFonts w:hint="eastAsia" w:ascii="方正仿宋_GBK" w:hAnsi="仿宋_GB2312" w:eastAsia="方正仿宋_GBK" w:cs="仿宋_GB2312"/>
                <w:color w:val="000000" w:themeColor="text1"/>
                <w:sz w:val="24"/>
                <w:szCs w:val="24"/>
                <w14:textFill>
                  <w14:solidFill>
                    <w14:schemeClr w14:val="tx1"/>
                  </w14:solidFill>
                </w14:textFill>
              </w:rPr>
              <w:t>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9" w:hRule="exact"/>
        </w:trPr>
        <w:tc>
          <w:tcPr>
            <w:tcW w:w="1843"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sz w:val="24"/>
                <w:szCs w:val="24"/>
              </w:rPr>
            </w:pPr>
            <w:r>
              <w:rPr>
                <w:rFonts w:hint="eastAsia" w:ascii="方正仿宋_GBK" w:hAnsi="仿宋_GB2312" w:eastAsia="方正仿宋_GBK" w:cs="仿宋_GB2312"/>
                <w:sz w:val="24"/>
                <w:szCs w:val="24"/>
              </w:rPr>
              <w:t>项目具体概况</w:t>
            </w:r>
          </w:p>
        </w:tc>
        <w:tc>
          <w:tcPr>
            <w:tcW w:w="6946" w:type="dxa"/>
            <w:gridSpan w:val="2"/>
            <w:vAlign w:val="center"/>
          </w:tcPr>
          <w:p>
            <w:pPr>
              <w:keepNext w:val="0"/>
              <w:keepLines w:val="0"/>
              <w:pageBreakBefore w:val="0"/>
              <w:widowControl w:val="0"/>
              <w:kinsoku/>
              <w:wordWrap/>
              <w:overflowPunct/>
              <w:topLinePunct w:val="0"/>
              <w:autoSpaceDE/>
              <w:autoSpaceDN/>
              <w:bidi w:val="0"/>
              <w:adjustRightInd/>
              <w:spacing w:line="400" w:lineRule="exact"/>
              <w:ind w:firstLine="480" w:firstLineChars="200"/>
              <w:jc w:val="both"/>
              <w:textAlignment w:val="auto"/>
              <w:rPr>
                <w:rFonts w:hint="default" w:ascii="方正仿宋_GBK" w:hAnsi="仿宋_GB2312" w:eastAsia="方正仿宋_GBK" w:cs="仿宋_GB2312"/>
                <w:color w:val="000000" w:themeColor="text1"/>
                <w:sz w:val="24"/>
                <w:szCs w:val="24"/>
                <w:lang w:val="en-US" w:eastAsia="zh-CN"/>
                <w14:textFill>
                  <w14:solidFill>
                    <w14:schemeClr w14:val="tx1"/>
                  </w14:solidFill>
                </w14:textFill>
              </w:rPr>
            </w:pPr>
            <w:r>
              <w:rPr>
                <w:rFonts w:hint="eastAsia" w:ascii="方正仿宋_GBK" w:hAnsi="仿宋_GB2312" w:eastAsia="方正仿宋_GBK" w:cs="仿宋_GB2312"/>
                <w:color w:val="000000" w:themeColor="text1"/>
                <w:sz w:val="24"/>
                <w:szCs w:val="24"/>
                <w14:textFill>
                  <w14:solidFill>
                    <w14:schemeClr w14:val="tx1"/>
                  </w14:solidFill>
                </w14:textFill>
              </w:rPr>
              <w:t>大竹林F标准分区F06-6-1/06地块（九曲河公交站场）位于重庆市渝北区平祥路，占地面积为55850m</w:t>
            </w:r>
            <w:r>
              <w:rPr>
                <w:rFonts w:hint="eastAsia" w:ascii="方正仿宋_GBK" w:hAnsi="仿宋_GB2312" w:eastAsia="方正仿宋_GBK" w:cs="仿宋_GB2312"/>
                <w:color w:val="000000" w:themeColor="text1"/>
                <w:sz w:val="24"/>
                <w:szCs w:val="24"/>
                <w:vertAlign w:val="superscript"/>
                <w14:textFill>
                  <w14:solidFill>
                    <w14:schemeClr w14:val="tx1"/>
                  </w14:solidFill>
                </w14:textFill>
              </w:rPr>
              <w:t>2</w:t>
            </w:r>
            <w:r>
              <w:rPr>
                <w:rFonts w:hint="eastAsia" w:ascii="方正仿宋_GBK" w:hAnsi="仿宋_GB2312" w:eastAsia="方正仿宋_GBK" w:cs="仿宋_GB2312"/>
                <w:color w:val="000000" w:themeColor="text1"/>
                <w:sz w:val="24"/>
                <w:szCs w:val="24"/>
                <w14:textFill>
                  <w14:solidFill>
                    <w14:schemeClr w14:val="tx1"/>
                  </w14:solidFill>
                </w14:textFill>
              </w:rPr>
              <w:t>（约83.8亩）</w:t>
            </w:r>
            <w:r>
              <w:rPr>
                <w:rFonts w:hint="eastAsia" w:ascii="方正仿宋_GBK" w:hAnsi="仿宋_GB2312" w:eastAsia="方正仿宋_GBK" w:cs="仿宋_GB2312"/>
                <w:color w:val="000000" w:themeColor="text1"/>
                <w:sz w:val="24"/>
                <w:szCs w:val="24"/>
                <w:lang w:eastAsia="zh-CN"/>
                <w14:textFill>
                  <w14:solidFill>
                    <w14:schemeClr w14:val="tx1"/>
                  </w14:solidFill>
                </w14:textFill>
              </w:rPr>
              <w:t>，</w:t>
            </w:r>
            <w:r>
              <w:rPr>
                <w:rFonts w:hint="eastAsia" w:ascii="方正仿宋_GBK" w:hAnsi="仿宋_GB2312" w:eastAsia="方正仿宋_GBK" w:cs="仿宋_GB2312"/>
                <w:color w:val="000000" w:themeColor="text1"/>
                <w:sz w:val="24"/>
                <w:szCs w:val="24"/>
                <w:lang w:val="en-US" w:eastAsia="zh-CN"/>
                <w14:textFill>
                  <w14:solidFill>
                    <w14:schemeClr w14:val="tx1"/>
                  </w14:solidFill>
                </w14:textFill>
              </w:rPr>
              <w:t>为办理土地划拨手续，</w:t>
            </w:r>
            <w:r>
              <w:rPr>
                <w:rFonts w:hint="eastAsia" w:ascii="方正仿宋_GBK" w:hAnsi="仿宋_GB2312" w:eastAsia="方正仿宋_GBK" w:cs="仿宋_GB2312"/>
                <w:color w:val="000000" w:themeColor="text1"/>
                <w:sz w:val="24"/>
                <w:szCs w:val="24"/>
                <w14:textFill>
                  <w14:solidFill>
                    <w14:schemeClr w14:val="tx1"/>
                  </w14:solidFill>
                </w14:textFill>
              </w:rPr>
              <w:t>根据前期土壤污染状况调查和风险评估表明，按照第一类用地标准评估，该地块部分土壤中石油烃（C10~C40）含量超过了第一类用地筛选值，需修复土壤总面积约412.3</w:t>
            </w:r>
            <w:r>
              <w:rPr>
                <w:rFonts w:hint="eastAsia" w:ascii="方正仿宋_GBK" w:hAnsi="仿宋_GB2312" w:eastAsia="方正仿宋_GBK" w:cs="仿宋_GB2312"/>
                <w:color w:val="000000" w:themeColor="text1"/>
                <w:sz w:val="24"/>
                <w:szCs w:val="24"/>
                <w:lang w:val="en-US" w:eastAsia="zh-CN"/>
                <w14:textFill>
                  <w14:solidFill>
                    <w14:schemeClr w14:val="tx1"/>
                  </w14:solidFill>
                </w14:textFill>
              </w:rPr>
              <w:t>平方米</w:t>
            </w:r>
            <w:r>
              <w:rPr>
                <w:rFonts w:hint="eastAsia" w:ascii="方正仿宋_GBK" w:hAnsi="仿宋_GB2312" w:eastAsia="方正仿宋_GBK" w:cs="仿宋_GB2312"/>
                <w:color w:val="000000" w:themeColor="text1"/>
                <w:sz w:val="24"/>
                <w:szCs w:val="24"/>
                <w14:textFill>
                  <w14:solidFill>
                    <w14:schemeClr w14:val="tx1"/>
                  </w14:solidFill>
                </w14:textFill>
              </w:rPr>
              <w:t>，总方量约728.2</w:t>
            </w:r>
            <w:r>
              <w:rPr>
                <w:rFonts w:hint="eastAsia" w:ascii="方正仿宋_GBK" w:hAnsi="仿宋_GB2312" w:eastAsia="方正仿宋_GBK" w:cs="仿宋_GB2312"/>
                <w:color w:val="000000" w:themeColor="text1"/>
                <w:sz w:val="24"/>
                <w:szCs w:val="24"/>
                <w:lang w:val="en-US" w:eastAsia="zh-CN"/>
                <w14:textFill>
                  <w14:solidFill>
                    <w14:schemeClr w14:val="tx1"/>
                  </w14:solidFill>
                </w14:textFill>
              </w:rPr>
              <w:t>立方米</w:t>
            </w:r>
            <w:r>
              <w:rPr>
                <w:rFonts w:hint="eastAsia" w:ascii="方正仿宋_GBK" w:hAnsi="仿宋_GB2312" w:eastAsia="方正仿宋_GBK" w:cs="仿宋_GB2312"/>
                <w:color w:val="000000" w:themeColor="text1"/>
                <w:sz w:val="24"/>
                <w:szCs w:val="24"/>
                <w14:textFill>
                  <w14:solidFill>
                    <w14:schemeClr w14:val="tx1"/>
                  </w14:solidFill>
                </w14:textFill>
              </w:rPr>
              <w:t>，</w:t>
            </w:r>
            <w:r>
              <w:rPr>
                <w:rFonts w:hint="eastAsia" w:ascii="方正仿宋_GBK" w:hAnsi="仿宋_GB2312" w:eastAsia="方正仿宋_GBK" w:cs="仿宋_GB2312"/>
                <w:color w:val="000000" w:themeColor="text1"/>
                <w:sz w:val="24"/>
                <w:szCs w:val="24"/>
                <w:lang w:val="en-US" w:eastAsia="zh-CN"/>
                <w14:textFill>
                  <w14:solidFill>
                    <w14:schemeClr w14:val="tx1"/>
                  </w14:solidFill>
                </w14:textFill>
              </w:rPr>
              <w:t>修复完成后</w:t>
            </w:r>
            <w:r>
              <w:rPr>
                <w:rFonts w:hint="eastAsia" w:ascii="方正仿宋_GBK" w:hAnsi="仿宋_GB2312" w:eastAsia="方正仿宋_GBK" w:cs="仿宋_GB2312"/>
                <w:color w:val="000000" w:themeColor="text1"/>
                <w:sz w:val="24"/>
                <w:szCs w:val="24"/>
                <w14:textFill>
                  <w14:solidFill>
                    <w14:schemeClr w14:val="tx1"/>
                  </w14:solidFill>
                </w14:textFill>
              </w:rPr>
              <w:t>需开展治理修复</w:t>
            </w:r>
            <w:r>
              <w:rPr>
                <w:rFonts w:hint="eastAsia" w:ascii="方正仿宋_GBK" w:hAnsi="仿宋_GB2312" w:eastAsia="方正仿宋_GBK" w:cs="仿宋_GB2312"/>
                <w:color w:val="000000" w:themeColor="text1"/>
                <w:sz w:val="24"/>
                <w:szCs w:val="24"/>
                <w:lang w:val="en-US" w:eastAsia="zh-CN"/>
                <w14:textFill>
                  <w14:solidFill>
                    <w14:schemeClr w14:val="tx1"/>
                  </w14:solidFill>
                </w14:textFill>
              </w:rPr>
              <w:t>效果评估</w:t>
            </w:r>
            <w:r>
              <w:rPr>
                <w:rFonts w:hint="eastAsia" w:ascii="方正仿宋_GBK" w:hAnsi="仿宋_GB2312" w:eastAsia="方正仿宋_GBK" w:cs="仿宋_GB2312"/>
                <w:color w:val="000000" w:themeColor="text1"/>
                <w:sz w:val="24"/>
                <w:szCs w:val="24"/>
                <w14:textFill>
                  <w14:solidFill>
                    <w14:schemeClr w14:val="tx1"/>
                  </w14:solidFill>
                </w14:textFill>
              </w:rPr>
              <w:t>工作，现需委托污染土壤治理修复</w:t>
            </w:r>
            <w:r>
              <w:rPr>
                <w:rFonts w:hint="eastAsia" w:ascii="方正仿宋_GBK" w:hAnsi="仿宋_GB2312" w:eastAsia="方正仿宋_GBK" w:cs="仿宋_GB2312"/>
                <w:color w:val="000000" w:themeColor="text1"/>
                <w:sz w:val="24"/>
                <w:szCs w:val="24"/>
                <w:lang w:val="en-US" w:eastAsia="zh-CN"/>
                <w14:textFill>
                  <w14:solidFill>
                    <w14:schemeClr w14:val="tx1"/>
                  </w14:solidFill>
                </w14:textFill>
              </w:rPr>
              <w:t>评估</w:t>
            </w:r>
            <w:r>
              <w:rPr>
                <w:rFonts w:hint="eastAsia" w:ascii="方正仿宋_GBK" w:hAnsi="仿宋_GB2312" w:eastAsia="方正仿宋_GBK" w:cs="仿宋_GB2312"/>
                <w:color w:val="000000" w:themeColor="text1"/>
                <w:sz w:val="24"/>
                <w:szCs w:val="24"/>
                <w14:textFill>
                  <w14:solidFill>
                    <w14:schemeClr w14:val="tx1"/>
                  </w14:solidFill>
                </w14:textFill>
              </w:rPr>
              <w:t>单位对该地块</w:t>
            </w:r>
            <w:r>
              <w:rPr>
                <w:rFonts w:hint="eastAsia" w:ascii="方正仿宋_GBK" w:hAnsi="仿宋_GB2312" w:eastAsia="方正仿宋_GBK" w:cs="仿宋_GB2312"/>
                <w:color w:val="000000" w:themeColor="text1"/>
                <w:sz w:val="24"/>
                <w:szCs w:val="24"/>
                <w:lang w:val="en-US" w:eastAsia="zh-CN"/>
                <w14:textFill>
                  <w14:solidFill>
                    <w14:schemeClr w14:val="tx1"/>
                  </w14:solidFill>
                </w14:textFill>
              </w:rPr>
              <w:t>完成</w:t>
            </w:r>
            <w:r>
              <w:rPr>
                <w:rFonts w:hint="eastAsia" w:ascii="方正仿宋_GBK" w:hAnsi="仿宋_GB2312" w:eastAsia="方正仿宋_GBK" w:cs="仿宋_GB2312"/>
                <w:color w:val="000000" w:themeColor="text1"/>
                <w:sz w:val="24"/>
                <w:szCs w:val="24"/>
                <w14:textFill>
                  <w14:solidFill>
                    <w14:schemeClr w14:val="tx1"/>
                  </w14:solidFill>
                </w14:textFill>
              </w:rPr>
              <w:t>污染</w:t>
            </w:r>
            <w:r>
              <w:rPr>
                <w:rFonts w:hint="eastAsia" w:ascii="方正仿宋_GBK" w:hAnsi="仿宋_GB2312" w:eastAsia="方正仿宋_GBK" w:cs="仿宋_GB2312"/>
                <w:color w:val="000000" w:themeColor="text1"/>
                <w:sz w:val="24"/>
                <w:szCs w:val="24"/>
                <w:lang w:val="en-US" w:eastAsia="zh-CN"/>
                <w14:textFill>
                  <w14:solidFill>
                    <w14:schemeClr w14:val="tx1"/>
                  </w14:solidFill>
                </w14:textFill>
              </w:rPr>
              <w:t>修复治理</w:t>
            </w:r>
            <w:r>
              <w:rPr>
                <w:rFonts w:hint="eastAsia" w:ascii="方正仿宋_GBK" w:hAnsi="仿宋_GB2312" w:eastAsia="方正仿宋_GBK" w:cs="仿宋_GB2312"/>
                <w:color w:val="000000" w:themeColor="text1"/>
                <w:sz w:val="24"/>
                <w:szCs w:val="24"/>
                <w14:textFill>
                  <w14:solidFill>
                    <w14:schemeClr w14:val="tx1"/>
                  </w14:solidFill>
                </w14:textFill>
              </w:rPr>
              <w:t>部分进行</w:t>
            </w:r>
            <w:r>
              <w:rPr>
                <w:rFonts w:hint="eastAsia" w:ascii="方正仿宋_GBK" w:hAnsi="仿宋_GB2312" w:eastAsia="方正仿宋_GBK" w:cs="仿宋_GB2312"/>
                <w:color w:val="000000" w:themeColor="text1"/>
                <w:sz w:val="24"/>
                <w:szCs w:val="24"/>
                <w:lang w:val="en-US" w:eastAsia="zh-CN"/>
                <w14:textFill>
                  <w14:solidFill>
                    <w14:schemeClr w14:val="tx1"/>
                  </w14:solidFill>
                </w14:textFill>
              </w:rPr>
              <w:t>效果评估</w:t>
            </w:r>
            <w:r>
              <w:rPr>
                <w:rFonts w:hint="eastAsia" w:ascii="方正仿宋_GBK" w:hAnsi="仿宋_GB2312" w:eastAsia="方正仿宋_GBK" w:cs="仿宋_GB2312"/>
                <w:color w:val="000000" w:themeColor="text1"/>
                <w:sz w:val="24"/>
                <w:szCs w:val="24"/>
                <w:lang w:eastAsia="zh-CN"/>
                <w14:textFill>
                  <w14:solidFill>
                    <w14:schemeClr w14:val="tx1"/>
                  </w14:solidFill>
                </w14:textFill>
              </w:rPr>
              <w:t>，</w:t>
            </w:r>
            <w:r>
              <w:rPr>
                <w:rFonts w:hint="eastAsia" w:ascii="方正仿宋_GBK" w:hAnsi="仿宋_GB2312" w:eastAsia="方正仿宋_GBK" w:cs="仿宋_GB2312"/>
                <w:color w:val="000000" w:themeColor="text1"/>
                <w:sz w:val="24"/>
                <w:szCs w:val="24"/>
                <w:lang w:val="en-US" w:eastAsia="zh-CN"/>
                <w14:textFill>
                  <w14:solidFill>
                    <w14:schemeClr w14:val="tx1"/>
                  </w14:solidFill>
                </w14:textFill>
              </w:rPr>
              <w:t>另根据工作需要该地块需进行控规维护，维护完成后规划性质及面积不变，但地块边界存在一定的变化，变化范围约18亩，我司已委托调查单位进行了初步</w:t>
            </w:r>
            <w:r>
              <w:rPr>
                <w:rFonts w:hint="eastAsia" w:ascii="方正仿宋_GBK" w:hAnsi="仿宋_GB2312" w:eastAsia="方正仿宋_GBK" w:cs="仿宋_GB2312"/>
                <w:color w:val="000000" w:themeColor="text1"/>
                <w:sz w:val="24"/>
                <w:szCs w:val="24"/>
                <w14:textFill>
                  <w14:solidFill>
                    <w14:schemeClr w14:val="tx1"/>
                  </w14:solidFill>
                </w14:textFill>
              </w:rPr>
              <w:t>土壤污染状况调查</w:t>
            </w:r>
            <w:r>
              <w:rPr>
                <w:rFonts w:hint="eastAsia" w:ascii="方正仿宋_GBK" w:hAnsi="仿宋_GB2312" w:eastAsia="方正仿宋_GBK" w:cs="仿宋_GB2312"/>
                <w:color w:val="000000" w:themeColor="text1"/>
                <w:sz w:val="24"/>
                <w:szCs w:val="24"/>
                <w:lang w:eastAsia="zh-CN"/>
                <w14:textFill>
                  <w14:solidFill>
                    <w14:schemeClr w14:val="tx1"/>
                  </w14:solidFill>
                </w14:textFill>
              </w:rPr>
              <w:t>，</w:t>
            </w:r>
            <w:r>
              <w:rPr>
                <w:rFonts w:hint="eastAsia" w:ascii="方正仿宋_GBK" w:hAnsi="仿宋_GB2312" w:eastAsia="方正仿宋_GBK" w:cs="仿宋_GB2312"/>
                <w:color w:val="000000" w:themeColor="text1"/>
                <w:sz w:val="24"/>
                <w:szCs w:val="24"/>
                <w:lang w:val="en-US" w:eastAsia="zh-CN"/>
                <w14:textFill>
                  <w14:solidFill>
                    <w14:schemeClr w14:val="tx1"/>
                  </w14:solidFill>
                </w14:textFill>
              </w:rPr>
              <w:t>初步调查结果为无污染，污染土壤治理修复效果评估单位需根据综合控规维护前后范围的治理修复情况进行效果评估，取得相关主管部门完成修复治理或相关通过意见，确保该地块在控规维护后能顺利完成土地划拨手续。</w:t>
            </w:r>
          </w:p>
          <w:p>
            <w:pPr>
              <w:keepNext w:val="0"/>
              <w:keepLines w:val="0"/>
              <w:pageBreakBefore w:val="0"/>
              <w:widowControl w:val="0"/>
              <w:kinsoku/>
              <w:wordWrap/>
              <w:overflowPunct/>
              <w:topLinePunct w:val="0"/>
              <w:autoSpaceDE/>
              <w:autoSpaceDN/>
              <w:bidi w:val="0"/>
              <w:adjustRightInd/>
              <w:spacing w:line="400" w:lineRule="exact"/>
              <w:ind w:firstLine="600" w:firstLineChars="250"/>
              <w:jc w:val="left"/>
              <w:textAlignment w:val="auto"/>
              <w:rPr>
                <w:rFonts w:ascii="方正仿宋_GBK" w:hAnsi="仿宋_GB2312" w:eastAsia="方正仿宋_GBK" w:cs="仿宋_GB2312"/>
                <w:color w:val="000000" w:themeColor="text1"/>
                <w:sz w:val="24"/>
                <w:szCs w:val="24"/>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trPr>
        <w:tc>
          <w:tcPr>
            <w:tcW w:w="1843"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ascii="方正仿宋_GBK" w:hAnsi="仿宋_GB2312" w:eastAsia="方正仿宋_GBK" w:cs="仿宋_GB2312"/>
                <w:color w:val="000000" w:themeColor="text1"/>
                <w:sz w:val="24"/>
                <w:szCs w:val="24"/>
                <w14:textFill>
                  <w14:solidFill>
                    <w14:schemeClr w14:val="tx1"/>
                  </w14:solidFill>
                </w14:textFill>
              </w:rPr>
            </w:pPr>
            <w:r>
              <w:rPr>
                <w:rFonts w:hint="eastAsia" w:ascii="方正仿宋_GBK" w:hAnsi="仿宋_GB2312" w:eastAsia="方正仿宋_GBK" w:cs="仿宋_GB2312"/>
                <w:color w:val="000000" w:themeColor="text1"/>
                <w:sz w:val="24"/>
                <w:szCs w:val="24"/>
                <w14:textFill>
                  <w14:solidFill>
                    <w14:schemeClr w14:val="tx1"/>
                  </w14:solidFill>
                </w14:textFill>
              </w:rPr>
              <w:t>工期</w:t>
            </w:r>
          </w:p>
        </w:tc>
        <w:tc>
          <w:tcPr>
            <w:tcW w:w="6946" w:type="dxa"/>
            <w:gridSpan w:val="2"/>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default" w:ascii="方正仿宋_GBK" w:hAnsi="仿宋_GB2312" w:eastAsia="方正仿宋_GBK" w:cs="仿宋_GB2312"/>
                <w:color w:val="000000" w:themeColor="text1"/>
                <w:sz w:val="24"/>
                <w:szCs w:val="24"/>
                <w:lang w:val="en-US" w:eastAsia="zh-CN"/>
                <w14:textFill>
                  <w14:solidFill>
                    <w14:schemeClr w14:val="tx1"/>
                  </w14:solidFill>
                </w14:textFill>
              </w:rPr>
            </w:pPr>
            <w:r>
              <w:rPr>
                <w:rFonts w:hint="eastAsia" w:ascii="方正仿宋_GBK" w:hAnsi="仿宋_GB2312" w:eastAsia="方正仿宋_GBK" w:cs="仿宋_GB2312"/>
                <w:color w:val="000000" w:themeColor="text1"/>
                <w:sz w:val="24"/>
                <w:szCs w:val="24"/>
                <w:lang w:val="en-US" w:eastAsia="zh-CN"/>
                <w14:textFill>
                  <w14:solidFill>
                    <w14:schemeClr w14:val="tx1"/>
                  </w14:solidFill>
                </w14:textFill>
              </w:rPr>
              <w:t>7</w:t>
            </w:r>
            <w:r>
              <w:rPr>
                <w:rFonts w:hint="eastAsia" w:ascii="方正仿宋_GBK" w:hAnsi="仿宋_GB2312" w:eastAsia="方正仿宋_GBK" w:cs="仿宋_GB2312"/>
                <w:color w:val="000000" w:themeColor="text1"/>
                <w:sz w:val="24"/>
                <w:szCs w:val="24"/>
                <w14:textFill>
                  <w14:solidFill>
                    <w14:schemeClr w14:val="tx1"/>
                  </w14:solidFill>
                </w14:textFill>
              </w:rPr>
              <w:t>0</w:t>
            </w:r>
            <w:r>
              <w:rPr>
                <w:rFonts w:hint="eastAsia" w:ascii="方正仿宋_GBK" w:hAnsi="仿宋_GB2312" w:eastAsia="方正仿宋_GBK" w:cs="仿宋_GB2312"/>
                <w:color w:val="000000" w:themeColor="text1"/>
                <w:sz w:val="24"/>
                <w:szCs w:val="24"/>
                <w:lang w:val="en-US" w:eastAsia="zh-CN"/>
                <w14:textFill>
                  <w14:solidFill>
                    <w14:schemeClr w14:val="tx1"/>
                  </w14:solidFill>
                </w14:textFill>
              </w:rPr>
              <w:t>个自然日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exact"/>
        </w:trPr>
        <w:tc>
          <w:tcPr>
            <w:tcW w:w="1843"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sz w:val="24"/>
                <w:szCs w:val="24"/>
              </w:rPr>
            </w:pPr>
            <w:r>
              <w:rPr>
                <w:rFonts w:hint="eastAsia" w:ascii="方正仿宋_GBK" w:hAnsi="仿宋_GB2312" w:eastAsia="方正仿宋_GBK" w:cs="仿宋_GB2312"/>
                <w:sz w:val="24"/>
                <w:szCs w:val="24"/>
              </w:rPr>
              <w:t>预计开展时间</w:t>
            </w:r>
          </w:p>
        </w:tc>
        <w:tc>
          <w:tcPr>
            <w:tcW w:w="6946" w:type="dxa"/>
            <w:gridSpan w:val="2"/>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方正仿宋_GBK" w:hAnsi="仿宋_GB2312" w:eastAsia="方正仿宋_GBK" w:cs="仿宋_GB2312"/>
                <w:color w:val="FF0000"/>
                <w:sz w:val="24"/>
                <w:szCs w:val="24"/>
              </w:rPr>
            </w:pPr>
            <w:r>
              <w:rPr>
                <w:rFonts w:hint="eastAsia" w:ascii="方正仿宋_GBK" w:hAnsi="仿宋_GB2312" w:eastAsia="方正仿宋_GBK" w:cs="仿宋_GB2312"/>
                <w:color w:val="000000" w:themeColor="text1"/>
                <w:sz w:val="24"/>
                <w:szCs w:val="24"/>
                <w:lang w:val="en-US" w:eastAsia="zh-CN"/>
                <w14:textFill>
                  <w14:solidFill>
                    <w14:schemeClr w14:val="tx1"/>
                  </w14:solidFill>
                </w14:textFill>
              </w:rPr>
              <w:t>具体开工时间以合同签订之日为准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789" w:type="dxa"/>
            <w:gridSpan w:val="3"/>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ascii="方正仿宋_GBK" w:hAnsi="仿宋_GB2312" w:eastAsia="方正仿宋_GBK" w:cs="仿宋_GB2312"/>
                <w:b/>
                <w:color w:val="000000" w:themeColor="text1"/>
                <w:sz w:val="24"/>
                <w:szCs w:val="24"/>
                <w14:textFill>
                  <w14:solidFill>
                    <w14:schemeClr w14:val="tx1"/>
                  </w14:solidFill>
                </w14:textFill>
              </w:rPr>
            </w:pPr>
            <w:r>
              <w:rPr>
                <w:rFonts w:hint="eastAsia" w:ascii="方正仿宋_GBK" w:hAnsi="仿宋_GB2312" w:eastAsia="方正仿宋_GBK" w:cs="仿宋_GB2312"/>
                <w:b/>
                <w:color w:val="000000" w:themeColor="text1"/>
                <w:sz w:val="24"/>
                <w:szCs w:val="24"/>
                <w14:textFill>
                  <w14:solidFill>
                    <w14:schemeClr w14:val="tx1"/>
                  </w14:solidFill>
                </w14:textFill>
              </w:rPr>
              <w:t>二、比选被邀请人须知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exact"/>
        </w:trPr>
        <w:tc>
          <w:tcPr>
            <w:tcW w:w="2160" w:type="dxa"/>
            <w:gridSpan w:val="2"/>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ascii="方正仿宋_GBK" w:hAnsi="仿宋_GB2312" w:eastAsia="方正仿宋_GBK" w:cs="仿宋_GB2312"/>
                <w:sz w:val="24"/>
                <w:szCs w:val="24"/>
              </w:rPr>
            </w:pPr>
            <w:r>
              <w:rPr>
                <w:rFonts w:hint="eastAsia" w:ascii="方正仿宋_GBK" w:hAnsi="仿宋_GB2312" w:eastAsia="方正仿宋_GBK" w:cs="仿宋_GB2312"/>
                <w:sz w:val="24"/>
                <w:szCs w:val="24"/>
              </w:rPr>
              <w:t>比选范围及内容</w:t>
            </w:r>
          </w:p>
        </w:tc>
        <w:tc>
          <w:tcPr>
            <w:tcW w:w="6629" w:type="dxa"/>
            <w:vAlign w:val="center"/>
          </w:tcPr>
          <w:p>
            <w:pPr>
              <w:keepNext w:val="0"/>
              <w:keepLines w:val="0"/>
              <w:pageBreakBefore w:val="0"/>
              <w:widowControl w:val="0"/>
              <w:kinsoku/>
              <w:wordWrap/>
              <w:overflowPunct/>
              <w:topLinePunct w:val="0"/>
              <w:autoSpaceDE/>
              <w:autoSpaceDN/>
              <w:bidi w:val="0"/>
              <w:adjustRightInd/>
              <w:spacing w:line="400" w:lineRule="exact"/>
              <w:ind w:firstLine="600" w:firstLineChars="250"/>
              <w:jc w:val="both"/>
              <w:textAlignment w:val="auto"/>
              <w:rPr>
                <w:rFonts w:hint="default" w:ascii="方正仿宋_GBK" w:hAnsi="仿宋_GB2312" w:eastAsia="方正仿宋_GBK" w:cs="仿宋_GB2312"/>
                <w:color w:val="000000" w:themeColor="text1"/>
                <w:sz w:val="24"/>
                <w:szCs w:val="24"/>
                <w:lang w:val="en-US" w:eastAsia="zh-CN"/>
                <w14:textFill>
                  <w14:solidFill>
                    <w14:schemeClr w14:val="tx1"/>
                  </w14:solidFill>
                </w14:textFill>
              </w:rPr>
            </w:pPr>
            <w:r>
              <w:rPr>
                <w:rFonts w:hint="eastAsia" w:ascii="方正仿宋_GBK" w:hAnsi="仿宋_GB2312" w:eastAsia="方正仿宋_GBK" w:cs="仿宋_GB2312"/>
                <w:sz w:val="24"/>
                <w:szCs w:val="24"/>
              </w:rPr>
              <w:t>对上述</w:t>
            </w:r>
            <w:r>
              <w:rPr>
                <w:rFonts w:hint="eastAsia" w:ascii="方正仿宋_GBK" w:hAnsi="仿宋_GB2312" w:eastAsia="方正仿宋_GBK" w:cs="仿宋_GB2312"/>
                <w:sz w:val="24"/>
                <w:szCs w:val="24"/>
                <w:lang w:val="en-US" w:eastAsia="zh-CN"/>
              </w:rPr>
              <w:t>项目</w:t>
            </w:r>
            <w:r>
              <w:rPr>
                <w:rFonts w:hint="eastAsia" w:ascii="方正仿宋_GBK" w:hAnsi="仿宋_GB2312" w:eastAsia="方正仿宋_GBK" w:cs="仿宋_GB2312"/>
                <w:sz w:val="24"/>
                <w:szCs w:val="24"/>
              </w:rPr>
              <w:t>进行</w:t>
            </w:r>
            <w:r>
              <w:rPr>
                <w:rFonts w:hint="eastAsia" w:ascii="方正仿宋_GBK" w:hAnsi="仿宋_GB2312" w:eastAsia="方正仿宋_GBK" w:cs="仿宋_GB2312"/>
                <w:sz w:val="22"/>
                <w:szCs w:val="22"/>
              </w:rPr>
              <w:t>场地</w:t>
            </w:r>
            <w:r>
              <w:rPr>
                <w:rFonts w:hint="eastAsia" w:ascii="方正仿宋_GBK" w:hAnsi="仿宋_GB2312" w:eastAsia="方正仿宋_GBK" w:cs="仿宋_GB2312"/>
                <w:sz w:val="24"/>
                <w:szCs w:val="24"/>
              </w:rPr>
              <w:t>污染土壤治理修复效果评估工作，</w:t>
            </w:r>
            <w:r>
              <w:rPr>
                <w:rFonts w:hint="eastAsia" w:ascii="方正仿宋_GBK" w:hAnsi="仿宋_GB2312" w:eastAsia="方正仿宋_GBK" w:cs="仿宋_GB2312"/>
                <w:color w:val="000000" w:themeColor="text1"/>
                <w:sz w:val="24"/>
                <w:szCs w:val="24"/>
                <w:lang w:val="en-US" w:eastAsia="zh-CN"/>
                <w14:textFill>
                  <w14:solidFill>
                    <w14:schemeClr w14:val="tx1"/>
                  </w14:solidFill>
                </w14:textFill>
              </w:rPr>
              <w:t>综合控规维护前后范围进行治理修复效果评估，取得相关主管部门完成修复治理相关意见或无污染意见，确保该地块在控规维护后能顺利完成土地划拨手续。</w:t>
            </w:r>
          </w:p>
          <w:p>
            <w:pPr>
              <w:keepNext w:val="0"/>
              <w:keepLines w:val="0"/>
              <w:pageBreakBefore w:val="0"/>
              <w:widowControl w:val="0"/>
              <w:tabs>
                <w:tab w:val="left" w:pos="-7488"/>
              </w:tabs>
              <w:kinsoku/>
              <w:wordWrap/>
              <w:overflowPunct/>
              <w:topLinePunct w:val="0"/>
              <w:autoSpaceDE/>
              <w:autoSpaceDN/>
              <w:bidi w:val="0"/>
              <w:adjustRightInd/>
              <w:spacing w:line="400" w:lineRule="exact"/>
              <w:ind w:right="611" w:rightChars="291"/>
              <w:jc w:val="center"/>
              <w:textAlignment w:val="auto"/>
              <w:rPr>
                <w:rFonts w:ascii="方正仿宋_GBK" w:hAnsi="仿宋_GB2312" w:eastAsia="方正仿宋_GBK"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1" w:hRule="exact"/>
        </w:trPr>
        <w:tc>
          <w:tcPr>
            <w:tcW w:w="2160" w:type="dxa"/>
            <w:gridSpan w:val="2"/>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ascii="方正仿宋_GBK" w:hAnsi="仿宋_GB2312" w:eastAsia="方正仿宋_GBK" w:cs="仿宋_GB2312"/>
                <w:sz w:val="24"/>
                <w:szCs w:val="24"/>
              </w:rPr>
            </w:pPr>
            <w:r>
              <w:rPr>
                <w:rFonts w:hint="eastAsia" w:ascii="方正仿宋_GBK" w:hAnsi="仿宋_GB2312" w:eastAsia="方正仿宋_GBK" w:cs="仿宋_GB2312"/>
                <w:sz w:val="24"/>
                <w:szCs w:val="24"/>
              </w:rPr>
              <w:t>比选被邀请人资格要求</w:t>
            </w:r>
          </w:p>
        </w:tc>
        <w:tc>
          <w:tcPr>
            <w:tcW w:w="6629" w:type="dxa"/>
            <w:vAlign w:val="top"/>
          </w:tcPr>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方正仿宋_GBK" w:hAnsi="仿宋_GB2312" w:eastAsia="方正仿宋_GBK" w:cs="仿宋_GB2312"/>
                <w:color w:val="000000" w:themeColor="text1"/>
                <w:sz w:val="24"/>
                <w:szCs w:val="24"/>
                <w14:textFill>
                  <w14:solidFill>
                    <w14:schemeClr w14:val="tx1"/>
                  </w14:solidFill>
                </w14:textFill>
              </w:rPr>
            </w:pPr>
            <w:bookmarkStart w:id="1" w:name="OLE_LINK2"/>
            <w:r>
              <w:rPr>
                <w:rFonts w:hint="eastAsia" w:ascii="方正仿宋_GBK" w:hAnsi="仿宋_GB2312" w:eastAsia="方正仿宋_GBK" w:cs="仿宋_GB2312"/>
                <w:color w:val="000000" w:themeColor="text1"/>
                <w:sz w:val="24"/>
                <w:szCs w:val="24"/>
                <w14:textFill>
                  <w14:solidFill>
                    <w14:schemeClr w14:val="tx1"/>
                  </w14:solidFill>
                </w14:textFill>
              </w:rPr>
              <w:t>（1）为独立法人，不接受联合体投标；</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方正仿宋_GBK" w:hAnsi="仿宋_GB2312" w:eastAsia="方正仿宋_GBK" w:cs="仿宋_GB2312"/>
                <w:color w:val="000000" w:themeColor="text1"/>
                <w:sz w:val="24"/>
                <w:szCs w:val="24"/>
                <w14:textFill>
                  <w14:solidFill>
                    <w14:schemeClr w14:val="tx1"/>
                  </w14:solidFill>
                </w14:textFill>
              </w:rPr>
            </w:pPr>
            <w:r>
              <w:rPr>
                <w:rFonts w:hint="eastAsia" w:ascii="方正仿宋_GBK" w:hAnsi="仿宋_GB2312" w:eastAsia="方正仿宋_GBK" w:cs="仿宋_GB2312"/>
                <w:color w:val="000000" w:themeColor="text1"/>
                <w:sz w:val="24"/>
                <w:szCs w:val="24"/>
                <w14:textFill>
                  <w14:solidFill>
                    <w14:schemeClr w14:val="tx1"/>
                  </w14:solidFill>
                </w14:textFill>
              </w:rPr>
              <w:t>（2）提供2020年1月1日至今承接的“土壤污染治理修复效果评估”业绩2个（需提供合同复印件及对应项目环保主管部门出具的项目审查复印件，加盖竞选人单位公章）。</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方正仿宋_GBK" w:hAnsi="仿宋_GB2312" w:eastAsia="方正仿宋_GBK" w:cs="仿宋_GB2312"/>
                <w:color w:val="000000" w:themeColor="text1"/>
                <w:sz w:val="24"/>
                <w:szCs w:val="24"/>
                <w14:textFill>
                  <w14:solidFill>
                    <w14:schemeClr w14:val="tx1"/>
                  </w14:solidFill>
                </w14:textFill>
              </w:rPr>
            </w:pPr>
            <w:r>
              <w:rPr>
                <w:rFonts w:hint="eastAsia" w:ascii="方正仿宋_GBK" w:hAnsi="仿宋_GB2312" w:eastAsia="方正仿宋_GBK" w:cs="仿宋_GB2312"/>
                <w:color w:val="000000" w:themeColor="text1"/>
                <w:sz w:val="24"/>
                <w:szCs w:val="24"/>
                <w14:textFill>
                  <w14:solidFill>
                    <w14:schemeClr w14:val="tx1"/>
                  </w14:solidFill>
                </w14:textFill>
              </w:rPr>
              <w:t>（3）项目负责人（1人）项目负责人应具有化学化工或环境类正高级及以上技术职称</w:t>
            </w:r>
            <w:r>
              <w:rPr>
                <w:rFonts w:hint="eastAsia" w:ascii="方正仿宋_GBK" w:hAnsi="仿宋_GB2312" w:eastAsia="方正仿宋_GBK" w:cs="仿宋_GB2312"/>
                <w:color w:val="000000" w:themeColor="text1"/>
                <w:sz w:val="24"/>
                <w:szCs w:val="24"/>
                <w:lang w:eastAsia="zh-CN"/>
                <w14:textFill>
                  <w14:solidFill>
                    <w14:schemeClr w14:val="tx1"/>
                  </w14:solidFill>
                </w14:textFill>
              </w:rPr>
              <w:t>；</w:t>
            </w:r>
            <w:r>
              <w:rPr>
                <w:rFonts w:hint="eastAsia" w:ascii="方正仿宋_GBK" w:hAnsi="仿宋_GB2312" w:eastAsia="方正仿宋_GBK" w:cs="仿宋_GB2312"/>
                <w:color w:val="000000" w:themeColor="text1"/>
                <w:sz w:val="24"/>
                <w:szCs w:val="24"/>
                <w14:textFill>
                  <w14:solidFill>
                    <w14:schemeClr w14:val="tx1"/>
                  </w14:solidFill>
                </w14:textFill>
              </w:rPr>
              <w:t>提供拟派项目负责人和项目组成人员的职称证书的复印件，</w:t>
            </w:r>
            <w:r>
              <w:rPr>
                <w:rFonts w:hint="eastAsia" w:ascii="方正仿宋_GBK" w:hAnsi="仿宋_GB2312" w:eastAsia="方正仿宋_GBK" w:cs="仿宋_GB2312"/>
                <w:color w:val="000000" w:themeColor="text1"/>
                <w:sz w:val="24"/>
                <w:szCs w:val="24"/>
                <w:lang w:val="en-US" w:eastAsia="zh-CN"/>
                <w14:textFill>
                  <w14:solidFill>
                    <w14:schemeClr w14:val="tx1"/>
                  </w14:solidFill>
                </w14:textFill>
              </w:rPr>
              <w:t>以及</w:t>
            </w:r>
            <w:r>
              <w:rPr>
                <w:rFonts w:hint="eastAsia" w:ascii="方正仿宋_GBK" w:hAnsi="仿宋_GB2312" w:eastAsia="方正仿宋_GBK" w:cs="仿宋_GB2312"/>
                <w:color w:val="000000" w:themeColor="text1"/>
                <w:sz w:val="24"/>
                <w:szCs w:val="24"/>
                <w14:textFill>
                  <w14:solidFill>
                    <w14:schemeClr w14:val="tx1"/>
                  </w14:solidFill>
                </w14:textFill>
              </w:rPr>
              <w:t>竞选人为其缴纳的个人社保证明材料的复印件加盖竞选人单位公章。</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方正仿宋_GBK" w:hAnsi="仿宋_GB2312" w:eastAsia="方正仿宋_GBK" w:cs="仿宋_GB2312"/>
                <w:color w:val="000000" w:themeColor="text1"/>
                <w:sz w:val="24"/>
                <w:szCs w:val="24"/>
                <w14:textFill>
                  <w14:solidFill>
                    <w14:schemeClr w14:val="tx1"/>
                  </w14:solidFill>
                </w14:textFill>
              </w:rPr>
            </w:pPr>
            <w:r>
              <w:rPr>
                <w:rFonts w:hint="eastAsia" w:ascii="方正仿宋_GBK" w:hAnsi="仿宋_GB2312" w:eastAsia="方正仿宋_GBK" w:cs="仿宋_GB2312"/>
                <w:color w:val="000000" w:themeColor="text1"/>
                <w:sz w:val="24"/>
                <w:szCs w:val="24"/>
                <w14:textFill>
                  <w14:solidFill>
                    <w14:schemeClr w14:val="tx1"/>
                  </w14:solidFill>
                </w14:textFill>
              </w:rPr>
              <w:t>（4）在2020或2021年度生态环境主管部门发布的《建设用地土壤污染防治相关技术报告评审（备案）通过情况》中污染土壤治理修复效果评估报告首次通过率达到100%（提供生态环境主管部门相关公示截图并加盖竞选人公章）。</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ascii="方正仿宋_GBK" w:hAnsi="仿宋_GB2312" w:eastAsia="方正仿宋_GBK" w:cs="仿宋_GB2312"/>
                <w:color w:val="FF0000"/>
                <w:sz w:val="24"/>
                <w:szCs w:val="24"/>
              </w:rPr>
            </w:pPr>
            <w:r>
              <w:rPr>
                <w:rFonts w:hint="eastAsia" w:ascii="方正仿宋_GBK" w:hAnsi="仿宋_GB2312" w:eastAsia="方正仿宋_GBK" w:cs="仿宋_GB2312"/>
                <w:color w:val="000000" w:themeColor="text1"/>
                <w:sz w:val="24"/>
                <w:szCs w:val="24"/>
                <w14:textFill>
                  <w14:solidFill>
                    <w14:schemeClr w14:val="tx1"/>
                  </w14:solidFill>
                </w14:textFill>
              </w:rPr>
              <w:t>（5）项目工作人员在开展项目后必须与比选申请文件一致，如未按要求到岗，比选人有权取消其中标资格。</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4" w:hRule="exact"/>
        </w:trPr>
        <w:tc>
          <w:tcPr>
            <w:tcW w:w="2160" w:type="dxa"/>
            <w:gridSpan w:val="2"/>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ascii="方正仿宋_GBK" w:hAnsi="仿宋_GB2312" w:eastAsia="方正仿宋_GBK" w:cs="仿宋_GB2312"/>
                <w:sz w:val="24"/>
                <w:szCs w:val="24"/>
              </w:rPr>
            </w:pPr>
            <w:r>
              <w:rPr>
                <w:rFonts w:hint="eastAsia" w:ascii="方正仿宋_GBK" w:hAnsi="仿宋_GB2312" w:eastAsia="方正仿宋_GBK" w:cs="仿宋_GB2312"/>
                <w:sz w:val="24"/>
                <w:szCs w:val="24"/>
              </w:rPr>
              <w:t>比选文件递交时间、地点及比选文件份数</w:t>
            </w:r>
          </w:p>
        </w:tc>
        <w:tc>
          <w:tcPr>
            <w:tcW w:w="6629"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方正仿宋_GBK" w:hAnsi="仿宋_GB2312" w:eastAsia="方正仿宋_GBK" w:cs="仿宋_GB2312"/>
                <w:sz w:val="24"/>
                <w:szCs w:val="24"/>
              </w:rPr>
            </w:pPr>
            <w:r>
              <w:rPr>
                <w:rFonts w:hint="eastAsia" w:ascii="方正仿宋_GBK" w:hAnsi="仿宋_GB2312" w:eastAsia="方正仿宋_GBK" w:cs="仿宋_GB2312"/>
                <w:sz w:val="24"/>
                <w:szCs w:val="24"/>
              </w:rPr>
              <w:t>递交时间：于</w:t>
            </w:r>
            <w:r>
              <w:rPr>
                <w:rFonts w:ascii="方正仿宋_GBK" w:hAnsi="仿宋_GB2312" w:eastAsia="方正仿宋_GBK" w:cs="仿宋_GB2312"/>
                <w:sz w:val="24"/>
                <w:szCs w:val="24"/>
              </w:rPr>
              <w:t>202</w:t>
            </w:r>
            <w:r>
              <w:rPr>
                <w:rFonts w:hint="eastAsia" w:ascii="方正仿宋_GBK" w:hAnsi="仿宋_GB2312" w:eastAsia="方正仿宋_GBK" w:cs="仿宋_GB2312"/>
                <w:sz w:val="24"/>
                <w:szCs w:val="24"/>
                <w:lang w:val="en-US" w:eastAsia="zh-CN"/>
              </w:rPr>
              <w:t>3</w:t>
            </w:r>
            <w:r>
              <w:rPr>
                <w:rFonts w:hint="eastAsia" w:ascii="方正仿宋_GBK" w:hAnsi="仿宋_GB2312" w:eastAsia="方正仿宋_GBK" w:cs="仿宋_GB2312"/>
                <w:sz w:val="24"/>
                <w:szCs w:val="24"/>
              </w:rPr>
              <w:t>年</w:t>
            </w:r>
            <w:r>
              <w:rPr>
                <w:rFonts w:hint="eastAsia" w:ascii="方正仿宋_GBK" w:hAnsi="仿宋_GB2312" w:eastAsia="方正仿宋_GBK" w:cs="仿宋_GB2312"/>
                <w:sz w:val="24"/>
                <w:szCs w:val="24"/>
                <w:lang w:val="en-US" w:eastAsia="zh-CN"/>
              </w:rPr>
              <w:t>5</w:t>
            </w:r>
            <w:r>
              <w:rPr>
                <w:rFonts w:hint="eastAsia" w:ascii="方正仿宋_GBK" w:hAnsi="仿宋_GB2312" w:eastAsia="方正仿宋_GBK" w:cs="仿宋_GB2312"/>
                <w:sz w:val="24"/>
                <w:szCs w:val="24"/>
              </w:rPr>
              <w:t>月</w:t>
            </w:r>
            <w:r>
              <w:rPr>
                <w:rFonts w:hint="eastAsia" w:ascii="方正仿宋_GBK" w:hAnsi="仿宋_GB2312" w:eastAsia="方正仿宋_GBK" w:cs="仿宋_GB2312"/>
                <w:sz w:val="24"/>
                <w:szCs w:val="24"/>
                <w:lang w:val="en-US" w:eastAsia="zh-CN"/>
              </w:rPr>
              <w:t>19</w:t>
            </w:r>
            <w:r>
              <w:rPr>
                <w:rFonts w:hint="eastAsia" w:ascii="方正仿宋_GBK" w:hAnsi="仿宋_GB2312" w:eastAsia="方正仿宋_GBK" w:cs="仿宋_GB2312"/>
                <w:sz w:val="24"/>
                <w:szCs w:val="24"/>
              </w:rPr>
              <w:t>日</w:t>
            </w:r>
            <w:r>
              <w:rPr>
                <w:rFonts w:hint="eastAsia" w:ascii="方正仿宋_GBK" w:hAnsi="仿宋_GB2312" w:eastAsia="方正仿宋_GBK" w:cs="仿宋_GB2312"/>
                <w:sz w:val="24"/>
                <w:szCs w:val="24"/>
                <w:lang w:val="en-US" w:eastAsia="zh-CN"/>
              </w:rPr>
              <w:t>14</w:t>
            </w:r>
            <w:r>
              <w:rPr>
                <w:rFonts w:hint="eastAsia" w:ascii="方正仿宋_GBK" w:hAnsi="仿宋_GB2312" w:eastAsia="方正仿宋_GBK" w:cs="仿宋_GB2312"/>
                <w:sz w:val="24"/>
                <w:szCs w:val="24"/>
              </w:rPr>
              <w:t>时</w:t>
            </w:r>
            <w:r>
              <w:rPr>
                <w:rFonts w:ascii="方正仿宋_GBK" w:hAnsi="仿宋_GB2312" w:eastAsia="方正仿宋_GBK" w:cs="仿宋_GB2312"/>
                <w:sz w:val="24"/>
                <w:szCs w:val="24"/>
              </w:rPr>
              <w:t>30</w:t>
            </w:r>
            <w:r>
              <w:rPr>
                <w:rFonts w:hint="eastAsia" w:ascii="方正仿宋_GBK" w:hAnsi="仿宋_GB2312" w:eastAsia="方正仿宋_GBK" w:cs="仿宋_GB2312"/>
                <w:sz w:val="24"/>
                <w:szCs w:val="24"/>
              </w:rPr>
              <w:t xml:space="preserve">分截止。    </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方正仿宋_GBK" w:hAnsi="仿宋_GB2312" w:eastAsia="方正仿宋_GBK" w:cs="仿宋_GB2312"/>
                <w:sz w:val="24"/>
                <w:szCs w:val="24"/>
              </w:rPr>
            </w:pPr>
            <w:r>
              <w:rPr>
                <w:rFonts w:hint="eastAsia" w:ascii="方正仿宋_GBK" w:hAnsi="仿宋_GB2312" w:eastAsia="方正仿宋_GBK" w:cs="仿宋_GB2312"/>
                <w:sz w:val="24"/>
                <w:szCs w:val="24"/>
              </w:rPr>
              <w:t>递交地点：重庆市北部新区泰山大道东段梧桐路6号（交通开投大厦</w:t>
            </w:r>
            <w:r>
              <w:rPr>
                <w:rFonts w:ascii="方正仿宋_GBK" w:hAnsi="仿宋_GB2312" w:eastAsia="方正仿宋_GBK" w:cs="仿宋_GB2312"/>
                <w:sz w:val="24"/>
                <w:szCs w:val="24"/>
              </w:rPr>
              <w:t>1106</w:t>
            </w:r>
            <w:r>
              <w:rPr>
                <w:rFonts w:hint="eastAsia" w:ascii="方正仿宋_GBK" w:hAnsi="仿宋_GB2312" w:eastAsia="方正仿宋_GBK" w:cs="仿宋_GB2312"/>
                <w:sz w:val="24"/>
                <w:szCs w:val="24"/>
              </w:rPr>
              <w:t>室）</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方正仿宋_GBK" w:hAnsi="仿宋_GB2312" w:eastAsia="方正仿宋_GBK" w:cs="仿宋_GB2312"/>
                <w:sz w:val="24"/>
                <w:szCs w:val="24"/>
              </w:rPr>
            </w:pPr>
            <w:r>
              <w:rPr>
                <w:rFonts w:hint="eastAsia" w:ascii="方正仿宋_GBK" w:hAnsi="仿宋_GB2312" w:eastAsia="方正仿宋_GBK" w:cs="仿宋_GB2312"/>
                <w:sz w:val="24"/>
                <w:szCs w:val="24"/>
              </w:rPr>
              <w:t xml:space="preserve">比选时间： 于 </w:t>
            </w:r>
            <w:r>
              <w:rPr>
                <w:rFonts w:ascii="方正仿宋_GBK" w:hAnsi="仿宋_GB2312" w:eastAsia="方正仿宋_GBK" w:cs="仿宋_GB2312"/>
                <w:sz w:val="24"/>
                <w:szCs w:val="24"/>
              </w:rPr>
              <w:t>202</w:t>
            </w:r>
            <w:r>
              <w:rPr>
                <w:rFonts w:hint="eastAsia" w:ascii="方正仿宋_GBK" w:hAnsi="仿宋_GB2312" w:eastAsia="方正仿宋_GBK" w:cs="仿宋_GB2312"/>
                <w:sz w:val="24"/>
                <w:szCs w:val="24"/>
                <w:lang w:val="en-US" w:eastAsia="zh-CN"/>
              </w:rPr>
              <w:t>3</w:t>
            </w:r>
            <w:r>
              <w:rPr>
                <w:rFonts w:hint="eastAsia" w:ascii="方正仿宋_GBK" w:hAnsi="仿宋_GB2312" w:eastAsia="方正仿宋_GBK" w:cs="仿宋_GB2312"/>
                <w:sz w:val="24"/>
                <w:szCs w:val="24"/>
              </w:rPr>
              <w:t xml:space="preserve"> 年</w:t>
            </w:r>
            <w:r>
              <w:rPr>
                <w:rFonts w:hint="eastAsia" w:ascii="方正仿宋_GBK" w:hAnsi="仿宋_GB2312" w:eastAsia="方正仿宋_GBK" w:cs="仿宋_GB2312"/>
                <w:sz w:val="24"/>
                <w:szCs w:val="24"/>
                <w:lang w:val="en-US" w:eastAsia="zh-CN"/>
              </w:rPr>
              <w:t>5</w:t>
            </w:r>
            <w:r>
              <w:rPr>
                <w:rFonts w:hint="eastAsia" w:ascii="方正仿宋_GBK" w:hAnsi="仿宋_GB2312" w:eastAsia="方正仿宋_GBK" w:cs="仿宋_GB2312"/>
                <w:sz w:val="24"/>
                <w:szCs w:val="24"/>
              </w:rPr>
              <w:t>月</w:t>
            </w:r>
            <w:r>
              <w:rPr>
                <w:rFonts w:hint="eastAsia" w:ascii="方正仿宋_GBK" w:hAnsi="仿宋_GB2312" w:eastAsia="方正仿宋_GBK" w:cs="仿宋_GB2312"/>
                <w:sz w:val="24"/>
                <w:szCs w:val="24"/>
                <w:lang w:val="en-US" w:eastAsia="zh-CN"/>
              </w:rPr>
              <w:t>19</w:t>
            </w:r>
            <w:r>
              <w:rPr>
                <w:rFonts w:hint="eastAsia" w:ascii="方正仿宋_GBK" w:hAnsi="仿宋_GB2312" w:eastAsia="方正仿宋_GBK" w:cs="仿宋_GB2312"/>
                <w:sz w:val="24"/>
                <w:szCs w:val="24"/>
              </w:rPr>
              <w:t>日</w:t>
            </w:r>
            <w:r>
              <w:rPr>
                <w:rFonts w:hint="eastAsia" w:ascii="方正仿宋_GBK" w:hAnsi="仿宋_GB2312" w:eastAsia="方正仿宋_GBK" w:cs="仿宋_GB2312"/>
                <w:sz w:val="24"/>
                <w:szCs w:val="24"/>
                <w:lang w:val="en-US" w:eastAsia="zh-CN"/>
              </w:rPr>
              <w:t>14</w:t>
            </w:r>
            <w:r>
              <w:rPr>
                <w:rFonts w:hint="eastAsia" w:ascii="方正仿宋_GBK" w:hAnsi="仿宋_GB2312" w:eastAsia="方正仿宋_GBK" w:cs="仿宋_GB2312"/>
                <w:sz w:val="24"/>
                <w:szCs w:val="24"/>
              </w:rPr>
              <w:t xml:space="preserve"> 时 </w:t>
            </w:r>
            <w:r>
              <w:rPr>
                <w:rFonts w:ascii="方正仿宋_GBK" w:hAnsi="仿宋_GB2312" w:eastAsia="方正仿宋_GBK" w:cs="仿宋_GB2312"/>
                <w:sz w:val="24"/>
                <w:szCs w:val="24"/>
              </w:rPr>
              <w:t>35</w:t>
            </w:r>
            <w:r>
              <w:rPr>
                <w:rFonts w:hint="eastAsia" w:ascii="方正仿宋_GBK" w:hAnsi="仿宋_GB2312" w:eastAsia="方正仿宋_GBK" w:cs="仿宋_GB2312"/>
                <w:sz w:val="24"/>
                <w:szCs w:val="24"/>
              </w:rPr>
              <w:t xml:space="preserve"> 分</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方正仿宋_GBK" w:hAnsi="仿宋_GB2312" w:eastAsia="方正仿宋_GBK" w:cs="仿宋_GB2312"/>
                <w:sz w:val="28"/>
                <w:szCs w:val="28"/>
              </w:rPr>
            </w:pPr>
            <w:r>
              <w:rPr>
                <w:rFonts w:hint="eastAsia" w:ascii="方正仿宋_GBK" w:hAnsi="仿宋_GB2312" w:eastAsia="方正仿宋_GBK" w:cs="仿宋_GB2312"/>
                <w:sz w:val="24"/>
                <w:szCs w:val="24"/>
              </w:rPr>
              <w:t>比选文件份数：正本</w:t>
            </w:r>
            <w:r>
              <w:rPr>
                <w:rFonts w:ascii="方正仿宋_GBK" w:hAnsi="仿宋_GB2312" w:eastAsia="方正仿宋_GBK" w:cs="仿宋_GB2312"/>
                <w:sz w:val="24"/>
                <w:szCs w:val="24"/>
              </w:rPr>
              <w:t>1</w:t>
            </w:r>
            <w:r>
              <w:rPr>
                <w:rFonts w:hint="eastAsia" w:ascii="方正仿宋_GBK" w:hAnsi="仿宋_GB2312" w:eastAsia="方正仿宋_GBK" w:cs="仿宋_GB2312"/>
                <w:sz w:val="24"/>
                <w:szCs w:val="24"/>
              </w:rPr>
              <w:t>份，副本</w:t>
            </w:r>
            <w:r>
              <w:rPr>
                <w:rFonts w:ascii="方正仿宋_GBK" w:hAnsi="仿宋_GB2312" w:eastAsia="方正仿宋_GBK" w:cs="仿宋_GB2312"/>
                <w:sz w:val="24"/>
                <w:szCs w:val="24"/>
              </w:rPr>
              <w:t>1</w:t>
            </w:r>
            <w:r>
              <w:rPr>
                <w:rFonts w:hint="eastAsia" w:ascii="方正仿宋_GBK" w:hAnsi="仿宋_GB2312" w:eastAsia="方正仿宋_GBK" w:cs="仿宋_GB2312"/>
                <w:sz w:val="24"/>
                <w:szCs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exact"/>
        </w:trPr>
        <w:tc>
          <w:tcPr>
            <w:tcW w:w="2160" w:type="dxa"/>
            <w:gridSpan w:val="2"/>
            <w:vMerge w:val="restart"/>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ascii="方正仿宋_GBK" w:hAnsi="仿宋_GB2312" w:eastAsia="方正仿宋_GBK" w:cs="仿宋_GB2312"/>
                <w:sz w:val="24"/>
                <w:szCs w:val="24"/>
              </w:rPr>
            </w:pPr>
            <w:r>
              <w:rPr>
                <w:rFonts w:hint="eastAsia" w:ascii="方正仿宋_GBK" w:hAnsi="仿宋_GB2312" w:eastAsia="方正仿宋_GBK" w:cs="仿宋_GB2312"/>
                <w:sz w:val="24"/>
                <w:szCs w:val="24"/>
              </w:rPr>
              <w:t>限价及比选报价要求</w:t>
            </w:r>
          </w:p>
        </w:tc>
        <w:tc>
          <w:tcPr>
            <w:tcW w:w="6629"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560"/>
              <w:textAlignment w:val="auto"/>
              <w:rPr>
                <w:rFonts w:ascii="方正仿宋_GBK" w:hAnsi="仿宋_GB2312" w:eastAsia="方正仿宋_GBK" w:cs="仿宋_GB2312"/>
                <w:sz w:val="24"/>
                <w:szCs w:val="24"/>
              </w:rPr>
            </w:pPr>
            <w:r>
              <w:rPr>
                <w:rFonts w:hint="eastAsia" w:ascii="方正仿宋_GBK" w:hAnsi="仿宋_GB2312" w:eastAsia="方正仿宋_GBK" w:cs="仿宋_GB2312"/>
                <w:sz w:val="24"/>
                <w:szCs w:val="24"/>
              </w:rPr>
              <w:t>限价：参照行业市场价格及地块实际情况，总费用</w:t>
            </w:r>
            <w:r>
              <w:rPr>
                <w:rFonts w:hint="eastAsia" w:ascii="方正仿宋_GBK" w:hAnsi="仿宋_GB2312" w:eastAsia="方正仿宋_GBK" w:cs="仿宋_GB2312"/>
                <w:color w:val="000000" w:themeColor="text1"/>
                <w:sz w:val="24"/>
                <w:szCs w:val="24"/>
                <w:lang w:val="en-US" w:eastAsia="zh-CN"/>
                <w14:textFill>
                  <w14:solidFill>
                    <w14:schemeClr w14:val="tx1"/>
                  </w14:solidFill>
                </w14:textFill>
              </w:rPr>
              <w:t>最高</w:t>
            </w:r>
            <w:r>
              <w:rPr>
                <w:rFonts w:hint="eastAsia" w:ascii="方正仿宋_GBK" w:hAnsi="仿宋_GB2312" w:eastAsia="方正仿宋_GBK" w:cs="仿宋_GB2312"/>
                <w:color w:val="000000" w:themeColor="text1"/>
                <w:sz w:val="24"/>
                <w:szCs w:val="24"/>
                <w14:textFill>
                  <w14:solidFill>
                    <w14:schemeClr w14:val="tx1"/>
                  </w14:solidFill>
                </w14:textFill>
              </w:rPr>
              <w:t>限价</w:t>
            </w:r>
            <w:r>
              <w:rPr>
                <w:rFonts w:hint="eastAsia" w:ascii="方正仿宋_GBK" w:hAnsi="仿宋_GB2312" w:eastAsia="方正仿宋_GBK" w:cs="仿宋_GB2312"/>
                <w:color w:val="000000" w:themeColor="text1"/>
                <w:sz w:val="24"/>
                <w:szCs w:val="24"/>
                <w:lang w:val="en-US" w:eastAsia="zh-CN"/>
                <w14:textFill>
                  <w14:solidFill>
                    <w14:schemeClr w14:val="tx1"/>
                  </w14:solidFill>
                </w14:textFill>
              </w:rPr>
              <w:t>为12</w:t>
            </w:r>
            <w:r>
              <w:rPr>
                <w:rFonts w:hint="eastAsia" w:ascii="方正仿宋_GBK" w:hAnsi="仿宋_GB2312" w:eastAsia="方正仿宋_GBK" w:cs="仿宋_GB2312"/>
                <w:color w:val="000000" w:themeColor="text1"/>
                <w:sz w:val="24"/>
                <w:szCs w:val="24"/>
                <w14:textFill>
                  <w14:solidFill>
                    <w14:schemeClr w14:val="tx1"/>
                  </w14:solidFill>
                </w14:textFill>
              </w:rPr>
              <w:t>万元；</w:t>
            </w:r>
            <w:r>
              <w:rPr>
                <w:rFonts w:hint="eastAsia" w:ascii="方正仿宋_GBK" w:hAnsi="仿宋_GB2312" w:eastAsia="方正仿宋_GBK" w:cs="仿宋_GB2312"/>
                <w:sz w:val="24"/>
                <w:szCs w:val="24"/>
              </w:rPr>
              <w:t>本次比选为一次性最终报价，不再议价。请比选被邀请人根据自身情况自主报价，报价超过该限价的为否决比选。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8" w:hRule="exact"/>
        </w:trPr>
        <w:tc>
          <w:tcPr>
            <w:tcW w:w="2160" w:type="dxa"/>
            <w:gridSpan w:val="2"/>
            <w:vMerge w:val="continue"/>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sz w:val="24"/>
                <w:szCs w:val="24"/>
              </w:rPr>
            </w:pPr>
          </w:p>
        </w:tc>
        <w:tc>
          <w:tcPr>
            <w:tcW w:w="6629" w:type="dxa"/>
            <w:vAlign w:val="center"/>
          </w:tcPr>
          <w:p>
            <w:pPr>
              <w:keepNext w:val="0"/>
              <w:keepLines w:val="0"/>
              <w:pageBreakBefore w:val="0"/>
              <w:widowControl w:val="0"/>
              <w:kinsoku/>
              <w:wordWrap/>
              <w:overflowPunct/>
              <w:topLinePunct w:val="0"/>
              <w:autoSpaceDE/>
              <w:autoSpaceDN/>
              <w:bidi w:val="0"/>
              <w:adjustRightInd/>
              <w:spacing w:line="400" w:lineRule="exact"/>
              <w:ind w:firstLine="560"/>
              <w:textAlignment w:val="auto"/>
              <w:rPr>
                <w:rFonts w:ascii="方正仿宋_GBK" w:hAnsi="仿宋_GB2312" w:eastAsia="方正仿宋_GBK" w:cs="仿宋_GB2312"/>
                <w:sz w:val="24"/>
                <w:szCs w:val="24"/>
              </w:rPr>
            </w:pPr>
            <w:r>
              <w:rPr>
                <w:rFonts w:hint="eastAsia" w:ascii="方正仿宋_GBK" w:hAnsi="仿宋_GB2312" w:eastAsia="方正仿宋_GBK" w:cs="仿宋_GB2312"/>
                <w:sz w:val="24"/>
                <w:szCs w:val="24"/>
              </w:rPr>
              <w:t>比选报价要求：本次比选报价为</w:t>
            </w:r>
            <w:r>
              <w:rPr>
                <w:rFonts w:hint="eastAsia" w:ascii="方正仿宋_GBK" w:hAnsi="仿宋_GB2312" w:eastAsia="方正仿宋_GBK" w:cs="仿宋_GB2312"/>
                <w:sz w:val="24"/>
                <w:szCs w:val="24"/>
                <w:lang w:val="en-US" w:eastAsia="zh-CN"/>
              </w:rPr>
              <w:t>总价</w:t>
            </w:r>
            <w:r>
              <w:rPr>
                <w:rFonts w:hint="eastAsia" w:ascii="方正仿宋_GBK" w:hAnsi="仿宋_GB2312" w:eastAsia="方正仿宋_GBK" w:cs="仿宋_GB2312"/>
                <w:sz w:val="24"/>
                <w:szCs w:val="24"/>
              </w:rPr>
              <w:t>包干，</w:t>
            </w:r>
            <w:bookmarkStart w:id="2" w:name="OLE_LINK1"/>
            <w:r>
              <w:rPr>
                <w:rFonts w:hint="eastAsia" w:ascii="方正仿宋_GBK" w:hAnsi="仿宋_GB2312" w:eastAsia="方正仿宋_GBK" w:cs="仿宋_GB2312"/>
                <w:sz w:val="24"/>
                <w:szCs w:val="24"/>
              </w:rPr>
              <w:t>包含但不限于人工费、材料费、机械费、企业管理费、利润、风险费用、检测费、措施费（含安全文明施工费）、赶工补偿费、规费、税金以及本工程备案与验收、其他风险等相关手续的所有费用</w:t>
            </w:r>
            <w:r>
              <w:rPr>
                <w:rFonts w:hint="eastAsia" w:ascii="方正仿宋_GBK" w:hAnsi="仿宋_GB2312" w:eastAsia="方正仿宋_GBK" w:cs="仿宋_GB2312"/>
                <w:sz w:val="24"/>
                <w:szCs w:val="24"/>
                <w:lang w:eastAsia="zh-CN"/>
              </w:rPr>
              <w:t>，</w:t>
            </w:r>
            <w:r>
              <w:rPr>
                <w:rFonts w:hint="eastAsia" w:ascii="方正仿宋_GBK" w:hAnsi="仿宋_GB2312" w:eastAsia="方正仿宋_GBK" w:cs="仿宋_GB2312"/>
                <w:sz w:val="24"/>
                <w:szCs w:val="24"/>
              </w:rPr>
              <w:t>结算时包干</w:t>
            </w:r>
            <w:r>
              <w:rPr>
                <w:rFonts w:hint="eastAsia" w:ascii="方正仿宋_GBK" w:hAnsi="仿宋_GB2312" w:eastAsia="方正仿宋_GBK" w:cs="仿宋_GB2312"/>
                <w:sz w:val="24"/>
                <w:szCs w:val="24"/>
                <w:lang w:val="en-US" w:eastAsia="zh-CN"/>
              </w:rPr>
              <w:t>总</w:t>
            </w:r>
            <w:r>
              <w:rPr>
                <w:rFonts w:hint="eastAsia" w:ascii="方正仿宋_GBK" w:hAnsi="仿宋_GB2312" w:eastAsia="方正仿宋_GBK" w:cs="仿宋_GB2312"/>
                <w:sz w:val="24"/>
                <w:szCs w:val="24"/>
              </w:rPr>
              <w:t>价不作任何调整</w:t>
            </w:r>
            <w:bookmarkEnd w:id="2"/>
            <w:r>
              <w:rPr>
                <w:rFonts w:hint="eastAsia" w:ascii="方正仿宋_GBK" w:hAnsi="仿宋_GB2312" w:eastAsia="方正仿宋_GBK" w:cs="仿宋_GB2312"/>
                <w:sz w:val="24"/>
                <w:szCs w:val="24"/>
              </w:rPr>
              <w:t>。</w:t>
            </w:r>
          </w:p>
          <w:p>
            <w:pPr>
              <w:keepNext w:val="0"/>
              <w:keepLines w:val="0"/>
              <w:pageBreakBefore w:val="0"/>
              <w:widowControl w:val="0"/>
              <w:kinsoku/>
              <w:wordWrap/>
              <w:overflowPunct/>
              <w:topLinePunct w:val="0"/>
              <w:autoSpaceDE/>
              <w:autoSpaceDN/>
              <w:bidi w:val="0"/>
              <w:adjustRightInd/>
              <w:spacing w:line="400" w:lineRule="exact"/>
              <w:ind w:firstLine="560"/>
              <w:textAlignment w:val="auto"/>
              <w:rPr>
                <w:rFonts w:ascii="方正仿宋_GBK" w:hAnsi="宋体" w:eastAsia="方正仿宋_GBK"/>
                <w:color w:val="000000"/>
                <w:sz w:val="24"/>
                <w:szCs w:val="24"/>
              </w:rPr>
            </w:pPr>
            <w:r>
              <w:rPr>
                <w:rFonts w:hint="eastAsia" w:ascii="方正仿宋_GBK" w:hAnsi="宋体" w:eastAsia="方正仿宋_GBK"/>
                <w:color w:val="000000"/>
                <w:sz w:val="24"/>
                <w:szCs w:val="24"/>
              </w:rPr>
              <w:t>中选人按要求完成本合同，若未</w:t>
            </w:r>
            <w:r>
              <w:rPr>
                <w:rFonts w:hint="eastAsia" w:ascii="方正仿宋_GBK" w:hAnsi="宋体" w:eastAsia="方正仿宋_GBK"/>
                <w:color w:val="000000"/>
                <w:sz w:val="24"/>
                <w:szCs w:val="24"/>
                <w:lang w:val="en-US" w:eastAsia="zh-CN"/>
              </w:rPr>
              <w:t>在</w:t>
            </w:r>
            <w:r>
              <w:rPr>
                <w:rFonts w:hint="eastAsia" w:ascii="方正仿宋_GBK" w:hAnsi="宋体" w:eastAsia="方正仿宋_GBK"/>
                <w:color w:val="000000"/>
                <w:sz w:val="24"/>
                <w:szCs w:val="24"/>
              </w:rPr>
              <w:t>合同要求的期限内完成检测、编制完成送审报告（报请比选人确认），每延误一天比选人将按合同金额的1%处以罚款。</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8" w:hRule="exact"/>
        </w:trPr>
        <w:tc>
          <w:tcPr>
            <w:tcW w:w="2160" w:type="dxa"/>
            <w:gridSpan w:val="2"/>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sz w:val="24"/>
                <w:szCs w:val="24"/>
              </w:rPr>
            </w:pPr>
            <w:r>
              <w:rPr>
                <w:rFonts w:hint="eastAsia" w:ascii="方正仿宋_GBK" w:hAnsi="仿宋_GB2312" w:eastAsia="方正仿宋_GBK" w:cs="仿宋_GB2312"/>
                <w:sz w:val="24"/>
                <w:szCs w:val="24"/>
              </w:rPr>
              <w:t>费用支付方式</w:t>
            </w:r>
          </w:p>
        </w:tc>
        <w:tc>
          <w:tcPr>
            <w:tcW w:w="6629" w:type="dxa"/>
            <w:vAlign w:val="center"/>
          </w:tcPr>
          <w:p>
            <w:pPr>
              <w:keepNext w:val="0"/>
              <w:keepLines w:val="0"/>
              <w:pageBreakBefore w:val="0"/>
              <w:widowControl w:val="0"/>
              <w:kinsoku/>
              <w:wordWrap/>
              <w:overflowPunct/>
              <w:topLinePunct w:val="0"/>
              <w:autoSpaceDE/>
              <w:autoSpaceDN/>
              <w:bidi w:val="0"/>
              <w:adjustRightInd/>
              <w:spacing w:line="400" w:lineRule="exact"/>
              <w:ind w:firstLine="560"/>
              <w:textAlignment w:val="auto"/>
              <w:rPr>
                <w:rFonts w:hint="eastAsia" w:ascii="方正仿宋_GBK" w:hAnsi="仿宋_GB2312" w:eastAsia="方正仿宋_GBK" w:cs="仿宋_GB2312"/>
                <w:sz w:val="24"/>
                <w:szCs w:val="24"/>
              </w:rPr>
            </w:pPr>
            <w:r>
              <w:rPr>
                <w:rFonts w:hint="eastAsia" w:ascii="方正仿宋_GBK" w:hAnsi="仿宋_GB2312" w:eastAsia="方正仿宋_GBK" w:cs="仿宋_GB2312"/>
                <w:sz w:val="24"/>
                <w:szCs w:val="24"/>
              </w:rPr>
              <w:t>取得相关主管部门的</w:t>
            </w:r>
            <w:r>
              <w:rPr>
                <w:rFonts w:hint="eastAsia" w:ascii="方正仿宋_GBK" w:hAnsi="仿宋_GB2312" w:eastAsia="方正仿宋_GBK" w:cs="仿宋_GB2312"/>
                <w:sz w:val="24"/>
                <w:szCs w:val="24"/>
                <w:lang w:val="en-US" w:eastAsia="zh-CN"/>
              </w:rPr>
              <w:t>完成修复治理</w:t>
            </w:r>
            <w:r>
              <w:rPr>
                <w:rFonts w:hint="eastAsia" w:ascii="方正仿宋_GBK" w:hAnsi="仿宋_GB2312" w:eastAsia="方正仿宋_GBK" w:cs="仿宋_GB2312"/>
                <w:sz w:val="24"/>
                <w:szCs w:val="24"/>
              </w:rPr>
              <w:t>审查意见并出具满足甲方要求的增值税专用发票（含税费）后，甲方在15个工作日内向乙方一次性支付</w:t>
            </w:r>
            <w:r>
              <w:rPr>
                <w:rFonts w:hint="eastAsia" w:ascii="方正仿宋_GBK" w:hAnsi="仿宋_GB2312" w:eastAsia="方正仿宋_GBK" w:cs="仿宋_GB2312"/>
                <w:sz w:val="24"/>
                <w:szCs w:val="24"/>
                <w:lang w:val="en-US" w:eastAsia="zh-CN"/>
              </w:rPr>
              <w:t>全部</w:t>
            </w:r>
            <w:r>
              <w:rPr>
                <w:rFonts w:hint="eastAsia" w:ascii="方正仿宋_GBK" w:hAnsi="仿宋_GB2312" w:eastAsia="方正仿宋_GBK" w:cs="仿宋_GB2312"/>
                <w:sz w:val="24"/>
                <w:szCs w:val="24"/>
              </w:rPr>
              <w:t>合同金额。</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4" w:hRule="exact"/>
        </w:trPr>
        <w:tc>
          <w:tcPr>
            <w:tcW w:w="2160" w:type="dxa"/>
            <w:gridSpan w:val="2"/>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sz w:val="24"/>
                <w:szCs w:val="24"/>
              </w:rPr>
            </w:pPr>
            <w:r>
              <w:rPr>
                <w:rFonts w:hint="eastAsia" w:ascii="方正仿宋_GBK" w:hAnsi="仿宋_GB2312" w:eastAsia="方正仿宋_GBK" w:cs="仿宋_GB2312"/>
                <w:sz w:val="24"/>
                <w:szCs w:val="24"/>
              </w:rPr>
              <w:t>其他需告知比选被邀请人的要求</w:t>
            </w:r>
          </w:p>
        </w:tc>
        <w:tc>
          <w:tcPr>
            <w:tcW w:w="6629" w:type="dxa"/>
            <w:vAlign w:val="center"/>
          </w:tcPr>
          <w:p>
            <w:pPr>
              <w:pStyle w:val="5"/>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ascii="方正仿宋_GBK" w:hAnsi="仿宋_GB2312" w:eastAsia="方正仿宋_GBK" w:cs="仿宋_GB2312"/>
                <w:sz w:val="24"/>
                <w:szCs w:val="24"/>
              </w:rPr>
            </w:pPr>
            <w:r>
              <w:rPr>
                <w:rFonts w:ascii="方正仿宋_GBK" w:hAnsi="仿宋_GB2312" w:eastAsia="方正仿宋_GBK" w:cs="仿宋_GB2312"/>
                <w:sz w:val="24"/>
                <w:szCs w:val="24"/>
              </w:rPr>
              <w:t>1、</w:t>
            </w:r>
            <w:r>
              <w:rPr>
                <w:rFonts w:hint="eastAsia" w:ascii="方正仿宋_GBK" w:hAnsi="仿宋_GB2312" w:eastAsia="方正仿宋_GBK" w:cs="仿宋_GB2312"/>
                <w:sz w:val="24"/>
                <w:szCs w:val="24"/>
              </w:rPr>
              <w:t>若因政策变化合同取消，中选人须无条件接受，并不得向甲方索赔。</w:t>
            </w:r>
          </w:p>
          <w:p>
            <w:pPr>
              <w:pStyle w:val="5"/>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ascii="方正仿宋_GBK" w:hAnsi="仿宋_GB2312" w:eastAsia="方正仿宋_GBK" w:cs="仿宋_GB2312"/>
                <w:sz w:val="24"/>
                <w:szCs w:val="24"/>
              </w:rPr>
            </w:pPr>
            <w:r>
              <w:rPr>
                <w:rFonts w:ascii="方正仿宋_GBK" w:hAnsi="仿宋_GB2312" w:eastAsia="方正仿宋_GBK" w:cs="仿宋_GB2312"/>
                <w:sz w:val="24"/>
                <w:szCs w:val="24"/>
              </w:rPr>
              <w:t>2、后附合同为模版，仅供参考，具体数据根据实际情况做调整，最终合同版本以实际签订为准。</w:t>
            </w:r>
            <w:r>
              <w:rPr>
                <w:rFonts w:hint="eastAsia" w:ascii="方正仿宋_GBK" w:hAnsi="仿宋_GB2312" w:eastAsia="方正仿宋_GBK" w:cs="仿宋_GB2312"/>
                <w:sz w:val="24"/>
                <w:szCs w:val="24"/>
              </w:rPr>
              <w:t>所以</w:t>
            </w:r>
            <w:r>
              <w:rPr>
                <w:rFonts w:ascii="方正仿宋_GBK" w:hAnsi="仿宋_GB2312" w:eastAsia="方正仿宋_GBK" w:cs="仿宋_GB2312"/>
                <w:sz w:val="24"/>
                <w:szCs w:val="24"/>
              </w:rPr>
              <w:t>由比选申请人在制作比选申请文件时自行承诺格式自</w:t>
            </w:r>
            <w:r>
              <w:rPr>
                <w:rFonts w:ascii="方正仿宋_GBK" w:hAnsi="宋体" w:eastAsia="方正仿宋_GBK"/>
                <w:color w:val="000000"/>
                <w:sz w:val="24"/>
                <w:szCs w:val="24"/>
              </w:rPr>
              <w:t>拟，（</w:t>
            </w:r>
            <w:r>
              <w:rPr>
                <w:rFonts w:hint="eastAsia" w:ascii="方正仿宋_GBK" w:hAnsi="宋体" w:eastAsia="方正仿宋_GBK"/>
                <w:color w:val="000000"/>
                <w:sz w:val="24"/>
                <w:szCs w:val="24"/>
              </w:rPr>
              <w:t>明确</w:t>
            </w:r>
            <w:r>
              <w:rPr>
                <w:rFonts w:ascii="方正仿宋_GBK" w:hAnsi="宋体" w:eastAsia="方正仿宋_GBK"/>
                <w:color w:val="000000"/>
                <w:sz w:val="24"/>
                <w:szCs w:val="24"/>
              </w:rPr>
              <w:t>项目工作人员）。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789" w:type="dxa"/>
            <w:gridSpan w:val="3"/>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b/>
                <w:sz w:val="24"/>
                <w:szCs w:val="24"/>
              </w:rPr>
            </w:pPr>
            <w:r>
              <w:rPr>
                <w:rFonts w:hint="eastAsia" w:ascii="方正仿宋_GBK" w:hAnsi="仿宋_GB2312" w:eastAsia="方正仿宋_GBK" w:cs="仿宋_GB2312"/>
                <w:b/>
                <w:sz w:val="24"/>
                <w:szCs w:val="24"/>
              </w:rPr>
              <w:t>三、评选、定选方式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9" w:hRule="exact"/>
        </w:trPr>
        <w:tc>
          <w:tcPr>
            <w:tcW w:w="8789" w:type="dxa"/>
            <w:gridSpan w:val="3"/>
            <w:vAlign w:val="center"/>
          </w:tcPr>
          <w:p>
            <w:pPr>
              <w:spacing w:line="400" w:lineRule="exact"/>
              <w:ind w:firstLine="480" w:firstLineChars="200"/>
              <w:rPr>
                <w:rFonts w:hint="default" w:eastAsia="仿宋"/>
                <w:lang w:val="en-US" w:eastAsia="zh-CN"/>
              </w:rPr>
            </w:pPr>
            <w:r>
              <w:rPr>
                <w:rFonts w:hint="eastAsia" w:ascii="仿宋" w:hAnsi="仿宋" w:eastAsia="仿宋" w:cs="仿宋"/>
                <w:sz w:val="24"/>
                <w:szCs w:val="24"/>
              </w:rPr>
              <w:t>比选文件递交截止后，当众在开封查验响应性文件，宣读报价书，评选小组对比选文件进行评审。先对报价最低的潜在比选单位提供的比选文件进行评审，在满足比选文件邀请函要求的情况下（参考否决比选条款），则该单位为第一中选候选单位（在此情况下，不再对其他比选被邀请人进行资格评审）。若不满足比选文件邀请函要求，对排名第二的候选单位进行评审，以此类推。对未中选情况不做解释。若出现候选单位报价完全一致的情况，评选小组以抽签的形式确定中选人。</w:t>
            </w:r>
            <w:r>
              <w:rPr>
                <w:rFonts w:hint="eastAsia" w:ascii="仿宋" w:hAnsi="仿宋" w:eastAsia="仿宋" w:cs="仿宋"/>
                <w:sz w:val="24"/>
                <w:szCs w:val="24"/>
                <w:lang w:val="en-US" w:eastAsia="zh-CN"/>
              </w:rPr>
              <w:t>已中选该项目土壤污染治理修复的单位不参加本次效果评估评选。</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ascii="方正仿宋_GBK" w:hAnsi="仿宋_GB2312" w:eastAsia="方正仿宋_GBK" w:cs="仿宋_GB2312"/>
                <w:sz w:val="24"/>
                <w:szCs w:val="24"/>
              </w:rPr>
            </w:pPr>
            <w:bookmarkStart w:id="3" w:name="_GoBack"/>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rPr>
        <w:tc>
          <w:tcPr>
            <w:tcW w:w="8789" w:type="dxa"/>
            <w:gridSpan w:val="3"/>
          </w:tcPr>
          <w:p>
            <w:pPr>
              <w:keepNext w:val="0"/>
              <w:keepLines w:val="0"/>
              <w:pageBreakBefore w:val="0"/>
              <w:widowControl w:val="0"/>
              <w:kinsoku/>
              <w:wordWrap/>
              <w:overflowPunct/>
              <w:topLinePunct w:val="0"/>
              <w:autoSpaceDE/>
              <w:autoSpaceDN/>
              <w:bidi w:val="0"/>
              <w:adjustRightInd/>
              <w:spacing w:line="400" w:lineRule="exact"/>
              <w:textAlignment w:val="auto"/>
              <w:rPr>
                <w:sz w:val="24"/>
                <w:szCs w:val="24"/>
              </w:rPr>
            </w:pPr>
            <w:r>
              <w:rPr>
                <w:rFonts w:hint="eastAsia" w:ascii="方正仿宋_GBK" w:hAnsi="仿宋_GB2312" w:eastAsia="方正仿宋_GBK" w:cs="仿宋_GB2312"/>
                <w:b/>
                <w:sz w:val="24"/>
                <w:szCs w:val="24"/>
              </w:rPr>
              <w:t>四、比选文件组成及要求</w:t>
            </w:r>
          </w:p>
          <w:p>
            <w:pPr>
              <w:keepNext w:val="0"/>
              <w:keepLines w:val="0"/>
              <w:pageBreakBefore w:val="0"/>
              <w:widowControl w:val="0"/>
              <w:kinsoku/>
              <w:wordWrap/>
              <w:overflowPunct/>
              <w:topLinePunct w:val="0"/>
              <w:autoSpaceDE/>
              <w:autoSpaceDN/>
              <w:bidi w:val="0"/>
              <w:adjustRightInd/>
              <w:spacing w:line="400" w:lineRule="exact"/>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5" w:hRule="exact"/>
        </w:trPr>
        <w:tc>
          <w:tcPr>
            <w:tcW w:w="8789" w:type="dxa"/>
            <w:gridSpan w:val="3"/>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ascii="方正仿宋_GBK" w:hAnsi="宋体" w:eastAsia="方正仿宋_GBK"/>
                <w:color w:val="FF0000"/>
                <w:sz w:val="24"/>
                <w:szCs w:val="24"/>
              </w:rPr>
            </w:pPr>
            <w:r>
              <w:rPr>
                <w:rFonts w:hint="eastAsia" w:ascii="方正仿宋_GBK" w:hAnsi="宋体" w:eastAsia="方正仿宋_GBK"/>
                <w:color w:val="000000"/>
                <w:sz w:val="24"/>
                <w:szCs w:val="24"/>
              </w:rPr>
              <w:t xml:space="preserve">  1、比选文件包括但不限于以下内容：（1）比选函及报价清单；（2）营业执照；（3）法定代表人或授权代理人身份证明及授权委托书；（4）公司业绩证明材料；（5）拟派人员及资格、职称证书；（6）根据比选项目要求情况需要添加的其他资料，如技术文件、方案等；（7）其他比选文件要求提交的资料。</w:t>
            </w:r>
          </w:p>
          <w:p>
            <w:pPr>
              <w:keepNext w:val="0"/>
              <w:keepLines w:val="0"/>
              <w:pageBreakBefore w:val="0"/>
              <w:widowControl w:val="0"/>
              <w:kinsoku/>
              <w:wordWrap/>
              <w:overflowPunct/>
              <w:topLinePunct w:val="0"/>
              <w:autoSpaceDE/>
              <w:autoSpaceDN/>
              <w:bidi w:val="0"/>
              <w:adjustRightInd/>
              <w:spacing w:line="400" w:lineRule="exact"/>
              <w:ind w:firstLine="240" w:firstLineChars="100"/>
              <w:textAlignment w:val="auto"/>
              <w:rPr>
                <w:rFonts w:ascii="方正仿宋_GBK" w:hAnsi="宋体" w:eastAsia="方正仿宋_GBK"/>
                <w:color w:val="000000"/>
                <w:sz w:val="24"/>
                <w:szCs w:val="24"/>
              </w:rPr>
            </w:pPr>
            <w:r>
              <w:rPr>
                <w:rFonts w:hint="eastAsia" w:ascii="方正仿宋_GBK" w:hAnsi="宋体" w:eastAsia="方正仿宋_GBK"/>
                <w:color w:val="000000"/>
                <w:sz w:val="24"/>
                <w:szCs w:val="24"/>
              </w:rPr>
              <w:t>2、提供的资料均需加盖鲜章，所有资料密封并在密封袋上写明单位名称。并加盖公章。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exact"/>
        </w:trPr>
        <w:tc>
          <w:tcPr>
            <w:tcW w:w="8789" w:type="dxa"/>
            <w:gridSpan w:val="3"/>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ascii="方正仿宋_GBK" w:hAnsi="宋体" w:eastAsia="方正仿宋_GBK"/>
                <w:b/>
                <w:color w:val="FF0000"/>
                <w:sz w:val="24"/>
                <w:szCs w:val="24"/>
              </w:rPr>
            </w:pPr>
            <w:r>
              <w:rPr>
                <w:rFonts w:hint="eastAsia" w:ascii="方正仿宋_GBK" w:hAnsi="宋体" w:eastAsia="方正仿宋_GBK"/>
                <w:b/>
                <w:color w:val="000000"/>
                <w:sz w:val="24"/>
                <w:szCs w:val="24"/>
              </w:rPr>
              <w:t>五、否决比选条款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1" w:hRule="exact"/>
        </w:trPr>
        <w:tc>
          <w:tcPr>
            <w:tcW w:w="8789" w:type="dxa"/>
            <w:gridSpan w:val="3"/>
          </w:tcPr>
          <w:p>
            <w:pPr>
              <w:pStyle w:val="16"/>
              <w:keepNext w:val="0"/>
              <w:keepLines w:val="0"/>
              <w:pageBreakBefore w:val="0"/>
              <w:widowControl w:val="0"/>
              <w:numPr>
                <w:ilvl w:val="0"/>
                <w:numId w:val="1"/>
              </w:numPr>
              <w:kinsoku/>
              <w:wordWrap/>
              <w:overflowPunct/>
              <w:topLinePunct w:val="0"/>
              <w:autoSpaceDE/>
              <w:autoSpaceDN/>
              <w:bidi w:val="0"/>
              <w:adjustRightInd/>
              <w:spacing w:line="400" w:lineRule="exact"/>
              <w:ind w:firstLineChars="0"/>
              <w:textAlignment w:val="auto"/>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未在规定的时间内递交比选文件；</w:t>
            </w:r>
          </w:p>
          <w:p>
            <w:pPr>
              <w:pStyle w:val="16"/>
              <w:keepNext w:val="0"/>
              <w:keepLines w:val="0"/>
              <w:pageBreakBefore w:val="0"/>
              <w:widowControl w:val="0"/>
              <w:numPr>
                <w:ilvl w:val="0"/>
                <w:numId w:val="1"/>
              </w:numPr>
              <w:kinsoku/>
              <w:wordWrap/>
              <w:overflowPunct/>
              <w:topLinePunct w:val="0"/>
              <w:autoSpaceDE/>
              <w:autoSpaceDN/>
              <w:bidi w:val="0"/>
              <w:adjustRightInd/>
              <w:spacing w:line="400" w:lineRule="exact"/>
              <w:ind w:firstLineChars="0"/>
              <w:textAlignment w:val="auto"/>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总价超过最高限价的；</w:t>
            </w:r>
          </w:p>
          <w:p>
            <w:pPr>
              <w:pStyle w:val="16"/>
              <w:keepNext w:val="0"/>
              <w:keepLines w:val="0"/>
              <w:pageBreakBefore w:val="0"/>
              <w:widowControl w:val="0"/>
              <w:numPr>
                <w:ilvl w:val="0"/>
                <w:numId w:val="1"/>
              </w:numPr>
              <w:kinsoku/>
              <w:wordWrap/>
              <w:overflowPunct/>
              <w:topLinePunct w:val="0"/>
              <w:autoSpaceDE/>
              <w:autoSpaceDN/>
              <w:bidi w:val="0"/>
              <w:adjustRightInd/>
              <w:spacing w:line="400" w:lineRule="exact"/>
              <w:ind w:firstLineChars="0"/>
              <w:textAlignment w:val="auto"/>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法定代表人或其委托代理人的签字（或盖章）不齐全，授权代表人身份证明不相符；</w:t>
            </w:r>
          </w:p>
          <w:p>
            <w:pPr>
              <w:pStyle w:val="16"/>
              <w:keepNext w:val="0"/>
              <w:keepLines w:val="0"/>
              <w:pageBreakBefore w:val="0"/>
              <w:widowControl w:val="0"/>
              <w:numPr>
                <w:ilvl w:val="0"/>
                <w:numId w:val="1"/>
              </w:numPr>
              <w:kinsoku/>
              <w:wordWrap/>
              <w:overflowPunct/>
              <w:topLinePunct w:val="0"/>
              <w:autoSpaceDE/>
              <w:autoSpaceDN/>
              <w:bidi w:val="0"/>
              <w:adjustRightInd/>
              <w:spacing w:line="400" w:lineRule="exact"/>
              <w:ind w:firstLineChars="0"/>
              <w:textAlignment w:val="auto"/>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业绩证明材料不符合文件上述要求，审查内容：合同时间、合同金额、业绩规模、完成情况证明材料，字迹不清晰或难以辨认视为不符合要求；</w:t>
            </w:r>
          </w:p>
          <w:p>
            <w:pPr>
              <w:pStyle w:val="16"/>
              <w:keepNext w:val="0"/>
              <w:keepLines w:val="0"/>
              <w:pageBreakBefore w:val="0"/>
              <w:widowControl w:val="0"/>
              <w:numPr>
                <w:ilvl w:val="0"/>
                <w:numId w:val="1"/>
              </w:numPr>
              <w:kinsoku/>
              <w:wordWrap/>
              <w:overflowPunct/>
              <w:topLinePunct w:val="0"/>
              <w:autoSpaceDE/>
              <w:autoSpaceDN/>
              <w:bidi w:val="0"/>
              <w:adjustRightInd/>
              <w:spacing w:line="400" w:lineRule="exact"/>
              <w:ind w:firstLineChars="0"/>
              <w:textAlignment w:val="auto"/>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人员相关资格证明材料等不符合文件上述要求，审查证书名称、专业、证书有效时间、社保证明等；</w:t>
            </w:r>
          </w:p>
          <w:p>
            <w:pPr>
              <w:pStyle w:val="16"/>
              <w:keepNext w:val="0"/>
              <w:keepLines w:val="0"/>
              <w:pageBreakBefore w:val="0"/>
              <w:widowControl w:val="0"/>
              <w:numPr>
                <w:ilvl w:val="0"/>
                <w:numId w:val="1"/>
              </w:numPr>
              <w:kinsoku/>
              <w:wordWrap/>
              <w:overflowPunct/>
              <w:topLinePunct w:val="0"/>
              <w:autoSpaceDE/>
              <w:autoSpaceDN/>
              <w:bidi w:val="0"/>
              <w:adjustRightInd/>
              <w:spacing w:line="400" w:lineRule="exact"/>
              <w:ind w:firstLineChars="0"/>
              <w:textAlignment w:val="auto"/>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比选文件未按要求加盖公章；</w:t>
            </w:r>
          </w:p>
          <w:p>
            <w:pPr>
              <w:pStyle w:val="16"/>
              <w:keepNext w:val="0"/>
              <w:keepLines w:val="0"/>
              <w:pageBreakBefore w:val="0"/>
              <w:widowControl w:val="0"/>
              <w:numPr>
                <w:ilvl w:val="0"/>
                <w:numId w:val="1"/>
              </w:numPr>
              <w:kinsoku/>
              <w:wordWrap/>
              <w:overflowPunct/>
              <w:topLinePunct w:val="0"/>
              <w:autoSpaceDE/>
              <w:autoSpaceDN/>
              <w:bidi w:val="0"/>
              <w:adjustRightInd/>
              <w:spacing w:line="400" w:lineRule="exact"/>
              <w:ind w:firstLineChars="0"/>
              <w:textAlignment w:val="auto"/>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发现串通比选或弄虚作假或有其他违法行为的；</w:t>
            </w:r>
          </w:p>
          <w:p>
            <w:pPr>
              <w:pStyle w:val="16"/>
              <w:keepNext w:val="0"/>
              <w:keepLines w:val="0"/>
              <w:pageBreakBefore w:val="0"/>
              <w:widowControl w:val="0"/>
              <w:numPr>
                <w:ilvl w:val="0"/>
                <w:numId w:val="1"/>
              </w:numPr>
              <w:kinsoku/>
              <w:wordWrap/>
              <w:overflowPunct/>
              <w:topLinePunct w:val="0"/>
              <w:autoSpaceDE/>
              <w:autoSpaceDN/>
              <w:bidi w:val="0"/>
              <w:adjustRightInd/>
              <w:spacing w:line="400" w:lineRule="exact"/>
              <w:ind w:firstLineChars="0"/>
              <w:textAlignment w:val="auto"/>
              <w:rPr>
                <w:rFonts w:ascii="方正仿宋_GBK" w:hAnsi="宋体" w:eastAsia="方正仿宋_GBK"/>
                <w:color w:val="FF0000"/>
                <w:sz w:val="24"/>
                <w:szCs w:val="24"/>
              </w:rPr>
            </w:pPr>
            <w:r>
              <w:rPr>
                <w:rFonts w:hint="eastAsia" w:ascii="方正仿宋_GBK" w:hAnsi="宋体" w:eastAsia="方正仿宋_GBK"/>
                <w:color w:val="000000" w:themeColor="text1"/>
                <w:sz w:val="24"/>
                <w:szCs w:val="24"/>
                <w14:textFill>
                  <w14:solidFill>
                    <w14:schemeClr w14:val="tx1"/>
                  </w14:solidFill>
                </w14:textFill>
              </w:rPr>
              <w:t>未按照比选文件其他相关要求的。</w:t>
            </w:r>
          </w:p>
        </w:tc>
      </w:tr>
    </w:tbl>
    <w:p>
      <w:pPr>
        <w:rPr>
          <w:rFonts w:hint="eastAsia" w:ascii="方正仿宋_GBK" w:hAnsi="仿宋_GB2312" w:eastAsia="方正仿宋_GBK" w:cs="仿宋_GB2312"/>
          <w:sz w:val="28"/>
          <w:szCs w:val="28"/>
        </w:rPr>
      </w:pPr>
    </w:p>
    <w:p>
      <w:pPr>
        <w:widowControl/>
        <w:spacing w:before="100" w:beforeAutospacing="1" w:after="100" w:afterAutospacing="1" w:line="252" w:lineRule="atLeast"/>
        <w:jc w:val="right"/>
        <w:rPr>
          <w:rFonts w:ascii="方正仿宋_GBK" w:hAnsi="仿宋_GB2312" w:eastAsia="方正仿宋_GBK" w:cs="仿宋_GB2312"/>
          <w:bCs/>
          <w:kern w:val="0"/>
          <w:sz w:val="28"/>
          <w:szCs w:val="28"/>
        </w:rPr>
      </w:pPr>
      <w:r>
        <w:rPr>
          <w:rFonts w:hint="eastAsia" w:ascii="方正仿宋_GBK" w:hAnsi="仿宋_GB2312" w:eastAsia="方正仿宋_GBK" w:cs="仿宋_GB2312"/>
          <w:bCs/>
          <w:kern w:val="0"/>
          <w:sz w:val="28"/>
          <w:szCs w:val="28"/>
        </w:rPr>
        <w:t>重庆城市综合交通枢纽（集团）有限公司</w:t>
      </w:r>
    </w:p>
    <w:p>
      <w:pPr>
        <w:widowControl/>
        <w:spacing w:before="100" w:beforeAutospacing="1" w:after="100" w:afterAutospacing="1" w:line="252" w:lineRule="atLeast"/>
        <w:jc w:val="right"/>
        <w:rPr>
          <w:rFonts w:ascii="方正仿宋_GBK" w:hAnsi="仿宋_GB2312" w:eastAsia="方正仿宋_GBK" w:cs="仿宋_GB2312"/>
          <w:bCs/>
          <w:kern w:val="0"/>
          <w:sz w:val="28"/>
          <w:szCs w:val="28"/>
        </w:rPr>
      </w:pPr>
      <w:r>
        <w:rPr>
          <w:rFonts w:hint="eastAsia" w:ascii="方正仿宋_GBK" w:hAnsi="仿宋_GB2312" w:eastAsia="方正仿宋_GBK" w:cs="仿宋_GB2312"/>
          <w:bCs/>
          <w:kern w:val="0"/>
          <w:sz w:val="28"/>
          <w:szCs w:val="28"/>
        </w:rPr>
        <w:t xml:space="preserve">                  202</w:t>
      </w:r>
      <w:r>
        <w:rPr>
          <w:rFonts w:hint="eastAsia" w:ascii="方正仿宋_GBK" w:hAnsi="仿宋_GB2312" w:eastAsia="方正仿宋_GBK" w:cs="仿宋_GB2312"/>
          <w:bCs/>
          <w:kern w:val="0"/>
          <w:sz w:val="28"/>
          <w:szCs w:val="28"/>
          <w:lang w:val="en-US" w:eastAsia="zh-CN"/>
        </w:rPr>
        <w:t>3</w:t>
      </w:r>
      <w:r>
        <w:rPr>
          <w:rFonts w:hint="eastAsia" w:ascii="方正仿宋_GBK" w:hAnsi="仿宋_GB2312" w:eastAsia="方正仿宋_GBK" w:cs="仿宋_GB2312"/>
          <w:bCs/>
          <w:kern w:val="0"/>
          <w:sz w:val="28"/>
          <w:szCs w:val="28"/>
        </w:rPr>
        <w:t>年</w:t>
      </w:r>
      <w:r>
        <w:rPr>
          <w:rFonts w:hint="eastAsia" w:ascii="方正仿宋_GBK" w:hAnsi="仿宋_GB2312" w:eastAsia="方正仿宋_GBK" w:cs="仿宋_GB2312"/>
          <w:bCs/>
          <w:kern w:val="0"/>
          <w:sz w:val="28"/>
          <w:szCs w:val="28"/>
          <w:lang w:val="en-US" w:eastAsia="zh-CN"/>
        </w:rPr>
        <w:t>5</w:t>
      </w:r>
      <w:r>
        <w:rPr>
          <w:rFonts w:hint="eastAsia" w:ascii="方正仿宋_GBK" w:hAnsi="仿宋_GB2312" w:eastAsia="方正仿宋_GBK" w:cs="仿宋_GB2312"/>
          <w:bCs/>
          <w:kern w:val="0"/>
          <w:sz w:val="28"/>
          <w:szCs w:val="28"/>
        </w:rPr>
        <w:t>月</w:t>
      </w:r>
      <w:r>
        <w:rPr>
          <w:rFonts w:hint="eastAsia" w:ascii="方正仿宋_GBK" w:hAnsi="仿宋_GB2312" w:eastAsia="方正仿宋_GBK" w:cs="仿宋_GB2312"/>
          <w:bCs/>
          <w:kern w:val="0"/>
          <w:sz w:val="28"/>
          <w:szCs w:val="28"/>
          <w:lang w:val="en-US" w:eastAsia="zh-CN"/>
        </w:rPr>
        <w:t>15</w:t>
      </w:r>
      <w:r>
        <w:rPr>
          <w:rFonts w:hint="eastAsia" w:ascii="方正仿宋_GBK" w:hAnsi="仿宋_GB2312" w:eastAsia="方正仿宋_GBK" w:cs="仿宋_GB2312"/>
          <w:bCs/>
          <w:kern w:val="0"/>
          <w:sz w:val="28"/>
          <w:szCs w:val="28"/>
        </w:rPr>
        <w:t>日</w:t>
      </w:r>
    </w:p>
    <w:p>
      <w:pPr>
        <w:rPr>
          <w:rFonts w:hint="eastAsia" w:ascii="方正仿宋_GBK" w:hAnsi="仿宋_GB2312" w:eastAsia="方正仿宋_GBK" w:cs="仿宋_GB2312"/>
          <w:sz w:val="28"/>
          <w:szCs w:val="28"/>
        </w:rPr>
      </w:pP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 xml:space="preserve">比选文件格式        </w:t>
      </w:r>
    </w:p>
    <w:p>
      <w:pPr>
        <w:jc w:val="center"/>
        <w:rPr>
          <w:rFonts w:ascii="方正仿宋_GBK" w:hAnsi="仿宋_GB2312" w:eastAsia="方正仿宋_GBK" w:cs="仿宋_GB2312"/>
          <w:sz w:val="28"/>
          <w:szCs w:val="28"/>
        </w:rPr>
      </w:pPr>
      <w:r>
        <w:rPr>
          <w:rFonts w:hint="eastAsia" w:ascii="方正仿宋_GBK" w:hAnsi="仿宋_GB2312" w:eastAsia="方正仿宋_GBK" w:cs="仿宋_GB2312"/>
          <w:b/>
          <w:sz w:val="28"/>
          <w:szCs w:val="28"/>
        </w:rPr>
        <w:t>格式一   比 选 函</w:t>
      </w:r>
    </w:p>
    <w:p>
      <w:pPr>
        <w:rPr>
          <w:rFonts w:ascii="方正仿宋_GBK" w:hAnsi="仿宋_GB2312" w:eastAsia="方正仿宋_GBK" w:cs="仿宋_GB2312"/>
          <w:sz w:val="28"/>
          <w:szCs w:val="28"/>
          <w:u w:val="single"/>
        </w:rPr>
      </w:pPr>
      <w:r>
        <w:rPr>
          <w:rFonts w:hint="eastAsia" w:ascii="方正仿宋_GBK" w:hAnsi="仿宋_GB2312" w:eastAsia="方正仿宋_GBK" w:cs="仿宋_GB2312"/>
          <w:sz w:val="28"/>
          <w:szCs w:val="28"/>
          <w:u w:val="single"/>
        </w:rPr>
        <w:t xml:space="preserve">                           ：</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 xml:space="preserve">    根据贵方关于开展大竹林F标准分区F06-6-1/06地块（九曲河公交站场）</w:t>
      </w:r>
      <w:r>
        <w:rPr>
          <w:rFonts w:hint="eastAsia" w:ascii="方正仿宋_GBK" w:hAnsi="仿宋_GB2312" w:eastAsia="方正仿宋_GBK" w:cs="仿宋_GB2312"/>
          <w:sz w:val="28"/>
          <w:szCs w:val="28"/>
          <w:lang w:val="en-US" w:eastAsia="zh-CN"/>
        </w:rPr>
        <w:t>污染</w:t>
      </w:r>
      <w:r>
        <w:rPr>
          <w:rFonts w:hint="eastAsia" w:ascii="方正仿宋_GBK" w:hAnsi="仿宋_GB2312" w:eastAsia="方正仿宋_GBK" w:cs="仿宋_GB2312"/>
          <w:sz w:val="28"/>
          <w:szCs w:val="28"/>
        </w:rPr>
        <w:t>土壤治理修复效果评估工作的比选邀请函文件，本公司正式授权的下述签字人（姓名和职务）代表本公司（比选被邀请人名称），提交本比选函。</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据此函，签字人兹宣布同意如下：</w:t>
      </w:r>
    </w:p>
    <w:p>
      <w:pPr>
        <w:pStyle w:val="20"/>
        <w:numPr>
          <w:ilvl w:val="-1"/>
          <w:numId w:val="0"/>
        </w:numPr>
        <w:ind w:left="0" w:leftChars="0" w:firstLine="0" w:firstLineChars="0"/>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w:t>
      </w:r>
      <w:r>
        <w:rPr>
          <w:rFonts w:hint="eastAsia" w:ascii="方正仿宋_GBK" w:hAnsi="仿宋_GB2312" w:eastAsia="方正仿宋_GBK" w:cs="仿宋_GB2312"/>
          <w:sz w:val="28"/>
          <w:szCs w:val="28"/>
          <w:lang w:val="en-US" w:eastAsia="zh-CN"/>
        </w:rPr>
        <w:t>1</w:t>
      </w:r>
      <w:r>
        <w:rPr>
          <w:rFonts w:hint="eastAsia" w:ascii="方正仿宋_GBK" w:hAnsi="仿宋_GB2312" w:eastAsia="方正仿宋_GBK" w:cs="仿宋_GB2312"/>
          <w:sz w:val="28"/>
          <w:szCs w:val="28"/>
        </w:rPr>
        <w:t>)愿意接受比选要求函中提出的酬金支付方式与合同条款并按照总费用</w:t>
      </w:r>
      <w:r>
        <w:rPr>
          <w:rFonts w:hint="eastAsia" w:ascii="方正仿宋_GBK" w:hAnsi="仿宋_GB2312" w:eastAsia="方正仿宋_GBK" w:cs="仿宋_GB2312"/>
          <w:sz w:val="28"/>
          <w:szCs w:val="28"/>
          <w:lang w:val="en-US" w:eastAsia="zh-CN"/>
        </w:rPr>
        <w:t xml:space="preserve">   </w:t>
      </w:r>
      <w:r>
        <w:rPr>
          <w:rFonts w:hint="eastAsia" w:ascii="方正仿宋_GBK" w:hAnsi="仿宋_GB2312" w:eastAsia="方正仿宋_GBK" w:cs="仿宋_GB2312"/>
          <w:sz w:val="28"/>
          <w:szCs w:val="28"/>
        </w:rPr>
        <w:t>万元作为本项目报价。（所填报数字总费用小数点后2位，小数点后不能为零，小数点后两位不作为否决条件）。</w:t>
      </w:r>
    </w:p>
    <w:p>
      <w:pPr>
        <w:numPr>
          <w:ilvl w:val="255"/>
          <w:numId w:val="0"/>
        </w:num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(2) 我司承诺满足贵单位比选邀请函中的“比选被邀请人资格要求”</w:t>
      </w:r>
      <w:r>
        <w:rPr>
          <w:rFonts w:hint="eastAsia" w:ascii="方正仿宋_GBK" w:hAnsi="仿宋_GB2312" w:eastAsia="方正仿宋_GBK" w:cs="仿宋_GB2312"/>
          <w:sz w:val="28"/>
          <w:szCs w:val="28"/>
        </w:rPr>
        <w:sym w:font="Wingdings" w:char="00A8"/>
      </w:r>
      <w:r>
        <w:rPr>
          <w:rFonts w:hint="eastAsia" w:ascii="方正仿宋_GBK" w:hAnsi="仿宋_GB2312" w:eastAsia="方正仿宋_GBK" w:cs="仿宋_GB2312"/>
          <w:sz w:val="28"/>
          <w:szCs w:val="28"/>
        </w:rPr>
        <w:t>资质要求</w:t>
      </w:r>
      <w:r>
        <w:rPr>
          <w:rFonts w:hint="eastAsia" w:ascii="方正仿宋_GBK" w:hAnsi="仿宋_GB2312" w:eastAsia="方正仿宋_GBK" w:cs="仿宋_GB2312"/>
          <w:sz w:val="28"/>
          <w:szCs w:val="28"/>
        </w:rPr>
        <w:sym w:font="Wingdings" w:char="00A8"/>
      </w:r>
      <w:r>
        <w:rPr>
          <w:rFonts w:hint="eastAsia" w:ascii="方正仿宋_GBK" w:hAnsi="仿宋_GB2312" w:eastAsia="方正仿宋_GBK" w:cs="仿宋_GB2312"/>
          <w:sz w:val="28"/>
          <w:szCs w:val="28"/>
        </w:rPr>
        <w:t>业绩要求</w:t>
      </w:r>
      <w:r>
        <w:rPr>
          <w:rFonts w:hint="eastAsia" w:ascii="方正仿宋_GBK" w:hAnsi="仿宋_GB2312" w:eastAsia="方正仿宋_GBK" w:cs="仿宋_GB2312"/>
          <w:sz w:val="28"/>
          <w:szCs w:val="28"/>
        </w:rPr>
        <w:sym w:font="Wingdings" w:char="00A8"/>
      </w:r>
      <w:r>
        <w:rPr>
          <w:rFonts w:hint="eastAsia" w:ascii="方正仿宋_GBK" w:hAnsi="仿宋_GB2312" w:eastAsia="方正仿宋_GBK" w:cs="仿宋_GB2312"/>
          <w:sz w:val="28"/>
          <w:szCs w:val="28"/>
        </w:rPr>
        <w:t>人员要求的指标（勾选）。</w:t>
      </w:r>
    </w:p>
    <w:p>
      <w:pPr>
        <w:numPr>
          <w:ilvl w:val="255"/>
          <w:numId w:val="0"/>
        </w:num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(3)我们已详细阅读了比选邀请函全部内容，我们知道必须放弃提出含糊不清或误解的问题的权利。</w:t>
      </w:r>
    </w:p>
    <w:p>
      <w:pPr>
        <w:rPr>
          <w:rFonts w:hint="eastAsia" w:ascii="方正仿宋_GBK" w:hAnsi="仿宋_GB2312" w:eastAsia="方正仿宋_GBK" w:cs="仿宋_GB2312"/>
          <w:sz w:val="28"/>
          <w:szCs w:val="28"/>
        </w:rPr>
      </w:pPr>
      <w:r>
        <w:rPr>
          <w:rFonts w:hint="eastAsia" w:ascii="方正仿宋_GBK" w:hAnsi="仿宋_GB2312" w:eastAsia="方正仿宋_GBK" w:cs="仿宋_GB2312"/>
          <w:sz w:val="28"/>
          <w:szCs w:val="28"/>
        </w:rPr>
        <w:t>(4)我们保证根据规定履行合同责任和义务，不得要求变更我司所报综合单价费用金额。</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(5)本比选函自开启之日起至项目全部完成之内有效。</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 xml:space="preserve">报价人全称（公章）： </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通信地址：                        电话、传真：</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报价人法定代表人或授权代理人签字 ：</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 xml:space="preserve">日期： </w:t>
      </w:r>
    </w:p>
    <w:p>
      <w:pPr>
        <w:jc w:val="center"/>
        <w:rPr>
          <w:rFonts w:ascii="方正仿宋_GBK" w:hAnsi="仿宋_GB2312" w:eastAsia="方正仿宋_GBK" w:cs="仿宋_GB2312"/>
          <w:b/>
          <w:sz w:val="28"/>
          <w:szCs w:val="28"/>
        </w:rPr>
      </w:pPr>
      <w:r>
        <w:rPr>
          <w:rFonts w:hint="eastAsia" w:ascii="方正仿宋_GBK" w:hAnsi="仿宋_GB2312" w:eastAsia="方正仿宋_GBK" w:cs="仿宋_GB2312"/>
          <w:sz w:val="28"/>
          <w:szCs w:val="28"/>
        </w:rPr>
        <w:br w:type="page"/>
      </w:r>
      <w:r>
        <w:rPr>
          <w:rFonts w:hint="eastAsia" w:ascii="方正仿宋_GBK" w:hAnsi="仿宋_GB2312" w:eastAsia="方正仿宋_GBK" w:cs="仿宋_GB2312"/>
          <w:b/>
          <w:sz w:val="28"/>
          <w:szCs w:val="28"/>
        </w:rPr>
        <w:t>格式二  报价清单</w:t>
      </w:r>
    </w:p>
    <w:p>
      <w:pPr>
        <w:jc w:val="center"/>
        <w:rPr>
          <w:rFonts w:ascii="方正仿宋_GBK" w:hAnsi="仿宋_GB2312" w:eastAsia="方正仿宋_GBK" w:cs="仿宋_GB2312"/>
          <w:sz w:val="28"/>
          <w:szCs w:val="28"/>
        </w:rPr>
      </w:pPr>
    </w:p>
    <w:tbl>
      <w:tblPr>
        <w:tblStyle w:val="10"/>
        <w:tblW w:w="90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01"/>
        <w:gridCol w:w="1701"/>
        <w:gridCol w:w="1418"/>
        <w:gridCol w:w="3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17" w:type="dxa"/>
            <w:vAlign w:val="center"/>
          </w:tcPr>
          <w:p>
            <w:pPr>
              <w:jc w:val="center"/>
              <w:rPr>
                <w:rFonts w:ascii="方正仿宋_GBK" w:hAnsi="仿宋_GB2312" w:eastAsia="方正仿宋_GBK" w:cs="仿宋_GB2312"/>
                <w:sz w:val="24"/>
                <w:szCs w:val="24"/>
              </w:rPr>
            </w:pPr>
            <w:r>
              <w:rPr>
                <w:rFonts w:hint="eastAsia" w:ascii="方正仿宋_GBK" w:hAnsi="仿宋_GB2312" w:eastAsia="方正仿宋_GBK" w:cs="仿宋_GB2312"/>
                <w:sz w:val="24"/>
                <w:szCs w:val="24"/>
              </w:rPr>
              <w:t>序号</w:t>
            </w:r>
          </w:p>
        </w:tc>
        <w:tc>
          <w:tcPr>
            <w:tcW w:w="1701" w:type="dxa"/>
            <w:vAlign w:val="center"/>
          </w:tcPr>
          <w:p>
            <w:pPr>
              <w:jc w:val="center"/>
              <w:rPr>
                <w:rFonts w:ascii="方正仿宋_GBK" w:hAnsi="仿宋_GB2312" w:eastAsia="方正仿宋_GBK" w:cs="仿宋_GB2312"/>
                <w:sz w:val="24"/>
                <w:szCs w:val="24"/>
              </w:rPr>
            </w:pPr>
            <w:r>
              <w:rPr>
                <w:rFonts w:hint="eastAsia" w:ascii="方正仿宋_GBK" w:hAnsi="仿宋_GB2312" w:eastAsia="方正仿宋_GBK" w:cs="仿宋_GB2312"/>
                <w:sz w:val="24"/>
                <w:szCs w:val="24"/>
              </w:rPr>
              <w:t>项目名称</w:t>
            </w:r>
          </w:p>
        </w:tc>
        <w:tc>
          <w:tcPr>
            <w:tcW w:w="1701" w:type="dxa"/>
            <w:vAlign w:val="center"/>
          </w:tcPr>
          <w:p>
            <w:pPr>
              <w:jc w:val="center"/>
              <w:rPr>
                <w:rFonts w:ascii="方正仿宋_GBK" w:hAnsi="仿宋_GB2312" w:eastAsia="方正仿宋_GBK" w:cs="仿宋_GB2312"/>
                <w:sz w:val="24"/>
                <w:szCs w:val="24"/>
              </w:rPr>
            </w:pPr>
            <w:r>
              <w:rPr>
                <w:rFonts w:hint="eastAsia" w:ascii="方正仿宋_GBK" w:hAnsi="仿宋_GB2312" w:eastAsia="方正仿宋_GBK" w:cs="仿宋_GB2312"/>
                <w:sz w:val="24"/>
                <w:szCs w:val="24"/>
              </w:rPr>
              <w:t>地块编号</w:t>
            </w:r>
          </w:p>
        </w:tc>
        <w:tc>
          <w:tcPr>
            <w:tcW w:w="1418" w:type="dxa"/>
            <w:vAlign w:val="center"/>
          </w:tcPr>
          <w:p>
            <w:pPr>
              <w:jc w:val="center"/>
              <w:rPr>
                <w:rFonts w:ascii="方正仿宋_GBK" w:hAnsi="仿宋_GB2312" w:eastAsia="方正仿宋_GBK" w:cs="仿宋_GB2312"/>
                <w:sz w:val="24"/>
                <w:szCs w:val="24"/>
              </w:rPr>
            </w:pPr>
            <w:r>
              <w:rPr>
                <w:rFonts w:hint="eastAsia" w:ascii="方正仿宋_GBK" w:hAnsi="仿宋_GB2312" w:eastAsia="方正仿宋_GBK" w:cs="仿宋_GB2312"/>
                <w:sz w:val="24"/>
                <w:szCs w:val="24"/>
              </w:rPr>
              <w:t>暂估面积（亩）</w:t>
            </w:r>
          </w:p>
        </w:tc>
        <w:tc>
          <w:tcPr>
            <w:tcW w:w="3389" w:type="dxa"/>
            <w:vAlign w:val="center"/>
          </w:tcPr>
          <w:p>
            <w:pPr>
              <w:jc w:val="center"/>
              <w:rPr>
                <w:rFonts w:ascii="方正仿宋_GBK" w:hAnsi="仿宋_GB2312" w:eastAsia="方正仿宋_GBK" w:cs="仿宋_GB2312"/>
                <w:sz w:val="24"/>
                <w:szCs w:val="24"/>
              </w:rPr>
            </w:pPr>
            <w:r>
              <w:rPr>
                <w:rFonts w:hint="eastAsia" w:ascii="方正仿宋_GBK" w:hAnsi="仿宋_GB2312" w:eastAsia="方正仿宋_GBK" w:cs="仿宋_GB2312"/>
                <w:sz w:val="24"/>
                <w:szCs w:val="24"/>
              </w:rPr>
              <w:t>总费用报价（万元）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817" w:type="dxa"/>
            <w:vAlign w:val="center"/>
          </w:tcPr>
          <w:p>
            <w:pPr>
              <w:jc w:val="center"/>
              <w:rPr>
                <w:rFonts w:ascii="方正仿宋_GBK" w:hAnsi="仿宋_GB2312" w:eastAsia="方正仿宋_GBK" w:cs="仿宋_GB2312"/>
                <w:sz w:val="24"/>
                <w:szCs w:val="24"/>
              </w:rPr>
            </w:pPr>
            <w:r>
              <w:rPr>
                <w:rFonts w:hint="eastAsia" w:ascii="方正仿宋_GBK" w:hAnsi="仿宋_GB2312" w:eastAsia="方正仿宋_GBK" w:cs="仿宋_GB2312"/>
                <w:sz w:val="24"/>
                <w:szCs w:val="24"/>
              </w:rPr>
              <w:t>1</w:t>
            </w:r>
          </w:p>
        </w:tc>
        <w:tc>
          <w:tcPr>
            <w:tcW w:w="1701" w:type="dxa"/>
            <w:vAlign w:val="center"/>
          </w:tcPr>
          <w:p>
            <w:pPr>
              <w:jc w:val="center"/>
              <w:rPr>
                <w:rFonts w:hint="default" w:ascii="方正仿宋_GBK" w:hAnsi="仿宋_GB2312" w:eastAsia="方正仿宋_GBK" w:cs="仿宋_GB2312"/>
                <w:sz w:val="32"/>
                <w:szCs w:val="32"/>
                <w:lang w:val="en-US" w:eastAsia="zh-CN"/>
              </w:rPr>
            </w:pPr>
            <w:r>
              <w:rPr>
                <w:rFonts w:hint="eastAsia" w:ascii="方正仿宋_GBK" w:hAnsi="仿宋_GB2312" w:eastAsia="方正仿宋_GBK" w:cs="仿宋_GB2312"/>
                <w:sz w:val="32"/>
                <w:szCs w:val="32"/>
                <w:lang w:val="en-US" w:eastAsia="zh-CN"/>
              </w:rPr>
              <w:t>九曲河公交站场</w:t>
            </w:r>
          </w:p>
        </w:tc>
        <w:tc>
          <w:tcPr>
            <w:tcW w:w="1701" w:type="dxa"/>
            <w:vAlign w:val="center"/>
          </w:tcPr>
          <w:p>
            <w:pPr>
              <w:spacing w:line="600" w:lineRule="exact"/>
              <w:jc w:val="center"/>
              <w:rPr>
                <w:rFonts w:eastAsia="方正仿宋_GBK"/>
                <w:sz w:val="32"/>
                <w:szCs w:val="32"/>
              </w:rPr>
            </w:pPr>
            <w:r>
              <w:rPr>
                <w:rFonts w:hint="eastAsia" w:ascii="方正仿宋_GBK" w:hAnsi="仿宋_GB2312" w:eastAsia="方正仿宋_GBK" w:cs="仿宋_GB2312"/>
                <w:sz w:val="28"/>
                <w:szCs w:val="28"/>
              </w:rPr>
              <w:t>F06-6-1/06</w:t>
            </w:r>
          </w:p>
        </w:tc>
        <w:tc>
          <w:tcPr>
            <w:tcW w:w="1418" w:type="dxa"/>
            <w:vAlign w:val="center"/>
          </w:tcPr>
          <w:p>
            <w:pPr>
              <w:spacing w:line="600" w:lineRule="exact"/>
              <w:jc w:val="center"/>
              <w:rPr>
                <w:rFonts w:eastAsia="方正仿宋_GBK"/>
                <w:sz w:val="32"/>
                <w:szCs w:val="32"/>
              </w:rPr>
            </w:pPr>
            <w:r>
              <w:rPr>
                <w:rFonts w:hint="eastAsia" w:ascii="方正仿宋_GBK" w:hAnsi="仿宋_GB2312" w:eastAsia="方正仿宋_GBK" w:cs="仿宋_GB2312"/>
                <w:sz w:val="28"/>
                <w:szCs w:val="28"/>
              </w:rPr>
              <w:t>83.8</w:t>
            </w:r>
          </w:p>
        </w:tc>
        <w:tc>
          <w:tcPr>
            <w:tcW w:w="3389" w:type="dxa"/>
          </w:tcPr>
          <w:p>
            <w:pPr>
              <w:jc w:val="center"/>
              <w:rPr>
                <w:rFonts w:ascii="方正仿宋_GBK" w:hAnsi="仿宋_GB2312" w:eastAsia="方正仿宋_GBK" w:cs="仿宋_GB2312"/>
                <w:sz w:val="24"/>
                <w:szCs w:val="24"/>
              </w:rPr>
            </w:pPr>
          </w:p>
        </w:tc>
      </w:tr>
    </w:tbl>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注：所填报数字总费用小数点后2位，小数点后不能为零。</w:t>
      </w:r>
    </w:p>
    <w:p>
      <w:pPr>
        <w:rPr>
          <w:rFonts w:ascii="方正仿宋_GBK" w:hAnsi="仿宋_GB2312" w:eastAsia="方正仿宋_GBK" w:cs="仿宋_GB2312"/>
          <w:sz w:val="28"/>
          <w:szCs w:val="28"/>
        </w:rPr>
      </w:pPr>
    </w:p>
    <w:p>
      <w:pPr>
        <w:rPr>
          <w:rFonts w:ascii="方正仿宋_GBK" w:hAnsi="仿宋_GB2312" w:eastAsia="方正仿宋_GBK" w:cs="仿宋_GB2312"/>
          <w:sz w:val="28"/>
          <w:szCs w:val="28"/>
        </w:rPr>
      </w:pPr>
    </w:p>
    <w:p>
      <w:pPr>
        <w:rPr>
          <w:rFonts w:ascii="仿宋_GB2312" w:hAnsi="仿宋_GB2312" w:eastAsia="仿宋_GB2312" w:cs="仿宋_GB2312"/>
          <w:sz w:val="28"/>
          <w:szCs w:val="28"/>
        </w:rPr>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rPr>
          <w:rFonts w:ascii="仿宋_GB2312" w:hAnsi="仿宋_GB2312" w:eastAsia="仿宋_GB2312" w:cs="仿宋_GB2312"/>
          <w:b/>
          <w:sz w:val="28"/>
          <w:szCs w:val="28"/>
        </w:rPr>
      </w:pPr>
    </w:p>
    <w:p>
      <w:pPr>
        <w:jc w:val="center"/>
        <w:rPr>
          <w:rFonts w:hint="eastAsia" w:ascii="仿宋_GB2312" w:hAnsi="仿宋_GB2312" w:eastAsia="仿宋_GB2312" w:cs="仿宋_GB2312"/>
          <w:b/>
          <w:sz w:val="28"/>
          <w:szCs w:val="28"/>
        </w:rPr>
      </w:pPr>
    </w:p>
    <w:p>
      <w:pPr>
        <w:jc w:val="center"/>
        <w:rPr>
          <w:rFonts w:hint="eastAsia" w:ascii="仿宋_GB2312" w:hAnsi="仿宋_GB2312" w:eastAsia="仿宋_GB2312" w:cs="仿宋_GB2312"/>
          <w:b/>
          <w:sz w:val="28"/>
          <w:szCs w:val="28"/>
        </w:rPr>
      </w:pPr>
    </w:p>
    <w:p>
      <w:pPr>
        <w:jc w:val="center"/>
        <w:rPr>
          <w:rFonts w:hint="eastAsia" w:ascii="仿宋_GB2312" w:hAnsi="仿宋_GB2312" w:eastAsia="仿宋_GB2312" w:cs="仿宋_GB2312"/>
          <w:b/>
          <w:sz w:val="28"/>
          <w:szCs w:val="28"/>
        </w:rPr>
      </w:pPr>
    </w:p>
    <w:p>
      <w:pPr>
        <w:jc w:val="center"/>
        <w:rPr>
          <w:rFonts w:hint="eastAsia" w:ascii="仿宋_GB2312" w:hAnsi="仿宋_GB2312" w:eastAsia="仿宋_GB2312" w:cs="仿宋_GB2312"/>
          <w:b/>
          <w:sz w:val="28"/>
          <w:szCs w:val="28"/>
        </w:rPr>
      </w:pPr>
    </w:p>
    <w:p>
      <w:pPr>
        <w:jc w:val="center"/>
        <w:rPr>
          <w:rFonts w:hint="eastAsia" w:ascii="仿宋_GB2312" w:hAnsi="仿宋_GB2312" w:eastAsia="仿宋_GB2312" w:cs="仿宋_GB2312"/>
          <w:b/>
          <w:sz w:val="28"/>
          <w:szCs w:val="28"/>
        </w:rPr>
      </w:pPr>
    </w:p>
    <w:p>
      <w:pPr>
        <w:jc w:val="center"/>
        <w:rPr>
          <w:rFonts w:hint="eastAsia" w:ascii="仿宋_GB2312" w:hAnsi="仿宋_GB2312" w:eastAsia="仿宋_GB2312" w:cs="仿宋_GB2312"/>
          <w:b/>
          <w:sz w:val="28"/>
          <w:szCs w:val="28"/>
        </w:rPr>
      </w:pPr>
    </w:p>
    <w:p>
      <w:pPr>
        <w:jc w:val="center"/>
        <w:rPr>
          <w:rFonts w:hint="eastAsia" w:ascii="仿宋_GB2312" w:hAnsi="仿宋_GB2312" w:eastAsia="仿宋_GB2312" w:cs="仿宋_GB2312"/>
          <w:b/>
          <w:sz w:val="28"/>
          <w:szCs w:val="28"/>
        </w:rPr>
      </w:pPr>
    </w:p>
    <w:p>
      <w:pPr>
        <w:jc w:val="center"/>
        <w:rPr>
          <w:rFonts w:hint="eastAsia" w:ascii="仿宋_GB2312" w:hAnsi="仿宋_GB2312" w:eastAsia="仿宋_GB2312" w:cs="仿宋_GB2312"/>
          <w:b/>
          <w:sz w:val="28"/>
          <w:szCs w:val="28"/>
        </w:rPr>
      </w:pPr>
    </w:p>
    <w:p>
      <w:pPr>
        <w:jc w:val="center"/>
        <w:rPr>
          <w:rFonts w:hint="eastAsia" w:ascii="仿宋_GB2312" w:hAnsi="仿宋_GB2312" w:eastAsia="仿宋_GB2312" w:cs="仿宋_GB2312"/>
          <w:b/>
          <w:sz w:val="28"/>
          <w:szCs w:val="28"/>
        </w:rPr>
      </w:pPr>
    </w:p>
    <w:p>
      <w:pPr>
        <w:jc w:val="center"/>
        <w:rPr>
          <w:rFonts w:hint="eastAsia" w:ascii="仿宋_GB2312" w:hAnsi="仿宋_GB2312" w:eastAsia="仿宋_GB2312" w:cs="仿宋_GB2312"/>
          <w:b/>
          <w:sz w:val="28"/>
          <w:szCs w:val="28"/>
        </w:rPr>
      </w:pPr>
    </w:p>
    <w:p>
      <w:pPr>
        <w:jc w:val="center"/>
        <w:rPr>
          <w:rFonts w:ascii="方正仿宋_GBK" w:hAnsi="宋体" w:eastAsia="方正仿宋_GBK" w:cs="宋体"/>
          <w:b/>
          <w:kern w:val="0"/>
          <w:sz w:val="24"/>
        </w:rPr>
      </w:pPr>
      <w:r>
        <w:rPr>
          <w:rFonts w:hint="eastAsia" w:ascii="仿宋_GB2312" w:hAnsi="仿宋_GB2312" w:eastAsia="仿宋_GB2312" w:cs="仿宋_GB2312"/>
          <w:b/>
          <w:sz w:val="28"/>
          <w:szCs w:val="28"/>
        </w:rPr>
        <w:t>★</w:t>
      </w:r>
      <w:r>
        <w:rPr>
          <w:rFonts w:hint="eastAsia" w:ascii="方正仿宋_GBK" w:hAnsi="仿宋_GB2312" w:eastAsia="方正仿宋_GBK" w:cs="仿宋_GB2312"/>
          <w:b/>
          <w:sz w:val="28"/>
          <w:szCs w:val="28"/>
        </w:rPr>
        <w:t>格式三   法定代表人授权委托书</w:t>
      </w:r>
    </w:p>
    <w:p>
      <w:pPr>
        <w:widowControl/>
        <w:snapToGrid w:val="0"/>
        <w:spacing w:before="100" w:beforeAutospacing="1" w:after="100" w:afterAutospacing="1" w:line="360" w:lineRule="auto"/>
        <w:jc w:val="left"/>
        <w:textAlignment w:val="bottom"/>
        <w:rPr>
          <w:rFonts w:ascii="方正仿宋_GBK" w:hAnsi="仿宋_GB2312" w:eastAsia="方正仿宋_GBK" w:cs="仿宋_GB2312"/>
          <w:bCs/>
          <w:kern w:val="0"/>
          <w:sz w:val="28"/>
          <w:szCs w:val="28"/>
        </w:rPr>
      </w:pPr>
      <w:r>
        <w:rPr>
          <w:rFonts w:hint="eastAsia" w:ascii="方正仿宋_GBK" w:hAnsi="仿宋_GB2312" w:eastAsia="方正仿宋_GBK" w:cs="仿宋_GB2312"/>
          <w:bCs/>
          <w:kern w:val="0"/>
          <w:sz w:val="28"/>
          <w:szCs w:val="28"/>
        </w:rPr>
        <w:t>  本授权书声明：注册于</w:t>
      </w:r>
      <w:r>
        <w:rPr>
          <w:rFonts w:hint="eastAsia" w:ascii="方正仿宋_GBK" w:hAnsi="仿宋_GB2312" w:eastAsia="方正仿宋_GBK" w:cs="仿宋_GB2312"/>
          <w:bCs/>
          <w:kern w:val="0"/>
          <w:sz w:val="28"/>
          <w:szCs w:val="28"/>
          <w:u w:val="single"/>
        </w:rPr>
        <w:t>          （注册地址）</w:t>
      </w:r>
      <w:r>
        <w:rPr>
          <w:rFonts w:hint="eastAsia" w:ascii="方正仿宋_GBK" w:hAnsi="仿宋_GB2312" w:eastAsia="方正仿宋_GBK" w:cs="仿宋_GB2312"/>
          <w:bCs/>
          <w:kern w:val="0"/>
          <w:sz w:val="28"/>
          <w:szCs w:val="28"/>
        </w:rPr>
        <w:t>的</w:t>
      </w:r>
      <w:r>
        <w:rPr>
          <w:rFonts w:hint="eastAsia" w:ascii="方正仿宋_GBK" w:hAnsi="仿宋_GB2312" w:eastAsia="方正仿宋_GBK" w:cs="仿宋_GB2312"/>
          <w:bCs/>
          <w:kern w:val="0"/>
          <w:sz w:val="28"/>
          <w:szCs w:val="28"/>
          <w:u w:val="single"/>
        </w:rPr>
        <w:t>                    （公司名称）</w:t>
      </w:r>
      <w:r>
        <w:rPr>
          <w:rFonts w:hint="eastAsia" w:ascii="方正仿宋_GBK" w:hAnsi="仿宋_GB2312" w:eastAsia="方正仿宋_GBK" w:cs="仿宋_GB2312"/>
          <w:bCs/>
          <w:kern w:val="0"/>
          <w:sz w:val="28"/>
          <w:szCs w:val="28"/>
        </w:rPr>
        <w:t>公司的在下面签字的</w:t>
      </w:r>
      <w:r>
        <w:rPr>
          <w:rFonts w:hint="eastAsia" w:ascii="方正仿宋_GBK" w:hAnsi="仿宋_GB2312" w:eastAsia="方正仿宋_GBK" w:cs="仿宋_GB2312"/>
          <w:bCs/>
          <w:kern w:val="0"/>
          <w:sz w:val="28"/>
          <w:szCs w:val="28"/>
          <w:u w:val="single"/>
        </w:rPr>
        <w:t>        </w:t>
      </w:r>
      <w:r>
        <w:rPr>
          <w:rFonts w:hint="eastAsia" w:ascii="方正仿宋_GBK" w:hAnsi="仿宋_GB2312" w:eastAsia="方正仿宋_GBK" w:cs="仿宋_GB2312"/>
          <w:bCs/>
          <w:kern w:val="0"/>
          <w:sz w:val="28"/>
          <w:szCs w:val="28"/>
        </w:rPr>
        <w:t>（法定代表人姓名、职务）代表本公司授权在下面签字的被授权人的姓名、职务）为本公司的合法代理人，就项目的报价以及合同的谈判、签约、执行、完成等全权负责，以本公司名义处理一切与之有关的事务。</w:t>
      </w:r>
    </w:p>
    <w:p>
      <w:pPr>
        <w:widowControl/>
        <w:snapToGrid w:val="0"/>
        <w:spacing w:before="100" w:beforeAutospacing="1" w:after="100" w:afterAutospacing="1" w:line="360" w:lineRule="auto"/>
        <w:ind w:firstLine="560" w:firstLineChars="200"/>
        <w:jc w:val="left"/>
        <w:textAlignment w:val="bottom"/>
        <w:rPr>
          <w:rFonts w:ascii="方正仿宋_GBK" w:hAnsi="仿宋_GB2312" w:eastAsia="方正仿宋_GBK" w:cs="仿宋_GB2312"/>
          <w:bCs/>
          <w:kern w:val="0"/>
          <w:sz w:val="28"/>
          <w:szCs w:val="28"/>
        </w:rPr>
      </w:pPr>
      <w:r>
        <w:rPr>
          <w:rFonts w:hint="eastAsia" w:ascii="方正仿宋_GBK" w:hAnsi="仿宋_GB2312" w:eastAsia="方正仿宋_GBK" w:cs="仿宋_GB2312"/>
          <w:bCs/>
          <w:kern w:val="0"/>
          <w:sz w:val="28"/>
          <w:szCs w:val="28"/>
        </w:rPr>
        <w:t>本授权书于    年   月   日签字生效，特此声明。</w:t>
      </w:r>
    </w:p>
    <w:p>
      <w:pPr>
        <w:widowControl/>
        <w:snapToGrid w:val="0"/>
        <w:spacing w:before="100" w:beforeAutospacing="1" w:after="100" w:afterAutospacing="1" w:line="252" w:lineRule="atLeast"/>
        <w:jc w:val="left"/>
        <w:textAlignment w:val="bottom"/>
        <w:rPr>
          <w:rFonts w:ascii="方正仿宋_GBK" w:hAnsi="宋体" w:eastAsia="方正仿宋_GBK" w:cs="华文楷体"/>
          <w:kern w:val="0"/>
          <w:sz w:val="28"/>
          <w:szCs w:val="28"/>
        </w:rPr>
      </w:pPr>
      <w:r>
        <w:rPr>
          <w:rFonts w:hint="eastAsia" w:ascii="方正仿宋_GBK" w:hAnsi="宋体" w:eastAsia="方正仿宋_GBK" w:cs="华文楷体"/>
          <w:kern w:val="0"/>
          <w:sz w:val="28"/>
          <w:szCs w:val="28"/>
        </w:rPr>
        <w:t>报价单位名称（盖章）：</w:t>
      </w:r>
      <w:r>
        <w:rPr>
          <w:rFonts w:hint="eastAsia" w:ascii="宋体" w:hAnsi="宋体" w:eastAsia="方正仿宋_GBK" w:cs="华文楷体"/>
          <w:kern w:val="0"/>
          <w:sz w:val="28"/>
          <w:szCs w:val="28"/>
        </w:rPr>
        <w:t>         </w:t>
      </w:r>
    </w:p>
    <w:p>
      <w:pPr>
        <w:widowControl/>
        <w:snapToGrid w:val="0"/>
        <w:spacing w:before="100" w:beforeAutospacing="1" w:after="100" w:afterAutospacing="1" w:line="252" w:lineRule="atLeast"/>
        <w:jc w:val="left"/>
        <w:textAlignment w:val="bottom"/>
        <w:rPr>
          <w:rFonts w:ascii="方正仿宋_GBK" w:hAnsi="宋体" w:eastAsia="方正仿宋_GBK" w:cs="华文楷体"/>
          <w:kern w:val="0"/>
          <w:sz w:val="28"/>
          <w:szCs w:val="28"/>
        </w:rPr>
      </w:pPr>
      <w:r>
        <w:rPr>
          <w:rFonts w:hint="eastAsia" w:ascii="方正仿宋_GBK" w:hAnsi="宋体" w:eastAsia="方正仿宋_GBK" w:cs="华文楷体"/>
          <w:kern w:val="0"/>
          <w:sz w:val="28"/>
          <w:szCs w:val="28"/>
        </w:rPr>
        <w:t>报价单位地址：</w:t>
      </w:r>
    </w:p>
    <w:p>
      <w:pPr>
        <w:widowControl/>
        <w:snapToGrid w:val="0"/>
        <w:spacing w:before="100" w:beforeAutospacing="1" w:after="100" w:afterAutospacing="1" w:line="252" w:lineRule="atLeast"/>
        <w:jc w:val="left"/>
        <w:textAlignment w:val="bottom"/>
        <w:rPr>
          <w:rFonts w:ascii="方正仿宋_GBK" w:hAnsi="宋体" w:eastAsia="方正仿宋_GBK" w:cs="华文楷体"/>
          <w:kern w:val="0"/>
          <w:sz w:val="28"/>
          <w:szCs w:val="28"/>
        </w:rPr>
      </w:pPr>
      <w:r>
        <w:rPr>
          <w:rFonts w:hint="eastAsia" w:ascii="方正仿宋_GBK" w:hAnsi="宋体" w:eastAsia="方正仿宋_GBK" w:cs="华文楷体"/>
          <w:kern w:val="0"/>
          <w:sz w:val="28"/>
          <w:szCs w:val="28"/>
        </w:rPr>
        <w:t>授权人（法定代表人）签字：</w:t>
      </w:r>
      <w:r>
        <w:rPr>
          <w:rFonts w:hint="eastAsia" w:ascii="宋体" w:hAnsi="宋体" w:eastAsia="方正仿宋_GBK" w:cs="华文楷体"/>
          <w:kern w:val="0"/>
          <w:sz w:val="28"/>
          <w:szCs w:val="28"/>
        </w:rPr>
        <w:t>                  </w:t>
      </w:r>
    </w:p>
    <w:p>
      <w:pPr>
        <w:widowControl/>
        <w:snapToGrid w:val="0"/>
        <w:spacing w:before="100" w:beforeAutospacing="1" w:after="100" w:afterAutospacing="1" w:line="252" w:lineRule="atLeast"/>
        <w:jc w:val="left"/>
        <w:textAlignment w:val="bottom"/>
        <w:rPr>
          <w:rFonts w:ascii="宋体" w:hAnsi="宋体" w:eastAsia="方正仿宋_GBK" w:cs="华文楷体"/>
          <w:kern w:val="0"/>
          <w:sz w:val="28"/>
          <w:szCs w:val="28"/>
        </w:rPr>
      </w:pPr>
      <w:r>
        <w:rPr>
          <w:rFonts w:hint="eastAsia" w:ascii="方正仿宋_GBK" w:hAnsi="宋体" w:eastAsia="方正仿宋_GBK" w:cs="华文楷体"/>
          <w:kern w:val="0"/>
          <w:sz w:val="28"/>
          <w:szCs w:val="28"/>
        </w:rPr>
        <w:t>被授权人（代理人）签字：</w:t>
      </w:r>
      <w:r>
        <w:rPr>
          <w:rFonts w:hint="eastAsia" w:ascii="宋体" w:hAnsi="宋体" w:eastAsia="方正仿宋_GBK" w:cs="华文楷体"/>
          <w:kern w:val="0"/>
          <w:sz w:val="28"/>
          <w:szCs w:val="28"/>
        </w:rPr>
        <w:t xml:space="preserve">  </w:t>
      </w:r>
    </w:p>
    <w:p>
      <w:pPr>
        <w:widowControl/>
        <w:snapToGrid w:val="0"/>
        <w:spacing w:before="100" w:beforeAutospacing="1" w:after="100" w:afterAutospacing="1" w:line="252" w:lineRule="atLeast"/>
        <w:jc w:val="left"/>
        <w:textAlignment w:val="bottom"/>
        <w:rPr>
          <w:rFonts w:ascii="方正仿宋_GBK" w:hAnsi="仿宋_GB2312" w:eastAsia="方正仿宋_GBK" w:cs="仿宋_GB2312"/>
          <w:bCs/>
          <w:kern w:val="0"/>
          <w:sz w:val="28"/>
          <w:szCs w:val="28"/>
        </w:rPr>
      </w:pPr>
      <w:r>
        <w:rPr>
          <w:rFonts w:hint="eastAsia" w:ascii="宋体" w:hAnsi="宋体" w:eastAsia="方正仿宋_GBK" w:cs="华文楷体"/>
          <w:kern w:val="0"/>
          <w:sz w:val="28"/>
          <w:szCs w:val="28"/>
        </w:rPr>
        <w:t> </w:t>
      </w:r>
      <w:r>
        <w:rPr>
          <w:rFonts w:hint="eastAsia" w:ascii="宋体" w:hAnsi="宋体" w:eastAsia="方正仿宋_GBK" w:cs="华文楷体"/>
          <w:kern w:val="0"/>
          <w:sz w:val="32"/>
          <w:szCs w:val="32"/>
        </w:rPr>
        <w:t> </w:t>
      </w:r>
    </w:p>
    <w:p>
      <w:pPr>
        <w:widowControl/>
        <w:snapToGrid w:val="0"/>
        <w:spacing w:before="100" w:beforeAutospacing="1" w:after="100" w:afterAutospacing="1" w:line="252" w:lineRule="atLeast"/>
        <w:ind w:firstLine="480"/>
        <w:jc w:val="left"/>
        <w:textAlignment w:val="bottom"/>
        <w:rPr>
          <w:rFonts w:ascii="仿宋_GB2312" w:hAnsi="仿宋_GB2312" w:eastAsia="仿宋_GB2312" w:cs="仿宋_GB2312"/>
          <w:b/>
          <w:kern w:val="0"/>
          <w:sz w:val="28"/>
          <w:szCs w:val="28"/>
        </w:rPr>
      </w:pPr>
      <w:r>
        <w:rPr>
          <w:rFonts w:ascii="仿宋_GB2312" w:hAnsi="仿宋_GB2312" w:eastAsia="仿宋_GB2312" w:cs="仿宋_GB2312"/>
          <w:b/>
          <w:kern w:val="0"/>
          <w:sz w:val="28"/>
          <w:szCs w:val="28"/>
        </w:rPr>
        <mc:AlternateContent>
          <mc:Choice Requires="wps">
            <w:drawing>
              <wp:anchor distT="0" distB="0" distL="114300" distR="114300" simplePos="0" relativeHeight="251660288" behindDoc="0" locked="0" layoutInCell="1" allowOverlap="1">
                <wp:simplePos x="0" y="0"/>
                <wp:positionH relativeFrom="column">
                  <wp:posOffset>2641600</wp:posOffset>
                </wp:positionH>
                <wp:positionV relativeFrom="paragraph">
                  <wp:posOffset>147320</wp:posOffset>
                </wp:positionV>
                <wp:extent cx="2971800" cy="2278380"/>
                <wp:effectExtent l="4445" t="4445" r="14605" b="22225"/>
                <wp:wrapNone/>
                <wp:docPr id="2" name="文本框 2"/>
                <wp:cNvGraphicFramePr/>
                <a:graphic xmlns:a="http://schemas.openxmlformats.org/drawingml/2006/main">
                  <a:graphicData uri="http://schemas.microsoft.com/office/word/2010/wordprocessingShape">
                    <wps:wsp>
                      <wps:cNvSpPr txBox="1"/>
                      <wps:spPr>
                        <a:xfrm>
                          <a:off x="0" y="0"/>
                          <a:ext cx="2971800" cy="22783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仿宋_GB2312" w:hAnsi="仿宋_GB2312" w:eastAsia="仿宋_GB2312" w:cs="仿宋_GB2312"/>
                              </w:rPr>
                            </w:pPr>
                            <w:r>
                              <w:rPr>
                                <w:rFonts w:hint="eastAsia" w:ascii="仿宋_GB2312" w:hAnsi="仿宋_GB2312" w:eastAsia="仿宋_GB2312" w:cs="仿宋_GB2312"/>
                              </w:rPr>
                              <w:t>被授权人身份证复印件</w:t>
                            </w:r>
                          </w:p>
                          <w:p/>
                        </w:txbxContent>
                      </wps:txbx>
                      <wps:bodyPr upright="1"/>
                    </wps:wsp>
                  </a:graphicData>
                </a:graphic>
              </wp:anchor>
            </w:drawing>
          </mc:Choice>
          <mc:Fallback>
            <w:pict>
              <v:shape id="_x0000_s1026" o:spid="_x0000_s1026" o:spt="202" type="#_x0000_t202" style="position:absolute;left:0pt;margin-left:208pt;margin-top:11.6pt;height:179.4pt;width:234pt;z-index:251660288;mso-width-relative:page;mso-height-relative:page;" fillcolor="#FFFFFF" filled="t" stroked="t" coordsize="21600,21600" o:gfxdata="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tBmdH2QAAAAoBAAAPAAAAAAAAAAEAIAAAACIAAABkcnMvZG93bnJldi54&#10;bWxQSwECFAAUAAAACACHTuJAFSSsTvkBAAD3AwAADgAAAAAAAAABACAAAAAoAQAAZHJzL2Uyb0Rv&#10;Yy54bWxQSwUGAAAAAAYABgBZAQAAkwUAAAAA&#10;">
                <v:fill on="t" focussize="0,0"/>
                <v:stroke color="#000000" joinstyle="miter"/>
                <v:imagedata o:title=""/>
                <o:lock v:ext="edit" aspectratio="f"/>
                <v:textbox>
                  <w:txbxContent>
                    <w:p>
                      <w:pPr>
                        <w:rPr>
                          <w:rFonts w:ascii="仿宋_GB2312" w:hAnsi="仿宋_GB2312" w:eastAsia="仿宋_GB2312" w:cs="仿宋_GB2312"/>
                        </w:rPr>
                      </w:pPr>
                      <w:r>
                        <w:rPr>
                          <w:rFonts w:hint="eastAsia" w:ascii="仿宋_GB2312" w:hAnsi="仿宋_GB2312" w:eastAsia="仿宋_GB2312" w:cs="仿宋_GB2312"/>
                        </w:rPr>
                        <w:t>被授权人身份证复印件</w:t>
                      </w:r>
                    </w:p>
                    <w:p/>
                  </w:txbxContent>
                </v:textbox>
              </v:shape>
            </w:pict>
          </mc:Fallback>
        </mc:AlternateContent>
      </w:r>
      <w:r>
        <w:rPr>
          <w:rFonts w:ascii="仿宋_GB2312" w:hAnsi="仿宋_GB2312" w:eastAsia="仿宋_GB2312" w:cs="仿宋_GB2312"/>
          <w:b/>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140970</wp:posOffset>
                </wp:positionV>
                <wp:extent cx="2857500" cy="2278380"/>
                <wp:effectExtent l="4445" t="5080" r="14605" b="21590"/>
                <wp:wrapNone/>
                <wp:docPr id="1" name="文本框 1"/>
                <wp:cNvGraphicFramePr/>
                <a:graphic xmlns:a="http://schemas.openxmlformats.org/drawingml/2006/main">
                  <a:graphicData uri="http://schemas.microsoft.com/office/word/2010/wordprocessingShape">
                    <wps:wsp>
                      <wps:cNvSpPr txBox="1"/>
                      <wps:spPr>
                        <a:xfrm>
                          <a:off x="0" y="0"/>
                          <a:ext cx="2857500" cy="22783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仿宋_GB2312" w:hAnsi="仿宋_GB2312" w:eastAsia="仿宋_GB2312" w:cs="仿宋_GB2312"/>
                              </w:rPr>
                            </w:pPr>
                            <w:r>
                              <w:rPr>
                                <w:rFonts w:hint="eastAsia" w:ascii="仿宋_GB2312" w:hAnsi="仿宋_GB2312" w:eastAsia="仿宋_GB2312" w:cs="仿宋_GB2312"/>
                              </w:rPr>
                              <w:t>授权人身份证复印件</w:t>
                            </w:r>
                          </w:p>
                        </w:txbxContent>
                      </wps:txbx>
                      <wps:bodyPr upright="1"/>
                    </wps:wsp>
                  </a:graphicData>
                </a:graphic>
              </wp:anchor>
            </w:drawing>
          </mc:Choice>
          <mc:Fallback>
            <w:pict>
              <v:shape id="_x0000_s1026" o:spid="_x0000_s1026" o:spt="202" type="#_x0000_t202" style="position:absolute;left:0pt;margin-left:-36pt;margin-top:11.1pt;height:179.4pt;width:225pt;z-index:251659264;mso-width-relative:page;mso-height-relative:page;" fillcolor="#FFFFFF" filled="t" stroked="t" coordsize="21600,21600" o:gfxdata="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mcE0m9kAAAAKAQAADwAAAAAAAAABACAAAAAiAAAAZHJzL2Rvd25yZXYueG1s&#10;UEsBAhQAFAAAAAgAh07iQDs+0/n3AQAA9wMAAA4AAAAAAAAAAQAgAAAAKAEAAGRycy9lMm9Eb2Mu&#10;eG1sUEsFBgAAAAAGAAYAWQEAAJEFAAAAAA==&#10;">
                <v:fill on="t" focussize="0,0"/>
                <v:stroke color="#000000" joinstyle="miter"/>
                <v:imagedata o:title=""/>
                <o:lock v:ext="edit" aspectratio="f"/>
                <v:textbox>
                  <w:txbxContent>
                    <w:p>
                      <w:pPr>
                        <w:rPr>
                          <w:rFonts w:ascii="仿宋_GB2312" w:hAnsi="仿宋_GB2312" w:eastAsia="仿宋_GB2312" w:cs="仿宋_GB2312"/>
                        </w:rPr>
                      </w:pPr>
                      <w:r>
                        <w:rPr>
                          <w:rFonts w:hint="eastAsia" w:ascii="仿宋_GB2312" w:hAnsi="仿宋_GB2312" w:eastAsia="仿宋_GB2312" w:cs="仿宋_GB2312"/>
                        </w:rPr>
                        <w:t>授权人身份证复印件</w:t>
                      </w:r>
                    </w:p>
                  </w:txbxContent>
                </v:textbox>
              </v:shape>
            </w:pict>
          </mc:Fallback>
        </mc:AlternateContent>
      </w:r>
    </w:p>
    <w:p>
      <w:pPr>
        <w:widowControl/>
        <w:snapToGrid w:val="0"/>
        <w:spacing w:before="100" w:beforeAutospacing="1" w:after="100" w:afterAutospacing="1" w:line="252" w:lineRule="atLeast"/>
        <w:ind w:firstLine="480"/>
        <w:jc w:val="left"/>
        <w:textAlignment w:val="bottom"/>
        <w:rPr>
          <w:rFonts w:ascii="仿宋_GB2312" w:hAnsi="仿宋_GB2312" w:eastAsia="仿宋_GB2312" w:cs="仿宋_GB2312"/>
          <w:b/>
          <w:kern w:val="0"/>
          <w:sz w:val="28"/>
          <w:szCs w:val="28"/>
        </w:rPr>
      </w:pPr>
    </w:p>
    <w:p>
      <w:pPr>
        <w:widowControl/>
        <w:snapToGrid w:val="0"/>
        <w:spacing w:before="100" w:beforeAutospacing="1" w:after="100" w:afterAutospacing="1" w:line="252" w:lineRule="atLeast"/>
        <w:ind w:firstLine="480"/>
        <w:jc w:val="left"/>
        <w:textAlignment w:val="bottom"/>
        <w:rPr>
          <w:rFonts w:ascii="仿宋_GB2312" w:hAnsi="仿宋_GB2312" w:eastAsia="仿宋_GB2312" w:cs="仿宋_GB2312"/>
          <w:b/>
          <w:kern w:val="0"/>
          <w:sz w:val="28"/>
          <w:szCs w:val="28"/>
        </w:rPr>
      </w:pPr>
    </w:p>
    <w:p>
      <w:pPr>
        <w:widowControl/>
        <w:snapToGrid w:val="0"/>
        <w:spacing w:before="100" w:beforeAutospacing="1" w:after="100" w:afterAutospacing="1" w:line="252" w:lineRule="atLeast"/>
        <w:ind w:firstLine="480"/>
        <w:jc w:val="left"/>
        <w:textAlignment w:val="bottom"/>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 </w:t>
      </w:r>
    </w:p>
    <w:p>
      <w:pPr>
        <w:widowControl/>
        <w:spacing w:before="100" w:beforeAutospacing="1" w:after="100" w:afterAutospacing="1" w:line="252" w:lineRule="atLeast"/>
        <w:jc w:val="center"/>
        <w:rPr>
          <w:rFonts w:ascii="仿宋_GB2312" w:hAnsi="仿宋_GB2312" w:eastAsia="仿宋_GB2312" w:cs="仿宋_GB2312"/>
          <w:b/>
          <w:kern w:val="0"/>
          <w:sz w:val="28"/>
          <w:szCs w:val="28"/>
        </w:rPr>
      </w:pPr>
    </w:p>
    <w:p>
      <w:pPr>
        <w:widowControl/>
        <w:spacing w:before="100" w:beforeAutospacing="1" w:after="100" w:afterAutospacing="1" w:line="252" w:lineRule="atLeast"/>
        <w:rPr>
          <w:rFonts w:ascii="仿宋_GB2312" w:hAnsi="仿宋_GB2312" w:eastAsia="仿宋_GB2312" w:cs="仿宋_GB2312"/>
          <w:bCs/>
          <w:kern w:val="0"/>
          <w:sz w:val="28"/>
          <w:szCs w:val="28"/>
        </w:rPr>
      </w:pPr>
    </w:p>
    <w:p>
      <w:pPr>
        <w:widowControl/>
        <w:spacing w:before="100" w:beforeAutospacing="1" w:after="100" w:afterAutospacing="1" w:line="252" w:lineRule="atLeast"/>
        <w:jc w:val="center"/>
        <w:rPr>
          <w:rFonts w:ascii="方正仿宋_GBK" w:hAnsi="仿宋_GB2312" w:eastAsia="方正仿宋_GBK" w:cs="仿宋_GB2312"/>
          <w:b/>
          <w:bCs/>
          <w:kern w:val="0"/>
          <w:sz w:val="28"/>
          <w:szCs w:val="28"/>
        </w:rPr>
      </w:pPr>
    </w:p>
    <w:p>
      <w:pPr>
        <w:widowControl/>
        <w:spacing w:before="100" w:beforeAutospacing="1" w:after="100" w:afterAutospacing="1" w:line="252" w:lineRule="atLeast"/>
        <w:jc w:val="center"/>
        <w:rPr>
          <w:rFonts w:ascii="方正仿宋_GBK" w:hAnsi="仿宋_GB2312" w:eastAsia="方正仿宋_GBK" w:cs="仿宋_GB2312"/>
          <w:b/>
          <w:bCs/>
          <w:kern w:val="0"/>
          <w:sz w:val="28"/>
          <w:szCs w:val="28"/>
        </w:rPr>
      </w:pPr>
    </w:p>
    <w:p>
      <w:pPr>
        <w:widowControl/>
        <w:spacing w:before="100" w:beforeAutospacing="1" w:after="100" w:afterAutospacing="1" w:line="252" w:lineRule="atLeast"/>
        <w:jc w:val="center"/>
        <w:rPr>
          <w:rFonts w:ascii="方正仿宋_GBK" w:hAnsi="仿宋_GB2312" w:eastAsia="方正仿宋_GBK" w:cs="仿宋_GB2312"/>
          <w:b/>
          <w:bCs/>
          <w:kern w:val="0"/>
          <w:sz w:val="28"/>
          <w:szCs w:val="28"/>
        </w:rPr>
      </w:pPr>
      <w:r>
        <w:rPr>
          <w:rFonts w:hint="eastAsia" w:ascii="方正仿宋_GBK" w:hAnsi="仿宋_GB2312" w:eastAsia="方正仿宋_GBK" w:cs="仿宋_GB2312"/>
          <w:b/>
          <w:bCs/>
          <w:kern w:val="0"/>
          <w:sz w:val="28"/>
          <w:szCs w:val="28"/>
        </w:rPr>
        <w:t>格式四  业绩证明材料</w:t>
      </w:r>
    </w:p>
    <w:p>
      <w:pPr>
        <w:widowControl/>
        <w:spacing w:before="100" w:beforeAutospacing="1" w:after="100" w:afterAutospacing="1" w:line="252" w:lineRule="atLeast"/>
        <w:rPr>
          <w:rFonts w:ascii="方正仿宋_GBK" w:hAnsi="仿宋_GB2312" w:eastAsia="方正仿宋_GBK" w:cs="仿宋_GB2312"/>
          <w:bCs/>
          <w:kern w:val="0"/>
          <w:sz w:val="28"/>
          <w:szCs w:val="28"/>
        </w:rPr>
      </w:pPr>
      <w:r>
        <w:rPr>
          <w:rFonts w:hint="eastAsia" w:ascii="方正仿宋_GBK" w:hAnsi="仿宋_GB2312" w:eastAsia="方正仿宋_GBK" w:cs="仿宋_GB2312"/>
          <w:bCs/>
          <w:kern w:val="0"/>
          <w:sz w:val="28"/>
          <w:szCs w:val="28"/>
        </w:rPr>
        <w:t>注：以上工程需提供合同复印件并加盖鲜章。</w:t>
      </w:r>
    </w:p>
    <w:p>
      <w:pPr>
        <w:widowControl/>
        <w:spacing w:before="100" w:beforeAutospacing="1" w:after="100" w:afterAutospacing="1" w:line="252" w:lineRule="atLeast"/>
        <w:rPr>
          <w:rFonts w:ascii="方正仿宋_GBK" w:hAnsi="仿宋_GB2312" w:eastAsia="方正仿宋_GBK" w:cs="仿宋_GB2312"/>
          <w:bCs/>
          <w:kern w:val="0"/>
          <w:sz w:val="28"/>
          <w:szCs w:val="28"/>
        </w:rPr>
      </w:pPr>
    </w:p>
    <w:p>
      <w:pPr>
        <w:widowControl/>
        <w:spacing w:before="100" w:beforeAutospacing="1" w:after="100" w:afterAutospacing="1" w:line="252" w:lineRule="atLeast"/>
        <w:rPr>
          <w:rFonts w:ascii="方正仿宋_GBK" w:hAnsi="仿宋_GB2312" w:eastAsia="方正仿宋_GBK" w:cs="仿宋_GB2312"/>
          <w:bCs/>
          <w:kern w:val="0"/>
          <w:sz w:val="28"/>
          <w:szCs w:val="28"/>
        </w:rPr>
      </w:pPr>
    </w:p>
    <w:p>
      <w:pPr>
        <w:widowControl/>
        <w:spacing w:before="100" w:beforeAutospacing="1" w:after="100" w:afterAutospacing="1" w:line="252" w:lineRule="atLeast"/>
        <w:rPr>
          <w:rFonts w:ascii="方正仿宋_GBK" w:hAnsi="仿宋_GB2312" w:eastAsia="方正仿宋_GBK" w:cs="仿宋_GB2312"/>
          <w:bCs/>
          <w:kern w:val="0"/>
          <w:sz w:val="28"/>
          <w:szCs w:val="28"/>
        </w:rPr>
      </w:pPr>
    </w:p>
    <w:p>
      <w:pPr>
        <w:widowControl/>
        <w:spacing w:before="100" w:beforeAutospacing="1" w:after="100" w:afterAutospacing="1" w:line="252" w:lineRule="atLeast"/>
        <w:ind w:firstLine="2670" w:firstLineChars="950"/>
        <w:rPr>
          <w:rFonts w:ascii="方正仿宋_GBK" w:hAnsi="仿宋_GB2312" w:eastAsia="方正仿宋_GBK" w:cs="仿宋_GB2312"/>
          <w:bCs/>
          <w:kern w:val="0"/>
          <w:sz w:val="28"/>
          <w:szCs w:val="28"/>
        </w:rPr>
      </w:pPr>
      <w:r>
        <w:rPr>
          <w:rFonts w:hint="eastAsia" w:ascii="方正仿宋_GBK" w:hAnsi="仿宋_GB2312" w:eastAsia="方正仿宋_GBK" w:cs="仿宋_GB2312"/>
          <w:b/>
          <w:bCs/>
          <w:kern w:val="0"/>
          <w:sz w:val="28"/>
          <w:szCs w:val="28"/>
        </w:rPr>
        <w:t>★格式五 拟投入项目人员名单</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6"/>
        <w:gridCol w:w="2252"/>
        <w:gridCol w:w="1258"/>
        <w:gridCol w:w="2460"/>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widowControl/>
              <w:spacing w:before="100" w:beforeAutospacing="1" w:after="100" w:afterAutospacing="1" w:line="252" w:lineRule="atLeast"/>
              <w:jc w:val="center"/>
              <w:rPr>
                <w:rFonts w:ascii="方正仿宋_GBK" w:hAnsi="仿宋_GB2312" w:eastAsia="方正仿宋_GBK" w:cs="仿宋_GB2312"/>
                <w:bCs/>
                <w:kern w:val="0"/>
                <w:sz w:val="28"/>
                <w:szCs w:val="28"/>
              </w:rPr>
            </w:pPr>
            <w:r>
              <w:rPr>
                <w:rFonts w:hint="eastAsia" w:ascii="方正仿宋_GBK" w:hAnsi="仿宋_GB2312" w:eastAsia="方正仿宋_GBK" w:cs="仿宋_GB2312"/>
                <w:bCs/>
                <w:kern w:val="0"/>
                <w:sz w:val="28"/>
                <w:szCs w:val="28"/>
              </w:rPr>
              <w:t>姓名</w:t>
            </w:r>
          </w:p>
        </w:tc>
        <w:tc>
          <w:tcPr>
            <w:tcW w:w="2252" w:type="dxa"/>
          </w:tcPr>
          <w:p>
            <w:pPr>
              <w:widowControl/>
              <w:spacing w:before="100" w:beforeAutospacing="1" w:after="100" w:afterAutospacing="1" w:line="252" w:lineRule="atLeast"/>
              <w:jc w:val="center"/>
              <w:rPr>
                <w:rFonts w:ascii="方正仿宋_GBK" w:hAnsi="仿宋_GB2312" w:eastAsia="方正仿宋_GBK" w:cs="仿宋_GB2312"/>
                <w:bCs/>
                <w:kern w:val="0"/>
                <w:sz w:val="28"/>
                <w:szCs w:val="28"/>
              </w:rPr>
            </w:pPr>
            <w:r>
              <w:rPr>
                <w:rFonts w:hint="eastAsia" w:ascii="方正仿宋_GBK" w:hAnsi="仿宋_GB2312" w:eastAsia="方正仿宋_GBK" w:cs="仿宋_GB2312"/>
                <w:bCs/>
                <w:kern w:val="0"/>
                <w:sz w:val="28"/>
                <w:szCs w:val="28"/>
              </w:rPr>
              <w:t>资质证书/职称</w:t>
            </w:r>
          </w:p>
        </w:tc>
        <w:tc>
          <w:tcPr>
            <w:tcW w:w="1258" w:type="dxa"/>
          </w:tcPr>
          <w:p>
            <w:pPr>
              <w:widowControl/>
              <w:spacing w:before="100" w:beforeAutospacing="1" w:after="100" w:afterAutospacing="1" w:line="252" w:lineRule="atLeast"/>
              <w:jc w:val="center"/>
              <w:rPr>
                <w:rFonts w:ascii="方正仿宋_GBK" w:hAnsi="仿宋_GB2312" w:eastAsia="方正仿宋_GBK" w:cs="仿宋_GB2312"/>
                <w:bCs/>
                <w:kern w:val="0"/>
                <w:sz w:val="28"/>
                <w:szCs w:val="28"/>
              </w:rPr>
            </w:pPr>
            <w:r>
              <w:rPr>
                <w:rFonts w:hint="eastAsia" w:ascii="方正仿宋_GBK" w:hAnsi="仿宋_GB2312" w:eastAsia="方正仿宋_GBK" w:cs="仿宋_GB2312"/>
                <w:bCs/>
                <w:kern w:val="0"/>
                <w:sz w:val="28"/>
                <w:szCs w:val="28"/>
              </w:rPr>
              <w:t>专业</w:t>
            </w:r>
          </w:p>
        </w:tc>
        <w:tc>
          <w:tcPr>
            <w:tcW w:w="2460" w:type="dxa"/>
          </w:tcPr>
          <w:p>
            <w:pPr>
              <w:widowControl/>
              <w:spacing w:before="100" w:beforeAutospacing="1" w:after="100" w:afterAutospacing="1" w:line="252" w:lineRule="atLeast"/>
              <w:jc w:val="center"/>
              <w:rPr>
                <w:rFonts w:ascii="方正仿宋_GBK" w:hAnsi="仿宋_GB2312" w:eastAsia="方正仿宋_GBK" w:cs="仿宋_GB2312"/>
                <w:bCs/>
                <w:kern w:val="0"/>
                <w:sz w:val="28"/>
                <w:szCs w:val="28"/>
              </w:rPr>
            </w:pPr>
            <w:r>
              <w:rPr>
                <w:rFonts w:hint="eastAsia" w:ascii="方正仿宋_GBK" w:hAnsi="仿宋_GB2312" w:eastAsia="方正仿宋_GBK" w:cs="仿宋_GB2312"/>
                <w:bCs/>
                <w:kern w:val="0"/>
                <w:sz w:val="28"/>
                <w:szCs w:val="28"/>
              </w:rPr>
              <w:t>拟在本项目任职</w:t>
            </w:r>
          </w:p>
        </w:tc>
        <w:tc>
          <w:tcPr>
            <w:tcW w:w="1396" w:type="dxa"/>
          </w:tcPr>
          <w:p>
            <w:pPr>
              <w:widowControl/>
              <w:spacing w:before="100" w:beforeAutospacing="1" w:after="100" w:afterAutospacing="1" w:line="252" w:lineRule="atLeast"/>
              <w:jc w:val="center"/>
              <w:rPr>
                <w:rFonts w:ascii="方正仿宋_GBK" w:hAnsi="仿宋_GB2312" w:eastAsia="方正仿宋_GBK" w:cs="仿宋_GB2312"/>
                <w:bCs/>
                <w:kern w:val="0"/>
                <w:sz w:val="28"/>
                <w:szCs w:val="28"/>
              </w:rPr>
            </w:pPr>
            <w:r>
              <w:rPr>
                <w:rFonts w:hint="eastAsia" w:ascii="方正仿宋_GBK" w:hAnsi="仿宋_GB2312" w:eastAsia="方正仿宋_GBK" w:cs="仿宋_GB2312"/>
                <w:bCs/>
                <w:kern w:val="0"/>
                <w:sz w:val="28"/>
                <w:szCs w:val="28"/>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widowControl/>
              <w:spacing w:before="100" w:beforeAutospacing="1" w:after="100" w:afterAutospacing="1" w:line="252" w:lineRule="atLeast"/>
              <w:jc w:val="center"/>
              <w:rPr>
                <w:rFonts w:ascii="方正仿宋_GBK" w:hAnsi="仿宋_GB2312" w:eastAsia="方正仿宋_GBK" w:cs="仿宋_GB2312"/>
                <w:bCs/>
                <w:kern w:val="0"/>
                <w:sz w:val="28"/>
                <w:szCs w:val="28"/>
              </w:rPr>
            </w:pPr>
          </w:p>
        </w:tc>
        <w:tc>
          <w:tcPr>
            <w:tcW w:w="2252" w:type="dxa"/>
          </w:tcPr>
          <w:p>
            <w:pPr>
              <w:widowControl/>
              <w:spacing w:before="100" w:beforeAutospacing="1" w:after="100" w:afterAutospacing="1" w:line="252" w:lineRule="atLeast"/>
              <w:jc w:val="center"/>
              <w:rPr>
                <w:rFonts w:ascii="方正仿宋_GBK" w:hAnsi="仿宋_GB2312" w:eastAsia="方正仿宋_GBK" w:cs="仿宋_GB2312"/>
                <w:bCs/>
                <w:kern w:val="0"/>
                <w:sz w:val="28"/>
                <w:szCs w:val="28"/>
              </w:rPr>
            </w:pPr>
          </w:p>
        </w:tc>
        <w:tc>
          <w:tcPr>
            <w:tcW w:w="1258" w:type="dxa"/>
          </w:tcPr>
          <w:p>
            <w:pPr>
              <w:widowControl/>
              <w:spacing w:before="100" w:beforeAutospacing="1" w:after="100" w:afterAutospacing="1" w:line="252" w:lineRule="atLeast"/>
              <w:jc w:val="center"/>
              <w:rPr>
                <w:rFonts w:ascii="方正仿宋_GBK" w:hAnsi="仿宋_GB2312" w:eastAsia="方正仿宋_GBK" w:cs="仿宋_GB2312"/>
                <w:bCs/>
                <w:kern w:val="0"/>
                <w:sz w:val="28"/>
                <w:szCs w:val="28"/>
              </w:rPr>
            </w:pPr>
          </w:p>
        </w:tc>
        <w:tc>
          <w:tcPr>
            <w:tcW w:w="2460" w:type="dxa"/>
          </w:tcPr>
          <w:p>
            <w:pPr>
              <w:widowControl/>
              <w:spacing w:before="100" w:beforeAutospacing="1" w:after="100" w:afterAutospacing="1" w:line="252" w:lineRule="atLeast"/>
              <w:jc w:val="center"/>
              <w:rPr>
                <w:rFonts w:ascii="方正仿宋_GBK" w:hAnsi="仿宋_GB2312" w:eastAsia="方正仿宋_GBK" w:cs="仿宋_GB2312"/>
                <w:bCs/>
                <w:kern w:val="0"/>
                <w:sz w:val="28"/>
                <w:szCs w:val="28"/>
              </w:rPr>
            </w:pPr>
          </w:p>
        </w:tc>
        <w:tc>
          <w:tcPr>
            <w:tcW w:w="1396" w:type="dxa"/>
          </w:tcPr>
          <w:p>
            <w:pPr>
              <w:widowControl/>
              <w:spacing w:before="100" w:beforeAutospacing="1" w:after="100" w:afterAutospacing="1" w:line="252" w:lineRule="atLeast"/>
              <w:jc w:val="center"/>
              <w:rPr>
                <w:rFonts w:ascii="方正仿宋_GBK" w:hAnsi="仿宋_GB2312" w:eastAsia="方正仿宋_GBK"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widowControl/>
              <w:spacing w:before="100" w:beforeAutospacing="1" w:after="100" w:afterAutospacing="1" w:line="252" w:lineRule="atLeast"/>
              <w:jc w:val="center"/>
              <w:rPr>
                <w:rFonts w:ascii="方正仿宋_GBK" w:hAnsi="仿宋_GB2312" w:eastAsia="方正仿宋_GBK" w:cs="仿宋_GB2312"/>
                <w:bCs/>
                <w:kern w:val="0"/>
                <w:sz w:val="28"/>
                <w:szCs w:val="28"/>
              </w:rPr>
            </w:pPr>
          </w:p>
        </w:tc>
        <w:tc>
          <w:tcPr>
            <w:tcW w:w="2252" w:type="dxa"/>
          </w:tcPr>
          <w:p>
            <w:pPr>
              <w:widowControl/>
              <w:spacing w:before="100" w:beforeAutospacing="1" w:after="100" w:afterAutospacing="1" w:line="252" w:lineRule="atLeast"/>
              <w:jc w:val="center"/>
              <w:rPr>
                <w:rFonts w:ascii="方正仿宋_GBK" w:hAnsi="仿宋_GB2312" w:eastAsia="方正仿宋_GBK" w:cs="仿宋_GB2312"/>
                <w:bCs/>
                <w:kern w:val="0"/>
                <w:sz w:val="28"/>
                <w:szCs w:val="28"/>
              </w:rPr>
            </w:pPr>
          </w:p>
        </w:tc>
        <w:tc>
          <w:tcPr>
            <w:tcW w:w="1258" w:type="dxa"/>
          </w:tcPr>
          <w:p>
            <w:pPr>
              <w:widowControl/>
              <w:spacing w:before="100" w:beforeAutospacing="1" w:after="100" w:afterAutospacing="1" w:line="252" w:lineRule="atLeast"/>
              <w:jc w:val="center"/>
              <w:rPr>
                <w:rFonts w:ascii="方正仿宋_GBK" w:hAnsi="仿宋_GB2312" w:eastAsia="方正仿宋_GBK" w:cs="仿宋_GB2312"/>
                <w:bCs/>
                <w:kern w:val="0"/>
                <w:sz w:val="28"/>
                <w:szCs w:val="28"/>
              </w:rPr>
            </w:pPr>
          </w:p>
        </w:tc>
        <w:tc>
          <w:tcPr>
            <w:tcW w:w="2460" w:type="dxa"/>
          </w:tcPr>
          <w:p>
            <w:pPr>
              <w:widowControl/>
              <w:spacing w:before="100" w:beforeAutospacing="1" w:after="100" w:afterAutospacing="1" w:line="252" w:lineRule="atLeast"/>
              <w:jc w:val="center"/>
              <w:rPr>
                <w:rFonts w:ascii="方正仿宋_GBK" w:hAnsi="仿宋_GB2312" w:eastAsia="方正仿宋_GBK" w:cs="仿宋_GB2312"/>
                <w:bCs/>
                <w:kern w:val="0"/>
                <w:sz w:val="28"/>
                <w:szCs w:val="28"/>
              </w:rPr>
            </w:pPr>
          </w:p>
        </w:tc>
        <w:tc>
          <w:tcPr>
            <w:tcW w:w="1396" w:type="dxa"/>
          </w:tcPr>
          <w:p>
            <w:pPr>
              <w:widowControl/>
              <w:spacing w:before="100" w:beforeAutospacing="1" w:after="100" w:afterAutospacing="1" w:line="252" w:lineRule="atLeast"/>
              <w:jc w:val="center"/>
              <w:rPr>
                <w:rFonts w:ascii="方正仿宋_GBK" w:hAnsi="仿宋_GB2312" w:eastAsia="方正仿宋_GBK"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widowControl/>
              <w:spacing w:before="100" w:beforeAutospacing="1" w:after="100" w:afterAutospacing="1" w:line="252" w:lineRule="atLeast"/>
              <w:jc w:val="center"/>
              <w:rPr>
                <w:rFonts w:ascii="方正仿宋_GBK" w:hAnsi="仿宋_GB2312" w:eastAsia="方正仿宋_GBK" w:cs="仿宋_GB2312"/>
                <w:bCs/>
                <w:kern w:val="0"/>
                <w:sz w:val="28"/>
                <w:szCs w:val="28"/>
              </w:rPr>
            </w:pPr>
          </w:p>
        </w:tc>
        <w:tc>
          <w:tcPr>
            <w:tcW w:w="2252" w:type="dxa"/>
          </w:tcPr>
          <w:p>
            <w:pPr>
              <w:widowControl/>
              <w:spacing w:before="100" w:beforeAutospacing="1" w:after="100" w:afterAutospacing="1" w:line="252" w:lineRule="atLeast"/>
              <w:jc w:val="center"/>
              <w:rPr>
                <w:rFonts w:ascii="方正仿宋_GBK" w:hAnsi="仿宋_GB2312" w:eastAsia="方正仿宋_GBK" w:cs="仿宋_GB2312"/>
                <w:bCs/>
                <w:kern w:val="0"/>
                <w:sz w:val="28"/>
                <w:szCs w:val="28"/>
              </w:rPr>
            </w:pPr>
          </w:p>
        </w:tc>
        <w:tc>
          <w:tcPr>
            <w:tcW w:w="1258" w:type="dxa"/>
          </w:tcPr>
          <w:p>
            <w:pPr>
              <w:widowControl/>
              <w:spacing w:before="100" w:beforeAutospacing="1" w:after="100" w:afterAutospacing="1" w:line="252" w:lineRule="atLeast"/>
              <w:jc w:val="center"/>
              <w:rPr>
                <w:rFonts w:ascii="方正仿宋_GBK" w:hAnsi="仿宋_GB2312" w:eastAsia="方正仿宋_GBK" w:cs="仿宋_GB2312"/>
                <w:bCs/>
                <w:kern w:val="0"/>
                <w:sz w:val="28"/>
                <w:szCs w:val="28"/>
              </w:rPr>
            </w:pPr>
          </w:p>
        </w:tc>
        <w:tc>
          <w:tcPr>
            <w:tcW w:w="2460" w:type="dxa"/>
          </w:tcPr>
          <w:p>
            <w:pPr>
              <w:widowControl/>
              <w:spacing w:before="100" w:beforeAutospacing="1" w:after="100" w:afterAutospacing="1" w:line="252" w:lineRule="atLeast"/>
              <w:jc w:val="center"/>
              <w:rPr>
                <w:rFonts w:ascii="方正仿宋_GBK" w:hAnsi="仿宋_GB2312" w:eastAsia="方正仿宋_GBK" w:cs="仿宋_GB2312"/>
                <w:bCs/>
                <w:kern w:val="0"/>
                <w:sz w:val="28"/>
                <w:szCs w:val="28"/>
              </w:rPr>
            </w:pPr>
          </w:p>
        </w:tc>
        <w:tc>
          <w:tcPr>
            <w:tcW w:w="1396" w:type="dxa"/>
          </w:tcPr>
          <w:p>
            <w:pPr>
              <w:widowControl/>
              <w:spacing w:before="100" w:beforeAutospacing="1" w:after="100" w:afterAutospacing="1" w:line="252" w:lineRule="atLeast"/>
              <w:jc w:val="center"/>
              <w:rPr>
                <w:rFonts w:ascii="方正仿宋_GBK" w:hAnsi="仿宋_GB2312" w:eastAsia="方正仿宋_GBK" w:cs="仿宋_GB2312"/>
                <w:bCs/>
                <w:kern w:val="0"/>
                <w:sz w:val="28"/>
                <w:szCs w:val="28"/>
              </w:rPr>
            </w:pPr>
          </w:p>
        </w:tc>
      </w:tr>
    </w:tbl>
    <w:p>
      <w:pPr>
        <w:widowControl/>
        <w:spacing w:before="100" w:beforeAutospacing="1" w:after="100" w:afterAutospacing="1" w:line="252" w:lineRule="atLeast"/>
        <w:jc w:val="center"/>
        <w:rPr>
          <w:rFonts w:ascii="方正仿宋_GBK" w:hAnsi="仿宋_GB2312" w:eastAsia="方正仿宋_GBK" w:cs="仿宋_GB2312"/>
          <w:bCs/>
          <w:kern w:val="0"/>
          <w:sz w:val="28"/>
          <w:szCs w:val="28"/>
        </w:rPr>
      </w:pPr>
    </w:p>
    <w:p>
      <w:pPr>
        <w:widowControl/>
        <w:spacing w:before="100" w:beforeAutospacing="1" w:after="100" w:afterAutospacing="1" w:line="252" w:lineRule="atLeast"/>
        <w:rPr>
          <w:rFonts w:ascii="方正仿宋_GBK" w:hAnsi="仿宋_GB2312" w:eastAsia="方正仿宋_GBK" w:cs="仿宋_GB2312"/>
          <w:bCs/>
          <w:kern w:val="0"/>
          <w:sz w:val="28"/>
          <w:szCs w:val="28"/>
        </w:rPr>
      </w:pPr>
    </w:p>
    <w:p>
      <w:pPr>
        <w:widowControl/>
        <w:spacing w:before="100" w:beforeAutospacing="1" w:after="100" w:afterAutospacing="1" w:line="252" w:lineRule="atLeast"/>
        <w:jc w:val="center"/>
        <w:rPr>
          <w:rFonts w:ascii="方正仿宋_GBK" w:hAnsi="仿宋_GB2312" w:eastAsia="方正仿宋_GBK" w:cs="仿宋_GB2312"/>
          <w:bCs/>
          <w:kern w:val="0"/>
          <w:sz w:val="28"/>
          <w:szCs w:val="28"/>
        </w:rPr>
      </w:pPr>
    </w:p>
    <w:p>
      <w:pPr>
        <w:widowControl/>
        <w:spacing w:before="100" w:beforeAutospacing="1" w:after="100" w:afterAutospacing="1" w:line="252" w:lineRule="atLeast"/>
        <w:jc w:val="center"/>
        <w:rPr>
          <w:rFonts w:ascii="方正仿宋_GBK" w:hAnsi="仿宋_GB2312" w:eastAsia="方正仿宋_GBK" w:cs="仿宋_GB2312"/>
          <w:bCs/>
          <w:kern w:val="0"/>
          <w:sz w:val="28"/>
          <w:szCs w:val="28"/>
        </w:rPr>
      </w:pPr>
    </w:p>
    <w:p>
      <w:pPr>
        <w:widowControl/>
        <w:spacing w:before="100" w:beforeAutospacing="1" w:after="100" w:afterAutospacing="1" w:line="252" w:lineRule="atLeast"/>
        <w:jc w:val="center"/>
        <w:rPr>
          <w:rFonts w:ascii="方正仿宋_GBK" w:hAnsi="仿宋_GB2312" w:eastAsia="方正仿宋_GBK" w:cs="仿宋_GB2312"/>
          <w:bCs/>
          <w:kern w:val="0"/>
          <w:sz w:val="28"/>
          <w:szCs w:val="28"/>
        </w:rPr>
      </w:pPr>
      <w:r>
        <w:rPr>
          <w:rFonts w:hint="eastAsia" w:ascii="方正仿宋_GBK" w:hAnsi="仿宋_GB2312" w:eastAsia="方正仿宋_GBK" w:cs="仿宋_GB2312"/>
          <w:bCs/>
          <w:kern w:val="0"/>
          <w:sz w:val="28"/>
          <w:szCs w:val="28"/>
        </w:rPr>
        <w:t xml:space="preserve">            </w:t>
      </w:r>
    </w:p>
    <w:p>
      <w:pPr>
        <w:widowControl/>
        <w:spacing w:before="100" w:beforeAutospacing="1" w:after="100" w:afterAutospacing="1" w:line="252" w:lineRule="atLeast"/>
        <w:ind w:firstLine="555"/>
        <w:rPr>
          <w:rFonts w:ascii="方正仿宋_GBK" w:hAnsi="仿宋_GB2312" w:eastAsia="方正仿宋_GBK" w:cs="仿宋_GB2312"/>
          <w:bCs/>
          <w:kern w:val="0"/>
          <w:sz w:val="28"/>
          <w:szCs w:val="28"/>
        </w:rPr>
      </w:pPr>
    </w:p>
    <w:p>
      <w:pPr>
        <w:widowControl/>
        <w:spacing w:before="100" w:beforeAutospacing="1" w:after="100" w:afterAutospacing="1" w:line="252" w:lineRule="atLeast"/>
        <w:ind w:firstLine="555"/>
        <w:rPr>
          <w:rFonts w:ascii="方正仿宋_GBK" w:hAnsi="仿宋_GB2312" w:eastAsia="方正仿宋_GBK" w:cs="仿宋_GB2312"/>
          <w:bCs/>
          <w:kern w:val="0"/>
          <w:sz w:val="28"/>
          <w:szCs w:val="28"/>
        </w:rPr>
      </w:pPr>
    </w:p>
    <w:p>
      <w:pPr>
        <w:widowControl/>
        <w:spacing w:before="100" w:beforeAutospacing="1" w:after="100" w:afterAutospacing="1" w:line="252" w:lineRule="atLeast"/>
        <w:ind w:firstLine="555"/>
        <w:rPr>
          <w:rFonts w:ascii="方正仿宋_GBK" w:hAnsi="仿宋_GB2312" w:eastAsia="方正仿宋_GBK" w:cs="仿宋_GB2312"/>
          <w:bCs/>
          <w:kern w:val="0"/>
          <w:sz w:val="28"/>
          <w:szCs w:val="28"/>
        </w:rPr>
      </w:pPr>
    </w:p>
    <w:p>
      <w:pPr>
        <w:widowControl/>
        <w:spacing w:before="100" w:beforeAutospacing="1" w:after="100" w:afterAutospacing="1" w:line="252" w:lineRule="atLeast"/>
        <w:ind w:firstLine="555"/>
        <w:rPr>
          <w:rFonts w:ascii="方正仿宋_GBK" w:hAnsi="仿宋_GB2312" w:eastAsia="方正仿宋_GBK" w:cs="仿宋_GB2312"/>
          <w:bCs/>
          <w:kern w:val="0"/>
          <w:sz w:val="28"/>
          <w:szCs w:val="28"/>
        </w:rPr>
      </w:pPr>
    </w:p>
    <w:p>
      <w:pPr>
        <w:spacing w:line="360" w:lineRule="auto"/>
        <w:jc w:val="left"/>
        <w:rPr>
          <w:rFonts w:hint="eastAsia" w:ascii="方正小标宋_GBK" w:eastAsia="方正小标宋_GBK"/>
          <w:bCs/>
          <w:sz w:val="32"/>
          <w:szCs w:val="32"/>
        </w:rPr>
      </w:pPr>
    </w:p>
    <w:p>
      <w:pPr>
        <w:spacing w:line="360" w:lineRule="auto"/>
        <w:jc w:val="left"/>
        <w:rPr>
          <w:rFonts w:ascii="方正小标宋_GBK" w:eastAsia="方正小标宋_GBK"/>
          <w:bCs/>
          <w:sz w:val="32"/>
          <w:szCs w:val="32"/>
        </w:rPr>
      </w:pPr>
      <w:r>
        <w:rPr>
          <w:rFonts w:hint="eastAsia" w:ascii="方正小标宋_GBK" w:eastAsia="方正小标宋_GBK"/>
          <w:bCs/>
          <w:sz w:val="32"/>
          <w:szCs w:val="32"/>
        </w:rPr>
        <w:t>合同编号：</w:t>
      </w:r>
    </w:p>
    <w:p>
      <w:pPr>
        <w:spacing w:line="360" w:lineRule="auto"/>
        <w:jc w:val="left"/>
        <w:rPr>
          <w:rFonts w:ascii="方正小标宋_GBK" w:eastAsia="方正小标宋_GBK"/>
          <w:bCs/>
          <w:sz w:val="32"/>
          <w:szCs w:val="32"/>
        </w:rPr>
      </w:pPr>
    </w:p>
    <w:p>
      <w:pPr>
        <w:spacing w:line="360" w:lineRule="auto"/>
        <w:jc w:val="center"/>
        <w:rPr>
          <w:b/>
          <w:bCs/>
          <w:sz w:val="52"/>
          <w:szCs w:val="52"/>
        </w:rPr>
      </w:pPr>
      <w:r>
        <w:rPr>
          <w:rFonts w:hint="eastAsia"/>
          <w:b/>
          <w:bCs/>
          <w:sz w:val="52"/>
          <w:szCs w:val="52"/>
        </w:rPr>
        <w:t>土壤污染治理修复</w:t>
      </w:r>
      <w:r>
        <w:rPr>
          <w:rFonts w:hint="eastAsia"/>
          <w:b/>
          <w:bCs/>
          <w:sz w:val="52"/>
          <w:szCs w:val="52"/>
          <w:lang w:val="en-US" w:eastAsia="zh-CN"/>
        </w:rPr>
        <w:t>效果评估</w:t>
      </w:r>
      <w:r>
        <w:rPr>
          <w:rFonts w:hint="eastAsia"/>
          <w:b/>
          <w:bCs/>
          <w:sz w:val="52"/>
          <w:szCs w:val="52"/>
        </w:rPr>
        <w:t>合同</w:t>
      </w:r>
    </w:p>
    <w:p>
      <w:pPr>
        <w:rPr>
          <w:rFonts w:ascii="宋体" w:hAnsi="宋体"/>
          <w:b/>
          <w:color w:val="000000"/>
          <w:sz w:val="32"/>
        </w:rPr>
      </w:pPr>
    </w:p>
    <w:p>
      <w:pPr>
        <w:rPr>
          <w:rFonts w:ascii="宋体" w:hAnsi="宋体"/>
          <w:b/>
          <w:color w:val="000000"/>
          <w:sz w:val="32"/>
        </w:rPr>
      </w:pPr>
    </w:p>
    <w:p>
      <w:pPr>
        <w:rPr>
          <w:rFonts w:ascii="宋体" w:hAnsi="宋体"/>
          <w:b/>
          <w:color w:val="000000"/>
          <w:sz w:val="32"/>
        </w:rPr>
      </w:pPr>
    </w:p>
    <w:p>
      <w:pPr>
        <w:spacing w:line="480" w:lineRule="auto"/>
        <w:jc w:val="left"/>
        <w:rPr>
          <w:rFonts w:ascii="宋体" w:hAnsi="宋体"/>
          <w:sz w:val="32"/>
          <w:szCs w:val="32"/>
          <w:u w:val="single"/>
        </w:rPr>
      </w:pPr>
      <w:r>
        <w:rPr>
          <w:rFonts w:hint="eastAsia" w:ascii="宋体" w:hAnsi="宋体"/>
          <w:sz w:val="32"/>
          <w:szCs w:val="32"/>
        </w:rPr>
        <w:t>合同名称：</w:t>
      </w:r>
      <w:r>
        <w:rPr>
          <w:rFonts w:hint="eastAsia" w:ascii="宋体" w:hAnsi="宋体"/>
          <w:sz w:val="32"/>
          <w:szCs w:val="32"/>
          <w:u w:val="single"/>
        </w:rPr>
        <w:t xml:space="preserve">   大竹林F标准分区F06-6-1/06地块（九曲河公交站场）污染土壤治理修复</w:t>
      </w:r>
      <w:r>
        <w:rPr>
          <w:rFonts w:hint="eastAsia" w:ascii="宋体" w:hAnsi="宋体"/>
          <w:sz w:val="32"/>
          <w:szCs w:val="32"/>
          <w:u w:val="single"/>
          <w:lang w:val="en-US" w:eastAsia="zh-CN"/>
        </w:rPr>
        <w:t>效果评估</w:t>
      </w:r>
      <w:r>
        <w:rPr>
          <w:rFonts w:hint="eastAsia" w:ascii="宋体" w:hAnsi="宋体"/>
          <w:sz w:val="32"/>
          <w:szCs w:val="32"/>
          <w:u w:val="single"/>
        </w:rPr>
        <w:t>工程</w:t>
      </w:r>
    </w:p>
    <w:p>
      <w:pPr>
        <w:spacing w:line="480" w:lineRule="auto"/>
        <w:rPr>
          <w:rFonts w:ascii="宋体" w:hAnsi="宋体"/>
          <w:sz w:val="32"/>
          <w:szCs w:val="32"/>
          <w:u w:val="single"/>
        </w:rPr>
      </w:pPr>
      <w:r>
        <w:rPr>
          <w:rFonts w:hint="eastAsia" w:ascii="宋体" w:hAnsi="宋体"/>
          <w:sz w:val="32"/>
          <w:szCs w:val="32"/>
        </w:rPr>
        <w:t>甲方（委托单位）：</w:t>
      </w:r>
      <w:r>
        <w:rPr>
          <w:rFonts w:hint="eastAsia" w:ascii="宋体" w:hAnsi="宋体"/>
          <w:sz w:val="32"/>
          <w:szCs w:val="32"/>
          <w:u w:val="single"/>
        </w:rPr>
        <w:t xml:space="preserve">重庆城市综合交通枢纽（集团）有限公司    </w:t>
      </w:r>
    </w:p>
    <w:p>
      <w:pPr>
        <w:spacing w:line="480" w:lineRule="auto"/>
        <w:rPr>
          <w:rFonts w:ascii="宋体" w:hAnsi="宋体"/>
          <w:sz w:val="32"/>
          <w:szCs w:val="32"/>
          <w:u w:val="single"/>
        </w:rPr>
      </w:pPr>
      <w:r>
        <w:rPr>
          <w:rFonts w:hint="eastAsia" w:ascii="宋体" w:hAnsi="宋体"/>
          <w:sz w:val="32"/>
          <w:szCs w:val="32"/>
        </w:rPr>
        <w:t xml:space="preserve">乙方（受托方）：  </w:t>
      </w:r>
    </w:p>
    <w:p>
      <w:pPr>
        <w:spacing w:line="480" w:lineRule="auto"/>
        <w:rPr>
          <w:rFonts w:ascii="宋体" w:hAnsi="宋体"/>
          <w:sz w:val="32"/>
          <w:szCs w:val="32"/>
          <w:u w:val="single"/>
        </w:rPr>
      </w:pPr>
      <w:r>
        <w:rPr>
          <w:rFonts w:hint="eastAsia" w:ascii="宋体" w:hAnsi="宋体"/>
          <w:sz w:val="32"/>
          <w:szCs w:val="32"/>
        </w:rPr>
        <w:t>工 程 地 点：</w:t>
      </w:r>
      <w:r>
        <w:rPr>
          <w:rFonts w:hint="eastAsia" w:ascii="宋体" w:hAnsi="宋体"/>
          <w:sz w:val="32"/>
          <w:szCs w:val="32"/>
          <w:u w:val="single"/>
        </w:rPr>
        <w:t xml:space="preserve">            主城区                                        </w:t>
      </w:r>
    </w:p>
    <w:p>
      <w:pPr>
        <w:spacing w:line="480" w:lineRule="auto"/>
        <w:rPr>
          <w:rFonts w:ascii="宋体" w:hAnsi="宋体"/>
          <w:sz w:val="32"/>
          <w:szCs w:val="32"/>
          <w:u w:val="single"/>
        </w:rPr>
      </w:pPr>
      <w:r>
        <w:rPr>
          <w:rFonts w:hint="eastAsia" w:ascii="宋体" w:hAnsi="宋体"/>
          <w:sz w:val="32"/>
          <w:szCs w:val="32"/>
        </w:rPr>
        <w:t>签 订 日 期：</w:t>
      </w:r>
      <w:r>
        <w:rPr>
          <w:rFonts w:hint="eastAsia" w:ascii="宋体" w:hAnsi="宋体"/>
          <w:sz w:val="32"/>
          <w:szCs w:val="32"/>
          <w:u w:val="single"/>
          <w:lang w:val="en-US" w:eastAsia="zh-CN"/>
        </w:rPr>
        <w:t xml:space="preserve">          </w:t>
      </w:r>
      <w:r>
        <w:rPr>
          <w:rFonts w:hint="eastAsia" w:ascii="宋体" w:hAnsi="宋体"/>
          <w:sz w:val="32"/>
          <w:szCs w:val="32"/>
          <w:u w:val="single"/>
        </w:rPr>
        <w:t>202</w:t>
      </w:r>
      <w:r>
        <w:rPr>
          <w:rFonts w:hint="eastAsia" w:ascii="宋体" w:hAnsi="宋体"/>
          <w:sz w:val="32"/>
          <w:szCs w:val="32"/>
          <w:u w:val="single"/>
          <w:lang w:val="en-US" w:eastAsia="zh-CN"/>
        </w:rPr>
        <w:t>3</w:t>
      </w:r>
      <w:r>
        <w:rPr>
          <w:rFonts w:hint="eastAsia" w:ascii="宋体" w:hAnsi="宋体"/>
          <w:sz w:val="32"/>
          <w:szCs w:val="32"/>
          <w:u w:val="single"/>
        </w:rPr>
        <w:t xml:space="preserve">年   月   日                       </w:t>
      </w:r>
    </w:p>
    <w:p>
      <w:pPr>
        <w:rPr>
          <w:b/>
          <w:sz w:val="32"/>
        </w:rPr>
      </w:pPr>
    </w:p>
    <w:p>
      <w:pPr>
        <w:spacing w:line="360" w:lineRule="auto"/>
        <w:rPr>
          <w:b/>
          <w:bCs/>
          <w:sz w:val="32"/>
        </w:rPr>
      </w:pPr>
    </w:p>
    <w:p>
      <w:pPr>
        <w:spacing w:line="360" w:lineRule="auto"/>
        <w:jc w:val="center"/>
        <w:rPr>
          <w:sz w:val="52"/>
        </w:rPr>
      </w:pPr>
    </w:p>
    <w:p>
      <w:pPr>
        <w:spacing w:line="360" w:lineRule="auto"/>
        <w:ind w:firstLine="703" w:firstLineChars="250"/>
        <w:rPr>
          <w:b/>
          <w:sz w:val="28"/>
        </w:rPr>
        <w:sectPr>
          <w:headerReference r:id="rId3" w:type="default"/>
          <w:footerReference r:id="rId4" w:type="default"/>
          <w:pgSz w:w="11906" w:h="16838"/>
          <w:pgMar w:top="1701" w:right="1418" w:bottom="1701" w:left="1418" w:header="851" w:footer="992" w:gutter="0"/>
          <w:cols w:space="720" w:num="1"/>
          <w:docGrid w:linePitch="312" w:charSpace="0"/>
        </w:sectPr>
      </w:pPr>
    </w:p>
    <w:p>
      <w:pPr>
        <w:spacing w:line="560" w:lineRule="exact"/>
        <w:ind w:firstLine="551" w:firstLineChars="196"/>
        <w:rPr>
          <w:b/>
          <w:sz w:val="28"/>
          <w:u w:val="single"/>
        </w:rPr>
      </w:pPr>
      <w:r>
        <w:rPr>
          <w:rFonts w:hint="eastAsia"/>
          <w:b/>
          <w:sz w:val="28"/>
        </w:rPr>
        <w:t>甲方：</w:t>
      </w:r>
      <w:r>
        <w:rPr>
          <w:rFonts w:hint="eastAsia" w:ascii="宋体" w:hAnsi="宋体"/>
          <w:sz w:val="32"/>
          <w:szCs w:val="32"/>
          <w:u w:val="single"/>
        </w:rPr>
        <w:t xml:space="preserve">重庆城市综合交通枢纽（集团）有限公司  </w:t>
      </w:r>
    </w:p>
    <w:p>
      <w:pPr>
        <w:spacing w:line="560" w:lineRule="exact"/>
        <w:ind w:firstLine="562" w:firstLineChars="200"/>
        <w:rPr>
          <w:b/>
          <w:sz w:val="28"/>
        </w:rPr>
      </w:pPr>
      <w:r>
        <w:rPr>
          <w:rFonts w:hint="eastAsia"/>
          <w:b/>
          <w:sz w:val="28"/>
        </w:rPr>
        <w:t>乙方：</w:t>
      </w:r>
    </w:p>
    <w:p>
      <w:pPr>
        <w:spacing w:line="560" w:lineRule="exact"/>
        <w:ind w:firstLine="627" w:firstLineChars="196"/>
        <w:rPr>
          <w:b/>
          <w:bCs/>
          <w:sz w:val="32"/>
          <w:szCs w:val="32"/>
        </w:rPr>
      </w:pPr>
      <w:r>
        <w:rPr>
          <w:rFonts w:hint="eastAsia"/>
          <w:sz w:val="32"/>
          <w:szCs w:val="32"/>
        </w:rPr>
        <w:t>甲方委托乙方</w:t>
      </w:r>
      <w:r>
        <w:rPr>
          <w:rFonts w:hint="eastAsia"/>
          <w:sz w:val="32"/>
          <w:szCs w:val="32"/>
          <w:lang w:val="en-US" w:eastAsia="zh-CN"/>
        </w:rPr>
        <w:t>九曲河</w:t>
      </w:r>
      <w:r>
        <w:rPr>
          <w:rFonts w:hint="eastAsia" w:ascii="宋体" w:hAnsi="宋体"/>
          <w:sz w:val="32"/>
          <w:szCs w:val="32"/>
        </w:rPr>
        <w:t>公交站场项目的</w:t>
      </w:r>
      <w:r>
        <w:rPr>
          <w:rFonts w:hint="eastAsia" w:ascii="宋体" w:hAnsi="宋体" w:cs="Times New Roman"/>
          <w:sz w:val="32"/>
          <w:szCs w:val="32"/>
        </w:rPr>
        <w:t>污染土</w:t>
      </w:r>
      <w:r>
        <w:rPr>
          <w:rFonts w:hint="eastAsia" w:ascii="宋体" w:hAnsi="宋体"/>
          <w:sz w:val="32"/>
          <w:szCs w:val="32"/>
        </w:rPr>
        <w:t>壤</w:t>
      </w:r>
      <w:r>
        <w:rPr>
          <w:rFonts w:hint="eastAsia" w:ascii="宋体" w:hAnsi="宋体"/>
          <w:sz w:val="32"/>
          <w:szCs w:val="32"/>
          <w:lang w:val="en-US" w:eastAsia="zh-CN"/>
        </w:rPr>
        <w:t>修复治理效果评估</w:t>
      </w:r>
      <w:r>
        <w:rPr>
          <w:rFonts w:hint="eastAsia" w:ascii="宋体" w:hAnsi="宋体"/>
          <w:sz w:val="32"/>
          <w:szCs w:val="32"/>
        </w:rPr>
        <w:t>工作</w:t>
      </w:r>
      <w:r>
        <w:rPr>
          <w:rFonts w:hint="eastAsia"/>
          <w:sz w:val="32"/>
          <w:szCs w:val="32"/>
        </w:rPr>
        <w:t>。根据国家</w:t>
      </w:r>
      <w:r>
        <w:rPr>
          <w:sz w:val="32"/>
          <w:szCs w:val="32"/>
        </w:rPr>
        <w:t>《中华人民共和国</w:t>
      </w:r>
      <w:r>
        <w:rPr>
          <w:rFonts w:hint="eastAsia"/>
          <w:sz w:val="32"/>
          <w:szCs w:val="32"/>
        </w:rPr>
        <w:t>民法典</w:t>
      </w:r>
      <w:r>
        <w:rPr>
          <w:sz w:val="32"/>
          <w:szCs w:val="32"/>
        </w:rPr>
        <w:t>》</w:t>
      </w:r>
      <w:r>
        <w:rPr>
          <w:rFonts w:hint="eastAsia"/>
          <w:sz w:val="32"/>
          <w:szCs w:val="32"/>
        </w:rPr>
        <w:t>的有关精神规定，经双方协商一致，签订本合同，以共同执行。</w:t>
      </w:r>
    </w:p>
    <w:p>
      <w:pPr>
        <w:spacing w:line="560" w:lineRule="exact"/>
        <w:rPr>
          <w:b/>
          <w:bCs/>
          <w:sz w:val="32"/>
          <w:szCs w:val="32"/>
        </w:rPr>
      </w:pPr>
      <w:r>
        <w:rPr>
          <w:rFonts w:hint="eastAsia"/>
          <w:b/>
          <w:bCs/>
          <w:sz w:val="32"/>
          <w:szCs w:val="32"/>
        </w:rPr>
        <w:t>第一条：服务内容及要求</w:t>
      </w:r>
    </w:p>
    <w:p>
      <w:pPr>
        <w:spacing w:line="560" w:lineRule="exact"/>
        <w:rPr>
          <w:rFonts w:hint="eastAsia" w:ascii="宋体" w:hAnsi="宋体" w:eastAsia="宋体"/>
          <w:sz w:val="32"/>
          <w:szCs w:val="32"/>
          <w:lang w:eastAsia="zh-CN"/>
        </w:rPr>
      </w:pPr>
      <w:r>
        <w:rPr>
          <w:rFonts w:hint="eastAsia" w:ascii="宋体" w:hAnsi="宋体"/>
          <w:sz w:val="32"/>
          <w:szCs w:val="32"/>
        </w:rPr>
        <w:t xml:space="preserve">   1、服务内容：乙方根据相关法律、法规的规定，按照重庆市生态环境局的技术规范要求，对</w:t>
      </w:r>
      <w:r>
        <w:rPr>
          <w:rFonts w:hint="eastAsia" w:ascii="宋体" w:hAnsi="宋体"/>
          <w:sz w:val="32"/>
          <w:szCs w:val="32"/>
          <w:lang w:val="en-US" w:eastAsia="zh-CN"/>
        </w:rPr>
        <w:t>九曲河公交站场</w:t>
      </w:r>
      <w:r>
        <w:rPr>
          <w:rFonts w:hint="eastAsia" w:ascii="宋体" w:hAnsi="宋体"/>
          <w:sz w:val="32"/>
          <w:szCs w:val="32"/>
        </w:rPr>
        <w:t>项</w:t>
      </w:r>
      <w:r>
        <w:rPr>
          <w:rFonts w:hint="eastAsia" w:ascii="宋体" w:hAnsi="宋体" w:cs="宋体"/>
          <w:sz w:val="32"/>
          <w:szCs w:val="32"/>
        </w:rPr>
        <w:t>目</w:t>
      </w:r>
      <w:r>
        <w:rPr>
          <w:rFonts w:hint="eastAsia" w:ascii="宋体" w:hAnsi="宋体"/>
          <w:sz w:val="32"/>
          <w:szCs w:val="32"/>
          <w:u w:val="single"/>
        </w:rPr>
        <w:t>F06-6-1/06地块</w:t>
      </w:r>
      <w:r>
        <w:rPr>
          <w:rFonts w:hint="eastAsia" w:ascii="宋体" w:hAnsi="宋体" w:cs="宋体"/>
          <w:sz w:val="32"/>
          <w:szCs w:val="32"/>
        </w:rPr>
        <w:t>（</w:t>
      </w:r>
      <w:r>
        <w:rPr>
          <w:rFonts w:hint="eastAsia" w:ascii="宋体" w:hAnsi="宋体" w:cs="Times New Roman"/>
          <w:sz w:val="32"/>
          <w:szCs w:val="32"/>
        </w:rPr>
        <w:t>约83.8亩</w:t>
      </w:r>
      <w:r>
        <w:rPr>
          <w:rFonts w:hint="eastAsia" w:ascii="宋体" w:hAnsi="宋体" w:cs="宋体"/>
          <w:sz w:val="32"/>
          <w:szCs w:val="32"/>
        </w:rPr>
        <w:t>）地块，（以甲方提供用地红线</w:t>
      </w:r>
      <w:r>
        <w:rPr>
          <w:rFonts w:hint="eastAsia" w:ascii="宋体" w:hAnsi="宋体"/>
          <w:sz w:val="32"/>
          <w:szCs w:val="32"/>
        </w:rPr>
        <w:t>为准），编制场地</w:t>
      </w:r>
      <w:r>
        <w:rPr>
          <w:rFonts w:hint="eastAsia" w:ascii="宋体" w:hAnsi="宋体"/>
          <w:sz w:val="32"/>
          <w:szCs w:val="32"/>
          <w:lang w:val="en-US" w:eastAsia="zh-CN"/>
        </w:rPr>
        <w:t>污染</w:t>
      </w:r>
      <w:r>
        <w:rPr>
          <w:rFonts w:hint="eastAsia" w:ascii="宋体" w:hAnsi="宋体"/>
          <w:sz w:val="32"/>
          <w:szCs w:val="32"/>
        </w:rPr>
        <w:t>土壤治理修复</w:t>
      </w:r>
      <w:r>
        <w:rPr>
          <w:rFonts w:hint="eastAsia" w:ascii="宋体" w:hAnsi="宋体"/>
          <w:sz w:val="32"/>
          <w:szCs w:val="32"/>
          <w:lang w:val="en-US" w:eastAsia="zh-CN"/>
        </w:rPr>
        <w:t>治理</w:t>
      </w:r>
      <w:r>
        <w:rPr>
          <w:rFonts w:hint="eastAsia" w:ascii="宋体" w:hAnsi="宋体"/>
          <w:sz w:val="32"/>
          <w:szCs w:val="32"/>
        </w:rPr>
        <w:t>效果评估工作报告（备注：</w:t>
      </w:r>
      <w:r>
        <w:rPr>
          <w:rFonts w:hint="eastAsia" w:ascii="宋体" w:hAnsi="宋体"/>
          <w:sz w:val="32"/>
          <w:szCs w:val="32"/>
          <w:lang w:val="en-US" w:eastAsia="zh-CN"/>
        </w:rPr>
        <w:t>由于该项目地块涉及用地红线范围优化调整，</w:t>
      </w:r>
      <w:r>
        <w:rPr>
          <w:rFonts w:hint="eastAsia" w:ascii="宋体" w:hAnsi="宋体"/>
          <w:sz w:val="32"/>
          <w:szCs w:val="32"/>
        </w:rPr>
        <w:t>本次服务内容为</w:t>
      </w:r>
      <w:r>
        <w:rPr>
          <w:rFonts w:hint="eastAsia" w:ascii="宋体" w:hAnsi="宋体" w:cs="Times New Roman"/>
          <w:sz w:val="32"/>
          <w:szCs w:val="32"/>
          <w:lang w:val="en-US" w:eastAsia="zh-CN"/>
        </w:rPr>
        <w:t>综合地块控规维护前后范围</w:t>
      </w:r>
      <w:r>
        <w:rPr>
          <w:rFonts w:hint="eastAsia" w:ascii="宋体" w:hAnsi="宋体"/>
          <w:sz w:val="32"/>
          <w:szCs w:val="32"/>
          <w:lang w:val="en-US" w:eastAsia="zh-CN"/>
        </w:rPr>
        <w:t>污染</w:t>
      </w:r>
      <w:r>
        <w:rPr>
          <w:rFonts w:hint="eastAsia" w:ascii="宋体" w:hAnsi="宋体"/>
          <w:sz w:val="32"/>
          <w:szCs w:val="32"/>
        </w:rPr>
        <w:t>土壤治理修复效果评估工作</w:t>
      </w:r>
      <w:r>
        <w:rPr>
          <w:rFonts w:hint="eastAsia" w:ascii="宋体" w:hAnsi="宋体"/>
          <w:sz w:val="32"/>
          <w:szCs w:val="32"/>
          <w:lang w:eastAsia="zh-CN"/>
        </w:rPr>
        <w:t>，</w:t>
      </w:r>
      <w:r>
        <w:rPr>
          <w:rFonts w:hint="eastAsia" w:ascii="宋体" w:hAnsi="宋体" w:cs="Times New Roman"/>
          <w:sz w:val="32"/>
          <w:szCs w:val="32"/>
          <w:lang w:val="en-US" w:eastAsia="zh-CN"/>
        </w:rPr>
        <w:t>控规维护后变化范围约18亩</w:t>
      </w:r>
      <w:r>
        <w:rPr>
          <w:rFonts w:hint="eastAsia" w:ascii="宋体" w:hAnsi="宋体"/>
          <w:sz w:val="32"/>
          <w:szCs w:val="32"/>
        </w:rPr>
        <w:t>）</w:t>
      </w:r>
      <w:r>
        <w:rPr>
          <w:rFonts w:hint="eastAsia" w:ascii="宋体" w:hAnsi="宋体"/>
          <w:sz w:val="32"/>
          <w:szCs w:val="32"/>
          <w:lang w:eastAsia="zh-CN"/>
        </w:rPr>
        <w:t>。</w:t>
      </w:r>
    </w:p>
    <w:p>
      <w:pPr>
        <w:spacing w:line="560" w:lineRule="exact"/>
        <w:ind w:firstLine="570"/>
        <w:rPr>
          <w:rFonts w:ascii="宋体" w:hAnsi="宋体"/>
          <w:sz w:val="32"/>
          <w:szCs w:val="32"/>
        </w:rPr>
      </w:pPr>
      <w:r>
        <w:rPr>
          <w:rFonts w:hint="eastAsia" w:ascii="宋体" w:hAnsi="宋体"/>
          <w:sz w:val="32"/>
          <w:szCs w:val="32"/>
        </w:rPr>
        <w:t>2、服务要求：乙方</w:t>
      </w:r>
      <w:r>
        <w:rPr>
          <w:rFonts w:hint="eastAsia" w:ascii="宋体" w:hAnsi="宋体"/>
          <w:sz w:val="32"/>
          <w:szCs w:val="32"/>
          <w:lang w:val="en-US" w:eastAsia="zh-CN"/>
        </w:rPr>
        <w:t>综合</w:t>
      </w:r>
      <w:r>
        <w:rPr>
          <w:rFonts w:hint="eastAsia" w:ascii="宋体" w:hAnsi="宋体"/>
          <w:sz w:val="32"/>
          <w:szCs w:val="32"/>
        </w:rPr>
        <w:t>对该项目场地</w:t>
      </w:r>
      <w:r>
        <w:rPr>
          <w:rFonts w:hint="eastAsia" w:ascii="宋体" w:hAnsi="宋体" w:cs="Times New Roman"/>
          <w:sz w:val="32"/>
          <w:szCs w:val="32"/>
          <w:lang w:val="en-US" w:eastAsia="zh-CN"/>
        </w:rPr>
        <w:t>控规维护前后范围</w:t>
      </w:r>
      <w:r>
        <w:rPr>
          <w:rFonts w:hint="eastAsia" w:ascii="宋体" w:hAnsi="宋体"/>
          <w:sz w:val="32"/>
          <w:szCs w:val="32"/>
        </w:rPr>
        <w:t>土壤污染</w:t>
      </w:r>
      <w:r>
        <w:rPr>
          <w:rFonts w:hint="eastAsia" w:ascii="宋体" w:hAnsi="宋体"/>
          <w:sz w:val="32"/>
          <w:szCs w:val="32"/>
          <w:lang w:val="en-US" w:eastAsia="zh-CN"/>
        </w:rPr>
        <w:t>修复治理</w:t>
      </w:r>
      <w:r>
        <w:rPr>
          <w:rFonts w:hint="eastAsia" w:ascii="宋体" w:hAnsi="宋体"/>
          <w:sz w:val="32"/>
          <w:szCs w:val="32"/>
        </w:rPr>
        <w:t>效果评估工作的内容和质量负责，乙方编制的场地土壤污染</w:t>
      </w:r>
      <w:r>
        <w:rPr>
          <w:rFonts w:hint="eastAsia" w:ascii="宋体" w:hAnsi="宋体"/>
          <w:sz w:val="32"/>
          <w:szCs w:val="32"/>
          <w:lang w:val="en-US" w:eastAsia="zh-CN"/>
        </w:rPr>
        <w:t>修复</w:t>
      </w:r>
      <w:r>
        <w:rPr>
          <w:rFonts w:hint="eastAsia" w:ascii="宋体" w:hAnsi="宋体"/>
          <w:sz w:val="32"/>
          <w:szCs w:val="32"/>
        </w:rPr>
        <w:t>效果评估报告须通过环境主管部门</w:t>
      </w:r>
      <w:r>
        <w:rPr>
          <w:rFonts w:hint="eastAsia" w:ascii="宋体" w:hAnsi="宋体"/>
          <w:sz w:val="32"/>
          <w:szCs w:val="32"/>
          <w:lang w:val="en-US" w:eastAsia="zh-CN"/>
        </w:rPr>
        <w:t>认可，并</w:t>
      </w:r>
      <w:r>
        <w:rPr>
          <w:rFonts w:hint="eastAsia" w:ascii="宋体" w:hAnsi="宋体"/>
          <w:sz w:val="32"/>
          <w:szCs w:val="32"/>
        </w:rPr>
        <w:t>取得相关主管部门的通过意见</w:t>
      </w:r>
      <w:r>
        <w:rPr>
          <w:rFonts w:hint="eastAsia" w:ascii="宋体" w:hAnsi="宋体"/>
          <w:sz w:val="32"/>
          <w:szCs w:val="32"/>
          <w:lang w:eastAsia="zh-CN"/>
        </w:rPr>
        <w:t>，</w:t>
      </w:r>
      <w:r>
        <w:rPr>
          <w:rFonts w:hint="eastAsia" w:ascii="宋体" w:hAnsi="宋体"/>
          <w:sz w:val="32"/>
          <w:szCs w:val="32"/>
          <w:lang w:val="en-US" w:eastAsia="zh-CN"/>
        </w:rPr>
        <w:t>确保该项目土地划拨手续不受土壤污染原因而无法办理</w:t>
      </w:r>
      <w:r>
        <w:rPr>
          <w:rFonts w:hint="eastAsia" w:ascii="宋体" w:hAnsi="宋体"/>
          <w:sz w:val="32"/>
          <w:szCs w:val="32"/>
        </w:rPr>
        <w:t>。</w:t>
      </w:r>
    </w:p>
    <w:p>
      <w:pPr>
        <w:spacing w:line="560" w:lineRule="exact"/>
        <w:rPr>
          <w:rFonts w:ascii="宋体" w:hAnsi="宋体"/>
          <w:b/>
          <w:bCs/>
          <w:sz w:val="32"/>
          <w:szCs w:val="32"/>
        </w:rPr>
      </w:pPr>
      <w:r>
        <w:rPr>
          <w:rFonts w:hint="eastAsia" w:ascii="宋体" w:hAnsi="宋体"/>
          <w:b/>
          <w:bCs/>
          <w:sz w:val="32"/>
          <w:szCs w:val="32"/>
        </w:rPr>
        <w:t>第二条：技术服务收费及支付方式</w:t>
      </w:r>
    </w:p>
    <w:p>
      <w:pPr>
        <w:spacing w:line="560" w:lineRule="exact"/>
        <w:ind w:firstLine="560"/>
        <w:rPr>
          <w:rFonts w:ascii="宋体" w:hAnsi="宋体"/>
          <w:sz w:val="32"/>
          <w:szCs w:val="32"/>
        </w:rPr>
      </w:pPr>
      <w:r>
        <w:rPr>
          <w:rFonts w:hint="eastAsia" w:ascii="宋体" w:hAnsi="宋体"/>
          <w:sz w:val="32"/>
          <w:szCs w:val="32"/>
        </w:rPr>
        <w:t>1、支付费用</w:t>
      </w:r>
    </w:p>
    <w:p>
      <w:pPr>
        <w:pStyle w:val="5"/>
        <w:ind w:firstLine="640" w:firstLineChars="200"/>
        <w:rPr>
          <w:rFonts w:ascii="宋体" w:hAnsi="宋体"/>
          <w:sz w:val="32"/>
          <w:szCs w:val="32"/>
        </w:rPr>
      </w:pPr>
      <w:r>
        <w:rPr>
          <w:rFonts w:hint="eastAsia" w:ascii="宋体" w:hAnsi="宋体" w:cs="宋体"/>
          <w:sz w:val="32"/>
          <w:szCs w:val="32"/>
        </w:rPr>
        <w:t>本项目土壤污染</w:t>
      </w:r>
      <w:r>
        <w:rPr>
          <w:rFonts w:hint="eastAsia" w:ascii="宋体" w:hAnsi="宋体" w:cs="宋体"/>
          <w:sz w:val="32"/>
          <w:szCs w:val="32"/>
          <w:lang w:val="en-US" w:eastAsia="zh-CN"/>
        </w:rPr>
        <w:t>修复治理</w:t>
      </w:r>
      <w:r>
        <w:rPr>
          <w:rFonts w:hint="eastAsia" w:ascii="宋体" w:hAnsi="宋体" w:cs="宋体"/>
          <w:sz w:val="32"/>
          <w:szCs w:val="32"/>
        </w:rPr>
        <w:t>采用</w:t>
      </w:r>
      <w:r>
        <w:rPr>
          <w:rFonts w:hint="eastAsia" w:ascii="宋体" w:hAnsi="宋体" w:cs="宋体"/>
          <w:sz w:val="32"/>
          <w:szCs w:val="32"/>
          <w:lang w:val="en-US" w:eastAsia="zh-CN"/>
        </w:rPr>
        <w:t>总价包干</w:t>
      </w:r>
      <w:r>
        <w:rPr>
          <w:rFonts w:hint="eastAsia" w:ascii="宋体" w:hAnsi="宋体" w:cs="宋体"/>
          <w:sz w:val="32"/>
          <w:szCs w:val="32"/>
        </w:rPr>
        <w:t>，合同价格为</w:t>
      </w:r>
      <w:r>
        <w:rPr>
          <w:rFonts w:hint="eastAsia" w:ascii="宋体" w:hAnsi="宋体" w:cs="宋体"/>
          <w:sz w:val="32"/>
          <w:szCs w:val="32"/>
          <w:lang w:val="en-US" w:eastAsia="zh-CN"/>
        </w:rPr>
        <w:t>xxx</w:t>
      </w:r>
      <w:r>
        <w:rPr>
          <w:rFonts w:hint="eastAsia" w:ascii="宋体" w:hAnsi="宋体" w:cs="宋体"/>
          <w:sz w:val="32"/>
          <w:szCs w:val="32"/>
        </w:rPr>
        <w:t>元。</w:t>
      </w:r>
      <w:r>
        <w:rPr>
          <w:rFonts w:hint="eastAsia" w:ascii="宋体" w:hAnsi="宋体"/>
          <w:sz w:val="32"/>
          <w:szCs w:val="32"/>
        </w:rPr>
        <w:t>（大写：</w:t>
      </w:r>
      <w:r>
        <w:rPr>
          <w:rFonts w:hint="eastAsia" w:ascii="宋体" w:hAnsi="宋体"/>
          <w:sz w:val="32"/>
          <w:szCs w:val="32"/>
          <w:lang w:val="en-US" w:eastAsia="zh-CN"/>
        </w:rPr>
        <w:t>xxxx</w:t>
      </w:r>
      <w:r>
        <w:rPr>
          <w:rFonts w:hint="eastAsia" w:ascii="宋体" w:hAnsi="宋体"/>
          <w:sz w:val="32"/>
          <w:szCs w:val="32"/>
        </w:rPr>
        <w:t>），不因任何因素变化调整。（效果评估费用包含</w:t>
      </w:r>
      <w:r>
        <w:rPr>
          <w:rFonts w:hint="eastAsia" w:ascii="宋体" w:hAnsi="宋体" w:eastAsia="宋体" w:cs="宋体"/>
          <w:sz w:val="32"/>
          <w:szCs w:val="32"/>
        </w:rPr>
        <w:t>但不限于人工费、材料费、机械费、企业管理费、利润、风险费用、检测费、措施费（含安全文明施工费）、赶工补偿费、规费、税金以及本工程备案与验收、其他风险等相关手续的所有费用</w:t>
      </w:r>
      <w:r>
        <w:rPr>
          <w:rFonts w:hint="eastAsia" w:ascii="宋体" w:hAnsi="宋体" w:cs="宋体"/>
          <w:sz w:val="32"/>
          <w:szCs w:val="32"/>
        </w:rPr>
        <w:t>，除此以外，甲方不再另</w:t>
      </w:r>
      <w:r>
        <w:rPr>
          <w:rFonts w:hint="eastAsia" w:ascii="宋体" w:hAnsi="宋体"/>
          <w:sz w:val="32"/>
          <w:szCs w:val="32"/>
        </w:rPr>
        <w:t>行支付其他任何费用）</w:t>
      </w:r>
    </w:p>
    <w:p>
      <w:pPr>
        <w:numPr>
          <w:ilvl w:val="0"/>
          <w:numId w:val="2"/>
        </w:numPr>
        <w:spacing w:line="440" w:lineRule="exact"/>
        <w:ind w:firstLine="560"/>
        <w:rPr>
          <w:rFonts w:hint="eastAsia" w:ascii="宋体" w:hAnsi="宋体"/>
          <w:sz w:val="32"/>
          <w:szCs w:val="32"/>
        </w:rPr>
      </w:pPr>
      <w:r>
        <w:rPr>
          <w:rFonts w:hint="eastAsia" w:ascii="宋体" w:hAnsi="宋体"/>
          <w:sz w:val="32"/>
          <w:szCs w:val="32"/>
        </w:rPr>
        <w:t>支付方式</w:t>
      </w:r>
    </w:p>
    <w:p>
      <w:pPr>
        <w:keepNext w:val="0"/>
        <w:keepLines w:val="0"/>
        <w:pageBreakBefore w:val="0"/>
        <w:widowControl w:val="0"/>
        <w:kinsoku/>
        <w:wordWrap/>
        <w:overflowPunct/>
        <w:autoSpaceDN/>
        <w:bidi w:val="0"/>
        <w:adjustRightInd/>
        <w:snapToGrid/>
        <w:spacing w:line="480" w:lineRule="exact"/>
        <w:ind w:firstLine="640" w:firstLineChars="200"/>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取得相关主管部门的完成修复治理审查意见并出具满足甲方要求的增值税专用发票（含税费）后，甲方在15个工作日内向乙方一次性支付全部合同金额。</w:t>
      </w:r>
    </w:p>
    <w:p>
      <w:pPr>
        <w:spacing w:line="560" w:lineRule="exact"/>
        <w:ind w:firstLine="640" w:firstLineChars="200"/>
        <w:rPr>
          <w:rFonts w:ascii="宋体" w:hAnsi="宋体"/>
          <w:sz w:val="32"/>
          <w:szCs w:val="32"/>
        </w:rPr>
      </w:pPr>
      <w:r>
        <w:rPr>
          <w:rFonts w:ascii="宋体" w:hAnsi="宋体"/>
          <w:sz w:val="32"/>
          <w:szCs w:val="32"/>
        </w:rPr>
        <w:t>附甲方增值税发票开票信息：</w:t>
      </w:r>
    </w:p>
    <w:p>
      <w:pPr>
        <w:spacing w:line="560" w:lineRule="exact"/>
        <w:rPr>
          <w:rFonts w:ascii="宋体" w:hAnsi="宋体"/>
          <w:sz w:val="32"/>
          <w:szCs w:val="32"/>
        </w:rPr>
      </w:pPr>
      <w:r>
        <w:rPr>
          <w:rFonts w:hint="eastAsia" w:ascii="宋体" w:hAnsi="宋体"/>
          <w:sz w:val="32"/>
          <w:szCs w:val="32"/>
        </w:rPr>
        <w:t>名称：重庆城市综合交通枢纽（集团）有限公司</w:t>
      </w:r>
    </w:p>
    <w:p>
      <w:pPr>
        <w:spacing w:line="560" w:lineRule="exact"/>
        <w:rPr>
          <w:rFonts w:ascii="宋体" w:hAnsi="宋体"/>
          <w:sz w:val="32"/>
          <w:szCs w:val="32"/>
        </w:rPr>
      </w:pPr>
      <w:r>
        <w:rPr>
          <w:rFonts w:hint="eastAsia" w:ascii="宋体" w:hAnsi="宋体"/>
          <w:sz w:val="32"/>
          <w:szCs w:val="32"/>
        </w:rPr>
        <w:t>纳税人识别号：915000002030278529</w:t>
      </w:r>
    </w:p>
    <w:p>
      <w:pPr>
        <w:spacing w:line="560" w:lineRule="exact"/>
        <w:rPr>
          <w:rFonts w:ascii="宋体" w:hAnsi="宋体"/>
          <w:sz w:val="32"/>
          <w:szCs w:val="32"/>
        </w:rPr>
      </w:pPr>
      <w:r>
        <w:rPr>
          <w:rFonts w:hint="eastAsia" w:ascii="宋体" w:hAnsi="宋体"/>
          <w:sz w:val="32"/>
          <w:szCs w:val="32"/>
        </w:rPr>
        <w:t>地址：重庆市渝中区健康路花园大厦B栋6楼</w:t>
      </w:r>
    </w:p>
    <w:p>
      <w:pPr>
        <w:spacing w:line="560" w:lineRule="exact"/>
        <w:rPr>
          <w:rFonts w:ascii="宋体" w:hAnsi="宋体"/>
          <w:sz w:val="32"/>
          <w:szCs w:val="32"/>
        </w:rPr>
      </w:pPr>
      <w:r>
        <w:rPr>
          <w:rFonts w:hint="eastAsia" w:ascii="宋体" w:hAnsi="宋体"/>
          <w:sz w:val="32"/>
          <w:szCs w:val="32"/>
        </w:rPr>
        <w:t>电话：023-88602686</w:t>
      </w:r>
    </w:p>
    <w:p>
      <w:pPr>
        <w:spacing w:line="560" w:lineRule="exact"/>
        <w:rPr>
          <w:rFonts w:ascii="宋体" w:hAnsi="宋体"/>
          <w:sz w:val="32"/>
          <w:szCs w:val="32"/>
        </w:rPr>
      </w:pPr>
      <w:r>
        <w:rPr>
          <w:rFonts w:hint="eastAsia" w:ascii="宋体" w:hAnsi="宋体"/>
          <w:sz w:val="32"/>
          <w:szCs w:val="32"/>
        </w:rPr>
        <w:t>开户行及账号：浦发银行解放碑支行83150154900000062</w:t>
      </w:r>
    </w:p>
    <w:p>
      <w:pPr>
        <w:spacing w:line="560" w:lineRule="exact"/>
        <w:rPr>
          <w:rFonts w:ascii="宋体" w:hAnsi="宋体"/>
          <w:b/>
          <w:bCs/>
          <w:sz w:val="32"/>
          <w:szCs w:val="32"/>
        </w:rPr>
      </w:pPr>
      <w:r>
        <w:rPr>
          <w:rFonts w:hint="eastAsia" w:ascii="宋体" w:hAnsi="宋体"/>
          <w:b/>
          <w:bCs/>
          <w:sz w:val="32"/>
          <w:szCs w:val="32"/>
        </w:rPr>
        <w:t>第三条：技术报告的交付</w:t>
      </w:r>
    </w:p>
    <w:p>
      <w:pPr>
        <w:numPr>
          <w:ilvl w:val="0"/>
          <w:numId w:val="3"/>
        </w:numPr>
        <w:spacing w:line="540" w:lineRule="exact"/>
        <w:ind w:firstLine="560"/>
        <w:rPr>
          <w:rFonts w:ascii="宋体" w:hAnsi="宋体"/>
          <w:bCs/>
          <w:color w:val="000000" w:themeColor="text1"/>
          <w:sz w:val="32"/>
          <w:szCs w:val="32"/>
          <w14:textFill>
            <w14:solidFill>
              <w14:schemeClr w14:val="tx1"/>
            </w14:solidFill>
          </w14:textFill>
        </w:rPr>
      </w:pPr>
      <w:r>
        <w:rPr>
          <w:rFonts w:hint="eastAsia" w:ascii="宋体" w:hAnsi="宋体"/>
          <w:bCs/>
          <w:color w:val="000000" w:themeColor="text1"/>
          <w:sz w:val="32"/>
          <w:szCs w:val="32"/>
          <w14:textFill>
            <w14:solidFill>
              <w14:schemeClr w14:val="tx1"/>
            </w14:solidFill>
          </w14:textFill>
        </w:rPr>
        <w:t>合同生效</w:t>
      </w:r>
      <w:r>
        <w:rPr>
          <w:rFonts w:hint="eastAsia" w:ascii="宋体" w:hAnsi="宋体"/>
          <w:bCs/>
          <w:color w:val="000000" w:themeColor="text1"/>
          <w:sz w:val="32"/>
          <w:szCs w:val="32"/>
          <w:lang w:val="en-US" w:eastAsia="zh-CN"/>
          <w14:textFill>
            <w14:solidFill>
              <w14:schemeClr w14:val="tx1"/>
            </w14:solidFill>
          </w14:textFill>
        </w:rPr>
        <w:t>后，在</w:t>
      </w:r>
      <w:r>
        <w:rPr>
          <w:rFonts w:hint="eastAsia" w:ascii="宋体" w:hAnsi="宋体"/>
          <w:bCs/>
          <w:color w:val="000000" w:themeColor="text1"/>
          <w:sz w:val="32"/>
          <w:szCs w:val="32"/>
          <w14:textFill>
            <w14:solidFill>
              <w14:schemeClr w14:val="tx1"/>
            </w14:solidFill>
          </w14:textFill>
        </w:rPr>
        <w:t>甲方提供齐全资料且场地具备</w:t>
      </w:r>
      <w:r>
        <w:rPr>
          <w:rFonts w:hint="eastAsia" w:ascii="宋体" w:hAnsi="宋体"/>
          <w:bCs/>
          <w:color w:val="000000" w:themeColor="text1"/>
          <w:sz w:val="32"/>
          <w:szCs w:val="32"/>
          <w:lang w:val="en-US" w:eastAsia="zh-CN"/>
          <w14:textFill>
            <w14:solidFill>
              <w14:schemeClr w14:val="tx1"/>
            </w14:solidFill>
          </w14:textFill>
        </w:rPr>
        <w:t>进场</w:t>
      </w:r>
      <w:r>
        <w:rPr>
          <w:rFonts w:hint="eastAsia" w:ascii="宋体" w:hAnsi="宋体"/>
          <w:bCs/>
          <w:color w:val="000000" w:themeColor="text1"/>
          <w:sz w:val="32"/>
          <w:szCs w:val="32"/>
          <w14:textFill>
            <w14:solidFill>
              <w14:schemeClr w14:val="tx1"/>
            </w14:solidFill>
          </w14:textFill>
        </w:rPr>
        <w:t>条件后，乙方于</w:t>
      </w:r>
      <w:r>
        <w:rPr>
          <w:rFonts w:hint="eastAsia" w:ascii="宋体" w:hAnsi="宋体"/>
          <w:bCs/>
          <w:color w:val="000000" w:themeColor="text1"/>
          <w:sz w:val="32"/>
          <w:szCs w:val="32"/>
          <w:lang w:val="en-US" w:eastAsia="zh-CN"/>
          <w14:textFill>
            <w14:solidFill>
              <w14:schemeClr w14:val="tx1"/>
            </w14:solidFill>
          </w14:textFill>
        </w:rPr>
        <w:t>5</w:t>
      </w:r>
      <w:r>
        <w:rPr>
          <w:rFonts w:hint="eastAsia" w:ascii="宋体" w:hAnsi="宋体"/>
          <w:bCs/>
          <w:color w:val="000000" w:themeColor="text1"/>
          <w:sz w:val="32"/>
          <w:szCs w:val="32"/>
          <w14:textFill>
            <w14:solidFill>
              <w14:schemeClr w14:val="tx1"/>
            </w14:solidFill>
          </w14:textFill>
        </w:rPr>
        <w:t>0天内，完成</w:t>
      </w:r>
      <w:r>
        <w:rPr>
          <w:rFonts w:hint="eastAsia" w:ascii="宋体" w:hAnsi="宋体"/>
          <w:bCs/>
          <w:color w:val="000000" w:themeColor="text1"/>
          <w:sz w:val="32"/>
          <w:szCs w:val="32"/>
          <w:lang w:val="en-US" w:eastAsia="zh-CN"/>
          <w14:textFill>
            <w14:solidFill>
              <w14:schemeClr w14:val="tx1"/>
            </w14:solidFill>
          </w14:textFill>
        </w:rPr>
        <w:t>土壤污染修复</w:t>
      </w:r>
      <w:r>
        <w:rPr>
          <w:rFonts w:hint="eastAsia" w:ascii="宋体" w:hAnsi="宋体"/>
          <w:sz w:val="32"/>
          <w:szCs w:val="32"/>
        </w:rPr>
        <w:t>效果评估工作</w:t>
      </w:r>
      <w:r>
        <w:rPr>
          <w:rFonts w:hint="eastAsia" w:ascii="宋体" w:hAnsi="宋体"/>
          <w:bCs/>
          <w:color w:val="000000" w:themeColor="text1"/>
          <w:sz w:val="32"/>
          <w:szCs w:val="32"/>
          <w14:textFill>
            <w14:solidFill>
              <w14:schemeClr w14:val="tx1"/>
            </w14:solidFill>
          </w14:textFill>
        </w:rPr>
        <w:t>、编制完成送审报告给甲方;并于</w:t>
      </w:r>
      <w:r>
        <w:rPr>
          <w:rFonts w:hint="eastAsia" w:ascii="宋体" w:hAnsi="宋体"/>
          <w:bCs/>
          <w:color w:val="000000" w:themeColor="text1"/>
          <w:sz w:val="32"/>
          <w:szCs w:val="32"/>
          <w:lang w:val="en-US" w:eastAsia="zh-CN"/>
          <w14:textFill>
            <w14:solidFill>
              <w14:schemeClr w14:val="tx1"/>
            </w14:solidFill>
          </w14:textFill>
        </w:rPr>
        <w:t>7</w:t>
      </w:r>
      <w:r>
        <w:rPr>
          <w:rFonts w:hint="eastAsia" w:ascii="宋体" w:hAnsi="宋体"/>
          <w:bCs/>
          <w:color w:val="000000" w:themeColor="text1"/>
          <w:sz w:val="32"/>
          <w:szCs w:val="32"/>
          <w14:textFill>
            <w14:solidFill>
              <w14:schemeClr w14:val="tx1"/>
            </w14:solidFill>
          </w14:textFill>
        </w:rPr>
        <w:t>0天内完成本合同第一条服务内容及要求所列的全部工作。若因甲方提交资料问题或场地不具备</w:t>
      </w:r>
      <w:r>
        <w:rPr>
          <w:rFonts w:hint="eastAsia" w:ascii="宋体" w:hAnsi="宋体"/>
          <w:sz w:val="32"/>
          <w:szCs w:val="32"/>
        </w:rPr>
        <w:t>效果评估工作</w:t>
      </w:r>
      <w:r>
        <w:rPr>
          <w:rFonts w:hint="eastAsia" w:ascii="宋体" w:hAnsi="宋体"/>
          <w:bCs/>
          <w:color w:val="000000" w:themeColor="text1"/>
          <w:sz w:val="32"/>
          <w:szCs w:val="32"/>
          <w14:textFill>
            <w14:solidFill>
              <w14:schemeClr w14:val="tx1"/>
            </w14:solidFill>
          </w14:textFill>
        </w:rPr>
        <w:t>条件，致使工期受到影响，则服务工期顺延。</w:t>
      </w:r>
    </w:p>
    <w:p>
      <w:pPr>
        <w:spacing w:line="540" w:lineRule="exact"/>
        <w:ind w:firstLine="640" w:firstLineChars="200"/>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2、乙方向甲方提交最终报批版的</w:t>
      </w:r>
      <w:r>
        <w:rPr>
          <w:rFonts w:hint="eastAsia" w:ascii="宋体" w:hAnsi="宋体"/>
          <w:bCs/>
          <w:color w:val="000000" w:themeColor="text1"/>
          <w:sz w:val="32"/>
          <w:szCs w:val="32"/>
          <w14:textFill>
            <w14:solidFill>
              <w14:schemeClr w14:val="tx1"/>
            </w14:solidFill>
          </w14:textFill>
        </w:rPr>
        <w:t>场地</w:t>
      </w:r>
      <w:r>
        <w:rPr>
          <w:rFonts w:hint="eastAsia" w:ascii="宋体" w:hAnsi="宋体"/>
          <w:bCs/>
          <w:color w:val="000000" w:themeColor="text1"/>
          <w:sz w:val="32"/>
          <w:szCs w:val="32"/>
          <w:lang w:val="en-US" w:eastAsia="zh-CN"/>
          <w14:textFill>
            <w14:solidFill>
              <w14:schemeClr w14:val="tx1"/>
            </w14:solidFill>
          </w14:textFill>
        </w:rPr>
        <w:t>修复效果评估</w:t>
      </w:r>
      <w:r>
        <w:rPr>
          <w:rFonts w:hint="eastAsia" w:ascii="宋体" w:hAnsi="宋体"/>
          <w:bCs/>
          <w:color w:val="000000" w:themeColor="text1"/>
          <w:sz w:val="32"/>
          <w:szCs w:val="32"/>
          <w14:textFill>
            <w14:solidFill>
              <w14:schemeClr w14:val="tx1"/>
            </w14:solidFill>
          </w14:textFill>
        </w:rPr>
        <w:t>报告，一式叁</w:t>
      </w:r>
      <w:r>
        <w:rPr>
          <w:rFonts w:hint="eastAsia" w:ascii="宋体" w:hAnsi="宋体"/>
          <w:color w:val="000000" w:themeColor="text1"/>
          <w:sz w:val="32"/>
          <w:szCs w:val="32"/>
          <w14:textFill>
            <w14:solidFill>
              <w14:schemeClr w14:val="tx1"/>
            </w14:solidFill>
          </w14:textFill>
        </w:rPr>
        <w:t>份。</w:t>
      </w:r>
    </w:p>
    <w:p>
      <w:pPr>
        <w:spacing w:line="560" w:lineRule="exact"/>
        <w:rPr>
          <w:rFonts w:ascii="宋体" w:hAnsi="宋体"/>
          <w:b/>
          <w:bCs/>
          <w:sz w:val="32"/>
          <w:szCs w:val="32"/>
        </w:rPr>
      </w:pPr>
      <w:r>
        <w:rPr>
          <w:rFonts w:hint="eastAsia" w:ascii="宋体" w:hAnsi="宋体"/>
          <w:b/>
          <w:bCs/>
          <w:sz w:val="32"/>
          <w:szCs w:val="32"/>
        </w:rPr>
        <w:t>第四条：双方责任</w:t>
      </w:r>
    </w:p>
    <w:p>
      <w:pPr>
        <w:spacing w:line="560" w:lineRule="exact"/>
        <w:ind w:firstLine="640" w:firstLineChars="200"/>
        <w:rPr>
          <w:rFonts w:ascii="宋体" w:hAnsi="宋体"/>
          <w:sz w:val="32"/>
          <w:szCs w:val="32"/>
        </w:rPr>
      </w:pPr>
      <w:r>
        <w:rPr>
          <w:rFonts w:hint="eastAsia" w:ascii="宋体" w:hAnsi="宋体"/>
          <w:sz w:val="32"/>
          <w:szCs w:val="32"/>
        </w:rPr>
        <w:t>甲方责任：</w:t>
      </w:r>
    </w:p>
    <w:p>
      <w:pPr>
        <w:spacing w:line="560" w:lineRule="exact"/>
        <w:ind w:firstLine="560"/>
        <w:rPr>
          <w:rFonts w:ascii="宋体" w:hAnsi="宋体"/>
          <w:sz w:val="32"/>
          <w:szCs w:val="32"/>
        </w:rPr>
      </w:pPr>
      <w:r>
        <w:rPr>
          <w:rFonts w:hint="eastAsia" w:ascii="宋体" w:hAnsi="宋体"/>
          <w:sz w:val="32"/>
          <w:szCs w:val="32"/>
        </w:rPr>
        <w:t>1、为乙方顺利完成现场调研工作提供必要的协助。乙方进行现场调研若受阻，甲方予以协调。</w:t>
      </w:r>
    </w:p>
    <w:p>
      <w:pPr>
        <w:spacing w:line="560" w:lineRule="exact"/>
        <w:ind w:firstLine="560"/>
        <w:rPr>
          <w:rFonts w:ascii="宋体" w:hAnsi="宋体"/>
          <w:sz w:val="32"/>
          <w:szCs w:val="32"/>
        </w:rPr>
      </w:pPr>
      <w:r>
        <w:rPr>
          <w:rFonts w:hint="eastAsia" w:ascii="宋体" w:hAnsi="宋体"/>
          <w:sz w:val="32"/>
          <w:szCs w:val="32"/>
        </w:rPr>
        <w:t>2、为乙方顺利完成现场采样工作提供必要的协助。在乙方进场采样前，甲方应保证效果评估场地具备采样条件（评估场地内所有生产企业停产、主体生产设备或设施拆除），乙方按照规范要求进行现场采样工作若受阻，甲方予以协调，并顺延服务工期。</w:t>
      </w:r>
    </w:p>
    <w:p>
      <w:pPr>
        <w:spacing w:line="560" w:lineRule="exact"/>
        <w:ind w:firstLine="640" w:firstLineChars="200"/>
        <w:rPr>
          <w:rFonts w:ascii="宋体" w:hAnsi="宋体"/>
          <w:sz w:val="32"/>
          <w:szCs w:val="32"/>
        </w:rPr>
      </w:pPr>
      <w:r>
        <w:rPr>
          <w:rFonts w:hint="eastAsia" w:ascii="宋体" w:hAnsi="宋体"/>
          <w:sz w:val="32"/>
          <w:szCs w:val="32"/>
        </w:rPr>
        <w:t>乙方责任：</w:t>
      </w:r>
    </w:p>
    <w:p>
      <w:pPr>
        <w:spacing w:line="560" w:lineRule="exact"/>
        <w:ind w:firstLine="720" w:firstLineChars="225"/>
        <w:rPr>
          <w:rFonts w:ascii="宋体" w:hAnsi="宋体"/>
          <w:bCs/>
          <w:sz w:val="32"/>
          <w:szCs w:val="32"/>
        </w:rPr>
      </w:pPr>
      <w:r>
        <w:rPr>
          <w:rFonts w:hint="eastAsia" w:ascii="宋体" w:hAnsi="宋体"/>
          <w:sz w:val="32"/>
          <w:szCs w:val="32"/>
        </w:rPr>
        <w:t>1、按照国家和地方标准、技术规范及合同要求提供技术服务，并按本合同约定的服务内容、服务要求、时间完成现场效果评估工作</w:t>
      </w:r>
      <w:r>
        <w:rPr>
          <w:rFonts w:hint="eastAsia" w:ascii="宋体" w:hAnsi="宋体"/>
          <w:bCs/>
          <w:sz w:val="32"/>
          <w:szCs w:val="32"/>
        </w:rPr>
        <w:t>。</w:t>
      </w:r>
    </w:p>
    <w:p>
      <w:pPr>
        <w:spacing w:line="560" w:lineRule="exact"/>
        <w:ind w:firstLine="720" w:firstLineChars="225"/>
        <w:rPr>
          <w:rFonts w:ascii="宋体" w:hAnsi="宋体"/>
          <w:sz w:val="32"/>
          <w:szCs w:val="32"/>
        </w:rPr>
      </w:pPr>
      <w:r>
        <w:rPr>
          <w:rFonts w:hint="eastAsia" w:ascii="宋体" w:hAnsi="宋体"/>
          <w:bCs/>
          <w:sz w:val="32"/>
          <w:szCs w:val="32"/>
        </w:rPr>
        <w:t>2、</w:t>
      </w:r>
      <w:r>
        <w:rPr>
          <w:rFonts w:hint="eastAsia" w:ascii="宋体" w:hAnsi="宋体"/>
          <w:sz w:val="32"/>
          <w:szCs w:val="32"/>
        </w:rPr>
        <w:t>负责按照技术审查</w:t>
      </w:r>
      <w:r>
        <w:rPr>
          <w:rFonts w:hint="eastAsia" w:ascii="宋体" w:hAnsi="宋体"/>
          <w:bCs/>
          <w:sz w:val="32"/>
          <w:szCs w:val="32"/>
        </w:rPr>
        <w:t>意见，对场地土壤污染</w:t>
      </w:r>
      <w:r>
        <w:rPr>
          <w:rFonts w:hint="eastAsia" w:ascii="宋体" w:hAnsi="宋体"/>
          <w:bCs/>
          <w:sz w:val="32"/>
          <w:szCs w:val="32"/>
          <w:lang w:val="en-US" w:eastAsia="zh-CN"/>
        </w:rPr>
        <w:t>修复治理</w:t>
      </w:r>
      <w:r>
        <w:rPr>
          <w:rFonts w:hint="eastAsia" w:ascii="宋体" w:hAnsi="宋体"/>
          <w:sz w:val="32"/>
          <w:szCs w:val="32"/>
        </w:rPr>
        <w:t>效果评估</w:t>
      </w:r>
      <w:r>
        <w:rPr>
          <w:rFonts w:hint="eastAsia" w:ascii="宋体" w:hAnsi="宋体"/>
          <w:bCs/>
          <w:sz w:val="32"/>
          <w:szCs w:val="32"/>
        </w:rPr>
        <w:t>报告进行修改、完善直至取得相关主管部门通过意见</w:t>
      </w:r>
      <w:r>
        <w:rPr>
          <w:rFonts w:hint="eastAsia" w:ascii="宋体" w:hAnsi="宋体"/>
          <w:sz w:val="32"/>
          <w:szCs w:val="32"/>
        </w:rPr>
        <w:t>。</w:t>
      </w:r>
    </w:p>
    <w:p>
      <w:pPr>
        <w:spacing w:line="560" w:lineRule="exact"/>
        <w:ind w:firstLine="720" w:firstLineChars="225"/>
        <w:rPr>
          <w:rFonts w:ascii="宋体" w:hAnsi="宋体"/>
          <w:sz w:val="32"/>
          <w:szCs w:val="32"/>
        </w:rPr>
      </w:pPr>
      <w:r>
        <w:rPr>
          <w:rFonts w:hint="eastAsia" w:ascii="宋体" w:hAnsi="宋体"/>
          <w:sz w:val="32"/>
          <w:szCs w:val="32"/>
        </w:rPr>
        <w:t>3、对成果资料和甲方提供的所有资料负有保密责任。未经甲方同意，不得提供给与本项目无关的任何单位及个人使用。</w:t>
      </w:r>
    </w:p>
    <w:p>
      <w:pPr>
        <w:pStyle w:val="5"/>
        <w:rPr>
          <w:rFonts w:hint="eastAsia" w:ascii="宋体" w:hAnsi="宋体"/>
          <w:sz w:val="32"/>
          <w:szCs w:val="32"/>
        </w:rPr>
      </w:pPr>
      <w:r>
        <w:rPr>
          <w:rFonts w:hint="eastAsia" w:ascii="宋体" w:hAnsi="宋体"/>
          <w:sz w:val="32"/>
          <w:szCs w:val="32"/>
        </w:rPr>
        <w:t xml:space="preserve">  </w:t>
      </w:r>
      <w:r>
        <w:rPr>
          <w:rFonts w:hint="eastAsia" w:ascii="宋体" w:hAnsi="宋体"/>
          <w:sz w:val="32"/>
          <w:szCs w:val="32"/>
          <w:lang w:val="en-US" w:eastAsia="zh-CN"/>
        </w:rPr>
        <w:t xml:space="preserve"> </w:t>
      </w:r>
      <w:r>
        <w:rPr>
          <w:rFonts w:hint="eastAsia" w:ascii="宋体" w:hAnsi="宋体"/>
          <w:sz w:val="32"/>
          <w:szCs w:val="32"/>
        </w:rPr>
        <w:t xml:space="preserve"> 4、在进场进行现场作业时对施工安全负全部责任。</w:t>
      </w:r>
    </w:p>
    <w:p>
      <w:pPr>
        <w:spacing w:line="560" w:lineRule="exact"/>
        <w:ind w:firstLine="640" w:firstLineChars="200"/>
        <w:jc w:val="left"/>
        <w:rPr>
          <w:rFonts w:hint="eastAsia" w:ascii="宋体" w:hAnsi="宋体" w:eastAsia="宋体" w:cs="Times New Roman"/>
          <w:sz w:val="32"/>
          <w:szCs w:val="32"/>
        </w:rPr>
      </w:pPr>
      <w:r>
        <w:rPr>
          <w:rFonts w:hint="eastAsia" w:ascii="宋体" w:hAnsi="宋体"/>
          <w:sz w:val="32"/>
          <w:szCs w:val="32"/>
          <w:lang w:val="en-US" w:eastAsia="zh-CN"/>
        </w:rPr>
        <w:t>5、</w:t>
      </w:r>
      <w:r>
        <w:rPr>
          <w:rFonts w:hint="eastAsia" w:ascii="宋体" w:hAnsi="宋体" w:eastAsia="宋体" w:cs="Times New Roman"/>
          <w:sz w:val="32"/>
          <w:szCs w:val="32"/>
        </w:rPr>
        <w:t>若乙方在工作期间未按《中华人民共和国安全生产法》、《重庆市安全生产委员会重庆市减灾委员会关于深化“十条措施”落实常态化安全监管工作的通知》（渝安委[2021]16号）等国家及地方相关法律法规履行好乙方的施工安全责任。确保安全施工及施工范围内和范围外一定距离内的现场安全，其费用已包括在总报价中。施工中，若乙方未认真履行义务，若监测中发生安全质量事故，乙方承担全部责任和经济损失（包括因乙方原因导致的甲方被相关行政主管部门的处罚罚金等）。</w:t>
      </w:r>
    </w:p>
    <w:p>
      <w:pPr>
        <w:pStyle w:val="2"/>
        <w:spacing w:before="0" w:after="0" w:line="560" w:lineRule="exact"/>
        <w:ind w:firstLine="640" w:firstLineChars="200"/>
        <w:jc w:val="left"/>
        <w:rPr>
          <w:rFonts w:hint="eastAsia" w:ascii="宋体" w:hAnsi="宋体"/>
          <w:sz w:val="32"/>
          <w:szCs w:val="32"/>
        </w:rPr>
      </w:pPr>
      <w:r>
        <w:rPr>
          <w:rFonts w:hint="eastAsia" w:ascii="宋体" w:hAnsi="宋体" w:eastAsia="宋体" w:cs="Times New Roman"/>
          <w:b w:val="0"/>
          <w:bCs w:val="0"/>
          <w:sz w:val="32"/>
          <w:szCs w:val="32"/>
          <w:lang w:val="en-US" w:eastAsia="zh-CN"/>
        </w:rPr>
        <w:t>6、</w:t>
      </w:r>
      <w:r>
        <w:rPr>
          <w:rFonts w:hint="eastAsia" w:ascii="宋体" w:hAnsi="宋体" w:eastAsia="宋体" w:cs="Times New Roman"/>
          <w:b w:val="0"/>
          <w:bCs w:val="0"/>
        </w:rPr>
        <w:t>进场前，乙方需对工作人员进行安全交底，作业时做好安全防护工作，杜绝安全事故。工作人员进入现场，必须严格按</w:t>
      </w:r>
      <w:r>
        <w:rPr>
          <w:rFonts w:hint="eastAsia" w:ascii="宋体" w:hAnsi="宋体" w:eastAsia="宋体" w:cs="Times New Roman"/>
          <w:b w:val="0"/>
          <w:bCs w:val="0"/>
          <w:lang w:val="en-US" w:eastAsia="zh-CN"/>
        </w:rPr>
        <w:t>照相关安全生产要求做好安全防护措施，</w:t>
      </w:r>
      <w:r>
        <w:rPr>
          <w:rFonts w:hint="eastAsia" w:ascii="宋体" w:hAnsi="宋体" w:eastAsia="宋体" w:cs="Times New Roman"/>
          <w:b w:val="0"/>
          <w:bCs w:val="0"/>
        </w:rPr>
        <w:t>服从施工现场管理。</w:t>
      </w:r>
    </w:p>
    <w:p>
      <w:pPr>
        <w:spacing w:line="560" w:lineRule="exact"/>
        <w:ind w:firstLine="560"/>
        <w:rPr>
          <w:rFonts w:ascii="宋体" w:hAnsi="宋体"/>
          <w:sz w:val="32"/>
          <w:szCs w:val="32"/>
        </w:rPr>
      </w:pPr>
      <w:r>
        <w:rPr>
          <w:rFonts w:hint="eastAsia" w:ascii="宋体" w:hAnsi="宋体"/>
          <w:b/>
          <w:bCs/>
          <w:sz w:val="32"/>
          <w:szCs w:val="32"/>
        </w:rPr>
        <w:t>第五条：违约责任</w:t>
      </w:r>
    </w:p>
    <w:p>
      <w:pPr>
        <w:spacing w:line="560" w:lineRule="exact"/>
        <w:ind w:firstLine="640" w:firstLineChars="200"/>
        <w:rPr>
          <w:rFonts w:ascii="宋体" w:hAnsi="宋体"/>
          <w:sz w:val="32"/>
          <w:szCs w:val="32"/>
        </w:rPr>
      </w:pPr>
      <w:r>
        <w:rPr>
          <w:rFonts w:hint="eastAsia" w:ascii="宋体" w:hAnsi="宋体"/>
          <w:sz w:val="32"/>
          <w:szCs w:val="32"/>
        </w:rPr>
        <w:t>1、如因场地不具备采样条件（评估场地内所有生产企业未停产、主体生产设备或设施未拆除），影响乙方工作进度，则乙方可以提出工期顺延，同时甲方不承担违约责任。</w:t>
      </w:r>
    </w:p>
    <w:p>
      <w:pPr>
        <w:spacing w:line="560" w:lineRule="exact"/>
        <w:ind w:firstLine="640" w:firstLineChars="200"/>
        <w:jc w:val="left"/>
        <w:rPr>
          <w:rFonts w:ascii="仿宋_GB2312" w:hAnsi="仿宋_GB2312" w:eastAsia="仿宋_GB2312" w:cs="仿宋_GB2312"/>
          <w:bCs/>
          <w:sz w:val="28"/>
          <w:szCs w:val="28"/>
        </w:rPr>
      </w:pPr>
      <w:r>
        <w:rPr>
          <w:rFonts w:hint="eastAsia" w:ascii="宋体" w:hAnsi="宋体"/>
          <w:sz w:val="32"/>
          <w:szCs w:val="32"/>
        </w:rPr>
        <w:t>2、乙方未按本合同约定时限完成，每延期一日，则按合同总费用的千分之一向甲方支付违约金。乙方逾期完成达20个工作日的，甲方有权单方解除合同。</w:t>
      </w:r>
    </w:p>
    <w:p>
      <w:pPr>
        <w:spacing w:line="560" w:lineRule="exact"/>
        <w:ind w:firstLine="640" w:firstLineChars="200"/>
        <w:rPr>
          <w:rFonts w:ascii="宋体" w:hAnsi="宋体"/>
          <w:bCs/>
          <w:sz w:val="32"/>
          <w:szCs w:val="32"/>
        </w:rPr>
      </w:pPr>
      <w:r>
        <w:rPr>
          <w:rFonts w:hint="eastAsia" w:ascii="宋体" w:hAnsi="宋体"/>
          <w:sz w:val="32"/>
          <w:szCs w:val="32"/>
        </w:rPr>
        <w:t>3</w:t>
      </w:r>
      <w:r>
        <w:rPr>
          <w:rFonts w:hint="eastAsia" w:ascii="宋体" w:hAnsi="宋体"/>
          <w:bCs/>
          <w:sz w:val="32"/>
          <w:szCs w:val="32"/>
        </w:rPr>
        <w:t>、本合同生效以后，乙方应全面履行本合同约定的义务。乙方不履行，或者不完全履行本合同约定义务的，应当承担相应的违约责任，赔偿损失。如果乙方违约导致纠纷的，乙方应当承担由此产生的诉讼费、保全费、担保费、律师费、差旅费等所有实现债权产生的费用。</w:t>
      </w:r>
    </w:p>
    <w:p>
      <w:pPr>
        <w:spacing w:line="560" w:lineRule="exact"/>
        <w:ind w:firstLine="640" w:firstLineChars="200"/>
        <w:rPr>
          <w:rFonts w:hint="eastAsia" w:ascii="宋体" w:hAnsi="宋体"/>
          <w:sz w:val="32"/>
          <w:szCs w:val="32"/>
        </w:rPr>
      </w:pPr>
      <w:r>
        <w:rPr>
          <w:rFonts w:hint="eastAsia" w:ascii="宋体" w:hAnsi="宋体"/>
          <w:bCs/>
          <w:sz w:val="32"/>
          <w:szCs w:val="32"/>
        </w:rPr>
        <w:t>4、若</w:t>
      </w:r>
      <w:r>
        <w:rPr>
          <w:rFonts w:hint="eastAsia" w:ascii="宋体" w:hAnsi="宋体"/>
          <w:bCs/>
          <w:sz w:val="32"/>
          <w:szCs w:val="32"/>
          <w:lang w:val="en-US" w:eastAsia="zh-CN"/>
        </w:rPr>
        <w:t>本</w:t>
      </w:r>
      <w:r>
        <w:rPr>
          <w:rFonts w:hint="eastAsia" w:ascii="宋体" w:hAnsi="宋体"/>
          <w:bCs/>
          <w:sz w:val="32"/>
          <w:szCs w:val="32"/>
        </w:rPr>
        <w:t>项目因其他原因不再开展</w:t>
      </w:r>
      <w:r>
        <w:rPr>
          <w:rFonts w:hint="eastAsia" w:ascii="宋体" w:hAnsi="宋体"/>
          <w:bCs/>
          <w:sz w:val="32"/>
          <w:szCs w:val="32"/>
          <w:lang w:val="en-US" w:eastAsia="zh-CN"/>
        </w:rPr>
        <w:t>本合同约定</w:t>
      </w:r>
      <w:r>
        <w:rPr>
          <w:rFonts w:hint="eastAsia" w:ascii="宋体" w:hAnsi="宋体"/>
          <w:bCs/>
          <w:sz w:val="32"/>
          <w:szCs w:val="32"/>
        </w:rPr>
        <w:t>工作，</w:t>
      </w:r>
      <w:r>
        <w:rPr>
          <w:rFonts w:hint="eastAsia" w:ascii="宋体" w:hAnsi="宋体"/>
          <w:sz w:val="32"/>
          <w:szCs w:val="32"/>
        </w:rPr>
        <w:t>甲方不承担违约责任。</w:t>
      </w:r>
    </w:p>
    <w:p>
      <w:pPr>
        <w:spacing w:line="560" w:lineRule="exact"/>
        <w:ind w:firstLine="640" w:firstLineChars="200"/>
        <w:outlineLvl w:val="9"/>
      </w:pPr>
      <w:r>
        <w:rPr>
          <w:rFonts w:hint="eastAsia" w:ascii="宋体" w:hAnsi="宋体" w:eastAsia="宋体" w:cs="Times New Roman"/>
          <w:bCs/>
          <w:sz w:val="32"/>
          <w:szCs w:val="32"/>
          <w:lang w:val="en-US" w:eastAsia="zh-CN"/>
        </w:rPr>
        <w:t>5、</w:t>
      </w:r>
      <w:r>
        <w:rPr>
          <w:rFonts w:hint="eastAsia" w:ascii="宋体" w:hAnsi="宋体" w:eastAsia="宋体" w:cs="Times New Roman"/>
          <w:bCs/>
          <w:sz w:val="32"/>
          <w:szCs w:val="32"/>
        </w:rPr>
        <w:t>若</w:t>
      </w:r>
      <w:r>
        <w:rPr>
          <w:rFonts w:hint="eastAsia" w:ascii="宋体" w:hAnsi="宋体" w:eastAsia="宋体" w:cs="Times New Roman"/>
          <w:bCs/>
          <w:sz w:val="32"/>
          <w:szCs w:val="32"/>
          <w:lang w:val="en-US" w:eastAsia="zh-CN"/>
        </w:rPr>
        <w:t>乙方</w:t>
      </w:r>
      <w:r>
        <w:rPr>
          <w:rFonts w:hint="eastAsia" w:ascii="宋体" w:hAnsi="宋体" w:eastAsia="宋体" w:cs="Times New Roman"/>
          <w:bCs/>
          <w:sz w:val="32"/>
          <w:szCs w:val="32"/>
        </w:rPr>
        <w:t>在工作期间未按《中华人民共和国安全生产法》、《重庆市安全生产委员会重庆市减灾委员会关于深化“十条措施”落实常态化安全监管工作的通知》（渝安委〔2021〕16号）等国家及地方相关法律法规履行好安全责任，视情节轻重处以合同价的5%-10%/次的违约金。若监测中发生安全质量事故，乙方承担全部责任和经济损失（包括因乙方原因导致的甲方被相关行政主管部门的处罚罚金等）</w:t>
      </w:r>
    </w:p>
    <w:p>
      <w:pPr>
        <w:spacing w:line="560" w:lineRule="exact"/>
        <w:rPr>
          <w:rFonts w:ascii="宋体" w:hAnsi="宋体"/>
          <w:b/>
          <w:bCs/>
          <w:sz w:val="32"/>
          <w:szCs w:val="32"/>
        </w:rPr>
      </w:pPr>
      <w:r>
        <w:rPr>
          <w:rFonts w:hint="eastAsia" w:ascii="宋体" w:hAnsi="宋体"/>
          <w:b/>
          <w:bCs/>
          <w:sz w:val="32"/>
          <w:szCs w:val="32"/>
        </w:rPr>
        <w:t>第六条：合同争议与仲裁</w:t>
      </w:r>
    </w:p>
    <w:p>
      <w:pPr>
        <w:adjustRightInd w:val="0"/>
        <w:snapToGrid w:val="0"/>
        <w:spacing w:line="520" w:lineRule="exact"/>
        <w:ind w:firstLine="640" w:firstLineChars="200"/>
        <w:rPr>
          <w:rFonts w:ascii="宋体" w:hAnsi="宋体"/>
          <w:sz w:val="32"/>
          <w:szCs w:val="32"/>
        </w:rPr>
      </w:pPr>
      <w:r>
        <w:rPr>
          <w:rFonts w:hint="eastAsia" w:ascii="宋体" w:hAnsi="宋体"/>
          <w:sz w:val="32"/>
          <w:szCs w:val="32"/>
        </w:rPr>
        <w:t>本合同在履行过程中发生争议时，由双方协商解决，协商不成的，任何一方可向甲方所在地人民法院起诉。诉讼文书送达地址：甲方为:重庆市渝北区泰山大道东段梧桐路6号交通开投大厦，乙方为</w:t>
      </w:r>
      <w:r>
        <w:rPr>
          <w:rFonts w:hint="eastAsia" w:ascii="宋体" w:hAnsi="宋体"/>
          <w:sz w:val="32"/>
          <w:szCs w:val="32"/>
          <w:u w:val="single"/>
        </w:rPr>
        <w:t xml:space="preserve">：              </w:t>
      </w:r>
      <w:r>
        <w:rPr>
          <w:rFonts w:hint="eastAsia" w:ascii="宋体" w:hAnsi="宋体"/>
          <w:sz w:val="32"/>
          <w:szCs w:val="32"/>
        </w:rPr>
        <w:t>。地址可用于接收各类文书。按照约定地址送达的，视为当事人签收；受送达人拒收的，不影响送达的效力。当事人如需变更约定送达地址，应按照约定方式在地址变更后3日内</w:t>
      </w:r>
      <w:r>
        <w:rPr>
          <w:rFonts w:hint="eastAsia" w:ascii="宋体" w:hAnsi="宋体"/>
          <w:sz w:val="32"/>
          <w:szCs w:val="32"/>
          <w:lang w:val="en-US" w:eastAsia="zh-CN"/>
        </w:rPr>
        <w:t>书面</w:t>
      </w:r>
      <w:r>
        <w:rPr>
          <w:rFonts w:hint="eastAsia" w:ascii="宋体" w:hAnsi="宋体"/>
          <w:sz w:val="32"/>
          <w:szCs w:val="32"/>
        </w:rPr>
        <w:t>通知对方当事人；未按约定方式变更的，原约定送达地址仍为有效送达地址。</w:t>
      </w:r>
    </w:p>
    <w:p>
      <w:pPr>
        <w:spacing w:line="560" w:lineRule="exact"/>
        <w:rPr>
          <w:rFonts w:ascii="宋体" w:hAnsi="宋体"/>
          <w:b/>
          <w:bCs/>
          <w:sz w:val="32"/>
          <w:szCs w:val="32"/>
        </w:rPr>
      </w:pPr>
      <w:r>
        <w:rPr>
          <w:rFonts w:hint="eastAsia" w:ascii="宋体" w:hAnsi="宋体"/>
          <w:b/>
          <w:bCs/>
          <w:sz w:val="32"/>
          <w:szCs w:val="32"/>
        </w:rPr>
        <w:t>第七条：合同生效和份数</w:t>
      </w:r>
    </w:p>
    <w:p>
      <w:pPr>
        <w:spacing w:line="560" w:lineRule="exact"/>
        <w:ind w:firstLine="560"/>
        <w:rPr>
          <w:rFonts w:ascii="宋体" w:hAnsi="宋体"/>
          <w:sz w:val="32"/>
          <w:szCs w:val="32"/>
        </w:rPr>
      </w:pPr>
      <w:r>
        <w:rPr>
          <w:rFonts w:hint="eastAsia" w:ascii="宋体" w:hAnsi="宋体"/>
          <w:sz w:val="32"/>
          <w:szCs w:val="32"/>
        </w:rPr>
        <w:t>本合同一式</w:t>
      </w:r>
      <w:r>
        <w:rPr>
          <w:rFonts w:hint="eastAsia" w:ascii="宋体" w:hAnsi="宋体"/>
          <w:sz w:val="32"/>
          <w:szCs w:val="32"/>
          <w:u w:val="single"/>
        </w:rPr>
        <w:t>捌</w:t>
      </w:r>
      <w:r>
        <w:rPr>
          <w:rFonts w:hint="eastAsia" w:ascii="宋体" w:hAnsi="宋体"/>
          <w:sz w:val="32"/>
          <w:szCs w:val="32"/>
        </w:rPr>
        <w:t>份，甲、乙双方各执</w:t>
      </w:r>
      <w:r>
        <w:rPr>
          <w:rFonts w:hint="eastAsia" w:ascii="宋体" w:hAnsi="宋体"/>
          <w:sz w:val="32"/>
          <w:szCs w:val="32"/>
          <w:u w:val="single"/>
        </w:rPr>
        <w:t>肆</w:t>
      </w:r>
      <w:r>
        <w:rPr>
          <w:rFonts w:hint="eastAsia" w:ascii="宋体" w:hAnsi="宋体"/>
          <w:sz w:val="32"/>
          <w:szCs w:val="32"/>
        </w:rPr>
        <w:t>份，经双方法人代表或委托代理人签字并加盖公章后生效，任何一方不得擅自涂改、变更或解除合同，双方履行完合同约定条款后，本合同即行终止。</w:t>
      </w:r>
    </w:p>
    <w:p>
      <w:pPr>
        <w:spacing w:line="560" w:lineRule="exact"/>
        <w:ind w:firstLine="560"/>
        <w:rPr>
          <w:rFonts w:ascii="宋体" w:hAnsi="宋体"/>
          <w:sz w:val="32"/>
          <w:szCs w:val="32"/>
        </w:rPr>
      </w:pPr>
      <w:r>
        <w:rPr>
          <w:rFonts w:hint="eastAsia" w:ascii="宋体" w:hAnsi="宋体"/>
          <w:sz w:val="32"/>
          <w:szCs w:val="32"/>
        </w:rPr>
        <w:t>本合同未尽事宜，双方可签订补充协议，有关协议及双方认可的来往传真、会议纪要等，均为本合同组成部分，与本合同具有同等法律效力。</w:t>
      </w:r>
    </w:p>
    <w:p>
      <w:pPr>
        <w:spacing w:line="560" w:lineRule="exact"/>
        <w:rPr>
          <w:rFonts w:ascii="宋体" w:hAnsi="宋体"/>
          <w:sz w:val="32"/>
          <w:szCs w:val="32"/>
        </w:rPr>
      </w:pPr>
    </w:p>
    <w:p>
      <w:pPr>
        <w:spacing w:line="560" w:lineRule="exact"/>
        <w:rPr>
          <w:rFonts w:ascii="宋体" w:hAnsi="宋体"/>
          <w:sz w:val="32"/>
          <w:szCs w:val="32"/>
        </w:rPr>
      </w:pPr>
    </w:p>
    <w:p>
      <w:pPr>
        <w:spacing w:line="560" w:lineRule="exact"/>
        <w:rPr>
          <w:rFonts w:ascii="宋体" w:hAnsi="宋体"/>
          <w:sz w:val="32"/>
          <w:szCs w:val="32"/>
        </w:rPr>
      </w:pPr>
    </w:p>
    <w:tbl>
      <w:tblPr>
        <w:tblStyle w:val="9"/>
        <w:tblW w:w="92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72"/>
        <w:gridCol w:w="87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9" w:hRule="atLeast"/>
          <w:jc w:val="center"/>
        </w:trPr>
        <w:tc>
          <w:tcPr>
            <w:tcW w:w="472" w:type="dxa"/>
            <w:vAlign w:val="center"/>
          </w:tcPr>
          <w:p>
            <w:pPr>
              <w:spacing w:line="560" w:lineRule="exact"/>
              <w:rPr>
                <w:sz w:val="24"/>
              </w:rPr>
            </w:pPr>
            <w:r>
              <w:rPr>
                <w:sz w:val="24"/>
              </w:rPr>
              <w:t>甲</w:t>
            </w:r>
          </w:p>
          <w:p>
            <w:pPr>
              <w:spacing w:line="560" w:lineRule="exact"/>
              <w:rPr>
                <w:sz w:val="24"/>
              </w:rPr>
            </w:pPr>
          </w:p>
          <w:p>
            <w:pPr>
              <w:spacing w:line="560" w:lineRule="exact"/>
              <w:rPr>
                <w:sz w:val="24"/>
              </w:rPr>
            </w:pPr>
            <w:r>
              <w:rPr>
                <w:sz w:val="24"/>
              </w:rPr>
              <w:t>方</w:t>
            </w:r>
          </w:p>
          <w:p>
            <w:pPr>
              <w:spacing w:line="560" w:lineRule="exact"/>
              <w:rPr>
                <w:sz w:val="24"/>
              </w:rPr>
            </w:pPr>
          </w:p>
        </w:tc>
        <w:tc>
          <w:tcPr>
            <w:tcW w:w="8742" w:type="dxa"/>
          </w:tcPr>
          <w:p>
            <w:pPr>
              <w:spacing w:line="360" w:lineRule="auto"/>
              <w:rPr>
                <w:sz w:val="24"/>
                <w:szCs w:val="22"/>
              </w:rPr>
            </w:pPr>
            <w:r>
              <w:rPr>
                <w:sz w:val="24"/>
                <w:szCs w:val="22"/>
              </w:rPr>
              <w:t>单位名称：重庆城市综合交通枢纽(集团)有限公司 (公章或合同专用章)</w:t>
            </w:r>
          </w:p>
          <w:p>
            <w:pPr>
              <w:spacing w:line="360" w:lineRule="auto"/>
              <w:rPr>
                <w:sz w:val="24"/>
                <w:szCs w:val="22"/>
              </w:rPr>
            </w:pPr>
            <w:r>
              <w:rPr>
                <w:sz w:val="24"/>
                <w:szCs w:val="22"/>
              </w:rPr>
              <w:t>统一社会信用代码：915000002030278529</w:t>
            </w:r>
          </w:p>
          <w:p>
            <w:pPr>
              <w:spacing w:line="360" w:lineRule="auto"/>
              <w:rPr>
                <w:sz w:val="24"/>
              </w:rPr>
            </w:pPr>
            <w:r>
              <w:rPr>
                <w:sz w:val="24"/>
              </w:rPr>
              <w:t>地址：重庆市</w:t>
            </w:r>
            <w:r>
              <w:rPr>
                <w:rFonts w:hint="eastAsia"/>
                <w:sz w:val="24"/>
              </w:rPr>
              <w:t>渝北区</w:t>
            </w:r>
            <w:r>
              <w:rPr>
                <w:sz w:val="24"/>
              </w:rPr>
              <w:t>梧桐路6号</w:t>
            </w:r>
          </w:p>
          <w:p>
            <w:pPr>
              <w:spacing w:line="360" w:lineRule="auto"/>
              <w:rPr>
                <w:sz w:val="24"/>
              </w:rPr>
            </w:pPr>
            <w:r>
              <w:rPr>
                <w:sz w:val="24"/>
              </w:rPr>
              <w:t>电话：023-</w:t>
            </w:r>
            <w:r>
              <w:rPr>
                <w:rFonts w:hint="eastAsia"/>
                <w:sz w:val="24"/>
              </w:rPr>
              <w:t>88602675</w:t>
            </w:r>
          </w:p>
          <w:p>
            <w:pPr>
              <w:spacing w:line="360" w:lineRule="auto"/>
              <w:rPr>
                <w:sz w:val="24"/>
              </w:rPr>
            </w:pPr>
            <w:r>
              <w:rPr>
                <w:sz w:val="24"/>
              </w:rPr>
              <w:t xml:space="preserve">传真：023-88602690                            </w:t>
            </w:r>
          </w:p>
          <w:p>
            <w:pPr>
              <w:spacing w:line="360" w:lineRule="auto"/>
              <w:rPr>
                <w:sz w:val="24"/>
              </w:rPr>
            </w:pPr>
            <w:r>
              <w:rPr>
                <w:sz w:val="24"/>
              </w:rPr>
              <w:t>邮政编码：401121</w:t>
            </w:r>
          </w:p>
          <w:p>
            <w:pPr>
              <w:spacing w:line="360" w:lineRule="auto"/>
              <w:rPr>
                <w:sz w:val="24"/>
              </w:rPr>
            </w:pPr>
          </w:p>
          <w:p>
            <w:pPr>
              <w:spacing w:line="360" w:lineRule="auto"/>
              <w:rPr>
                <w:sz w:val="24"/>
              </w:rPr>
            </w:pPr>
            <w:r>
              <w:rPr>
                <w:sz w:val="24"/>
              </w:rPr>
              <w:t>法定代表人或</w:t>
            </w:r>
          </w:p>
          <w:p>
            <w:pPr>
              <w:spacing w:line="360" w:lineRule="auto"/>
              <w:rPr>
                <w:sz w:val="24"/>
              </w:rPr>
            </w:pPr>
            <w:r>
              <w:rPr>
                <w:sz w:val="24"/>
              </w:rPr>
              <w:t>委托代理人</w:t>
            </w:r>
            <w:r>
              <w:rPr>
                <w:rFonts w:hint="eastAsia"/>
                <w:sz w:val="24"/>
              </w:rPr>
              <w:t>（签章）</w:t>
            </w:r>
            <w:r>
              <w:rPr>
                <w:sz w:val="24"/>
              </w:rPr>
              <w:t>：</w:t>
            </w:r>
          </w:p>
          <w:p>
            <w:pPr>
              <w:spacing w:line="360" w:lineRule="auto"/>
              <w:rPr>
                <w:sz w:val="24"/>
              </w:rPr>
            </w:pPr>
          </w:p>
          <w:p>
            <w:pPr>
              <w:spacing w:line="360" w:lineRule="auto"/>
              <w:rPr>
                <w:sz w:val="24"/>
              </w:rPr>
            </w:pPr>
            <w:r>
              <w:rPr>
                <w:sz w:val="24"/>
              </w:rPr>
              <w:t>联系人：联系电话：</w:t>
            </w:r>
          </w:p>
          <w:p>
            <w:pPr>
              <w:spacing w:line="360" w:lineRule="auto"/>
              <w:ind w:firstLine="4800" w:firstLineChars="2000"/>
              <w:rPr>
                <w:sz w:val="24"/>
              </w:rPr>
            </w:pPr>
            <w:r>
              <w:rPr>
                <w:sz w:val="24"/>
              </w:rPr>
              <w:t>年月日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790" w:hRule="atLeast"/>
          <w:jc w:val="center"/>
        </w:trPr>
        <w:tc>
          <w:tcPr>
            <w:tcW w:w="472" w:type="dxa"/>
            <w:vAlign w:val="center"/>
          </w:tcPr>
          <w:p>
            <w:pPr>
              <w:spacing w:line="560" w:lineRule="exact"/>
              <w:rPr>
                <w:sz w:val="24"/>
              </w:rPr>
            </w:pPr>
            <w:r>
              <w:rPr>
                <w:sz w:val="24"/>
              </w:rPr>
              <w:t>乙</w:t>
            </w:r>
          </w:p>
          <w:p>
            <w:pPr>
              <w:spacing w:line="560" w:lineRule="exact"/>
              <w:rPr>
                <w:sz w:val="24"/>
              </w:rPr>
            </w:pPr>
          </w:p>
          <w:p>
            <w:pPr>
              <w:spacing w:line="560" w:lineRule="exact"/>
              <w:rPr>
                <w:sz w:val="24"/>
              </w:rPr>
            </w:pPr>
            <w:r>
              <w:rPr>
                <w:sz w:val="24"/>
              </w:rPr>
              <w:t>方</w:t>
            </w:r>
          </w:p>
          <w:p>
            <w:pPr>
              <w:spacing w:line="560" w:lineRule="exact"/>
              <w:ind w:left="1925" w:hanging="1924" w:hangingChars="802"/>
              <w:rPr>
                <w:sz w:val="24"/>
              </w:rPr>
            </w:pPr>
          </w:p>
        </w:tc>
        <w:tc>
          <w:tcPr>
            <w:tcW w:w="8742" w:type="dxa"/>
          </w:tcPr>
          <w:p>
            <w:pPr>
              <w:spacing w:line="360" w:lineRule="auto"/>
              <w:rPr>
                <w:sz w:val="24"/>
              </w:rPr>
            </w:pPr>
            <w:r>
              <w:rPr>
                <w:sz w:val="24"/>
              </w:rPr>
              <w:t>单位名称：</w:t>
            </w:r>
          </w:p>
          <w:p>
            <w:pPr>
              <w:spacing w:line="360" w:lineRule="auto"/>
              <w:rPr>
                <w:sz w:val="24"/>
              </w:rPr>
            </w:pPr>
            <w:r>
              <w:rPr>
                <w:sz w:val="24"/>
              </w:rPr>
              <w:t>统一社会信用代码：</w:t>
            </w:r>
          </w:p>
          <w:p>
            <w:pPr>
              <w:spacing w:line="360" w:lineRule="auto"/>
              <w:rPr>
                <w:sz w:val="24"/>
              </w:rPr>
            </w:pPr>
            <w:r>
              <w:rPr>
                <w:sz w:val="24"/>
              </w:rPr>
              <w:t xml:space="preserve">地址： </w:t>
            </w:r>
          </w:p>
          <w:p>
            <w:pPr>
              <w:spacing w:line="360" w:lineRule="auto"/>
              <w:rPr>
                <w:sz w:val="24"/>
              </w:rPr>
            </w:pPr>
            <w:r>
              <w:rPr>
                <w:sz w:val="24"/>
              </w:rPr>
              <w:t>电话：</w:t>
            </w:r>
          </w:p>
          <w:p>
            <w:pPr>
              <w:spacing w:line="360" w:lineRule="auto"/>
              <w:rPr>
                <w:sz w:val="24"/>
              </w:rPr>
            </w:pPr>
            <w:r>
              <w:rPr>
                <w:sz w:val="24"/>
              </w:rPr>
              <w:t>邮政编码：</w:t>
            </w:r>
          </w:p>
          <w:p>
            <w:pPr>
              <w:spacing w:line="360" w:lineRule="auto"/>
              <w:ind w:left="1925" w:hanging="1924" w:hangingChars="802"/>
              <w:rPr>
                <w:sz w:val="24"/>
              </w:rPr>
            </w:pPr>
            <w:r>
              <w:rPr>
                <w:sz w:val="24"/>
              </w:rPr>
              <w:t>开户银行：</w:t>
            </w:r>
          </w:p>
          <w:p>
            <w:pPr>
              <w:spacing w:line="360" w:lineRule="auto"/>
              <w:ind w:left="1925" w:hanging="1924" w:hangingChars="802"/>
              <w:rPr>
                <w:sz w:val="24"/>
              </w:rPr>
            </w:pPr>
            <w:r>
              <w:rPr>
                <w:sz w:val="24"/>
              </w:rPr>
              <w:t>账号：</w:t>
            </w:r>
          </w:p>
          <w:p>
            <w:pPr>
              <w:spacing w:line="360" w:lineRule="auto"/>
              <w:rPr>
                <w:sz w:val="24"/>
              </w:rPr>
            </w:pPr>
            <w:r>
              <w:rPr>
                <w:sz w:val="24"/>
              </w:rPr>
              <w:t>法定代表人或</w:t>
            </w:r>
          </w:p>
          <w:p>
            <w:pPr>
              <w:spacing w:line="360" w:lineRule="auto"/>
              <w:rPr>
                <w:sz w:val="24"/>
              </w:rPr>
            </w:pPr>
            <w:r>
              <w:rPr>
                <w:sz w:val="24"/>
              </w:rPr>
              <w:t>委托代理人</w:t>
            </w:r>
            <w:r>
              <w:rPr>
                <w:rFonts w:hint="eastAsia"/>
                <w:sz w:val="24"/>
              </w:rPr>
              <w:t>（签章）</w:t>
            </w:r>
            <w:r>
              <w:rPr>
                <w:sz w:val="24"/>
              </w:rPr>
              <w:t>：</w:t>
            </w:r>
          </w:p>
          <w:p>
            <w:pPr>
              <w:spacing w:line="360" w:lineRule="auto"/>
              <w:rPr>
                <w:sz w:val="24"/>
              </w:rPr>
            </w:pPr>
          </w:p>
          <w:p>
            <w:pPr>
              <w:spacing w:line="360" w:lineRule="auto"/>
              <w:rPr>
                <w:sz w:val="24"/>
              </w:rPr>
            </w:pPr>
            <w:r>
              <w:rPr>
                <w:sz w:val="24"/>
              </w:rPr>
              <w:t>合同审核</w:t>
            </w:r>
            <w:r>
              <w:rPr>
                <w:rFonts w:hint="eastAsia"/>
                <w:sz w:val="24"/>
              </w:rPr>
              <w:t>（签章）</w:t>
            </w:r>
            <w:r>
              <w:rPr>
                <w:sz w:val="24"/>
              </w:rPr>
              <w:t>：</w:t>
            </w:r>
          </w:p>
          <w:p>
            <w:pPr>
              <w:spacing w:line="360" w:lineRule="auto"/>
              <w:rPr>
                <w:sz w:val="24"/>
              </w:rPr>
            </w:pPr>
          </w:p>
          <w:p>
            <w:pPr>
              <w:spacing w:line="360" w:lineRule="auto"/>
              <w:rPr>
                <w:sz w:val="24"/>
              </w:rPr>
            </w:pPr>
            <w:r>
              <w:rPr>
                <w:rFonts w:hint="eastAsia"/>
                <w:sz w:val="24"/>
              </w:rPr>
              <w:t>联系人（签章）</w:t>
            </w:r>
            <w:r>
              <w:rPr>
                <w:sz w:val="24"/>
              </w:rPr>
              <w:t>：</w:t>
            </w:r>
          </w:p>
          <w:p>
            <w:pPr>
              <w:spacing w:line="360" w:lineRule="auto"/>
              <w:rPr>
                <w:sz w:val="24"/>
              </w:rPr>
            </w:pPr>
          </w:p>
          <w:p>
            <w:pPr>
              <w:spacing w:line="360" w:lineRule="auto"/>
              <w:ind w:firstLine="4920" w:firstLineChars="2050"/>
              <w:rPr>
                <w:sz w:val="24"/>
              </w:rPr>
            </w:pPr>
            <w:r>
              <w:rPr>
                <w:sz w:val="24"/>
              </w:rPr>
              <w:t>年月日</w:t>
            </w:r>
          </w:p>
        </w:tc>
      </w:tr>
    </w:tbl>
    <w:p>
      <w:pPr>
        <w:spacing w:line="360" w:lineRule="auto"/>
        <w:jc w:val="left"/>
        <w:rPr>
          <w:rFonts w:ascii="方正仿宋_GBK" w:hAnsi="仿宋_GB2312" w:eastAsia="方正仿宋_GBK" w:cs="仿宋_GB2312"/>
          <w:bCs/>
          <w:kern w:val="0"/>
          <w:sz w:val="28"/>
          <w:szCs w:val="28"/>
        </w:rPr>
      </w:pPr>
    </w:p>
    <w:sectPr>
      <w:footerReference r:id="rId5" w:type="default"/>
      <w:pgSz w:w="11906" w:h="16838"/>
      <w:pgMar w:top="1701" w:right="1418" w:bottom="1701"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535"/>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7788063"/>
    </w:sdtPr>
    <w:sdtContent>
      <w:p>
        <w:pPr>
          <w:pStyle w:val="7"/>
          <w:jc w:val="center"/>
        </w:pPr>
        <w:r>
          <w:fldChar w:fldCharType="begin"/>
        </w:r>
        <w:r>
          <w:instrText xml:space="preserve"> PAGE   \* MERGEFORMAT </w:instrText>
        </w:r>
        <w:r>
          <w:fldChar w:fldCharType="separate"/>
        </w:r>
        <w:r>
          <w:rPr>
            <w:lang w:val="zh-CN"/>
          </w:rPr>
          <w:t>11</w:t>
        </w:r>
        <w:r>
          <w:rPr>
            <w:lang w:val="zh-CN"/>
          </w:rPr>
          <w:fldChar w:fldCharType="end"/>
        </w:r>
      </w:p>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3908A3"/>
    <w:multiLevelType w:val="singleLevel"/>
    <w:tmpl w:val="2C3908A3"/>
    <w:lvl w:ilvl="0" w:tentative="0">
      <w:start w:val="2"/>
      <w:numFmt w:val="decimal"/>
      <w:suff w:val="nothing"/>
      <w:lvlText w:val="%1、"/>
      <w:lvlJc w:val="left"/>
    </w:lvl>
  </w:abstractNum>
  <w:abstractNum w:abstractNumId="1">
    <w:nsid w:val="6D3B9006"/>
    <w:multiLevelType w:val="singleLevel"/>
    <w:tmpl w:val="6D3B9006"/>
    <w:lvl w:ilvl="0" w:tentative="0">
      <w:start w:val="1"/>
      <w:numFmt w:val="decimal"/>
      <w:suff w:val="nothing"/>
      <w:lvlText w:val="%1、"/>
      <w:lvlJc w:val="left"/>
    </w:lvl>
  </w:abstractNum>
  <w:abstractNum w:abstractNumId="2">
    <w:nsid w:val="6F1E2D1F"/>
    <w:multiLevelType w:val="multilevel"/>
    <w:tmpl w:val="6F1E2D1F"/>
    <w:lvl w:ilvl="0" w:tentative="0">
      <w:start w:val="1"/>
      <w:numFmt w:val="decimal"/>
      <w:lvlText w:val="%1、"/>
      <w:lvlJc w:val="left"/>
      <w:pPr>
        <w:ind w:left="360" w:hanging="360"/>
      </w:pPr>
      <w:rPr>
        <w:rFonts w:ascii="方正仿宋_GBK" w:hAnsi="宋体" w:eastAsia="方正仿宋_GBK" w:cs="Times New Roman"/>
        <w:color w:val="000000" w:themeColor="text1"/>
        <w14:textFill>
          <w14:solidFill>
            <w14:schemeClr w14:val="tx1"/>
          </w14:solidFill>
        </w14:textFil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2ZjY3M2FjYjc4OTgxODdmNjhmOGNlOTg5ZDlkM2QifQ=="/>
    <w:docVar w:name="KGWebUrl" w:val="http://10.106.1.2:8091/seeyon/officeservlet"/>
  </w:docVars>
  <w:rsids>
    <w:rsidRoot w:val="70F65CA1"/>
    <w:rsid w:val="000034FA"/>
    <w:rsid w:val="00006016"/>
    <w:rsid w:val="00011C80"/>
    <w:rsid w:val="00011D11"/>
    <w:rsid w:val="000141D6"/>
    <w:rsid w:val="00024FC5"/>
    <w:rsid w:val="000304DA"/>
    <w:rsid w:val="00031CD5"/>
    <w:rsid w:val="00035439"/>
    <w:rsid w:val="00043A5E"/>
    <w:rsid w:val="00044ADB"/>
    <w:rsid w:val="00063820"/>
    <w:rsid w:val="00063AB1"/>
    <w:rsid w:val="0006468E"/>
    <w:rsid w:val="00064AAC"/>
    <w:rsid w:val="00072479"/>
    <w:rsid w:val="00075BE9"/>
    <w:rsid w:val="0007768C"/>
    <w:rsid w:val="00087D36"/>
    <w:rsid w:val="00090BB2"/>
    <w:rsid w:val="00092D06"/>
    <w:rsid w:val="00094BAB"/>
    <w:rsid w:val="00096271"/>
    <w:rsid w:val="00096FB6"/>
    <w:rsid w:val="000A3DB7"/>
    <w:rsid w:val="000A3FFA"/>
    <w:rsid w:val="000A6245"/>
    <w:rsid w:val="000A6EEC"/>
    <w:rsid w:val="000C5576"/>
    <w:rsid w:val="000C5843"/>
    <w:rsid w:val="000C7808"/>
    <w:rsid w:val="000D0A1D"/>
    <w:rsid w:val="000D621F"/>
    <w:rsid w:val="000E0B4E"/>
    <w:rsid w:val="000E79B1"/>
    <w:rsid w:val="000F25B4"/>
    <w:rsid w:val="000F329C"/>
    <w:rsid w:val="00105AB7"/>
    <w:rsid w:val="0010615A"/>
    <w:rsid w:val="001162D4"/>
    <w:rsid w:val="00116AB7"/>
    <w:rsid w:val="00117131"/>
    <w:rsid w:val="001320C7"/>
    <w:rsid w:val="0013535A"/>
    <w:rsid w:val="00142B8C"/>
    <w:rsid w:val="00150080"/>
    <w:rsid w:val="001531A1"/>
    <w:rsid w:val="001541FE"/>
    <w:rsid w:val="001556BC"/>
    <w:rsid w:val="00156B04"/>
    <w:rsid w:val="001574D7"/>
    <w:rsid w:val="00164E89"/>
    <w:rsid w:val="00166737"/>
    <w:rsid w:val="00172FF5"/>
    <w:rsid w:val="00181EDF"/>
    <w:rsid w:val="00187755"/>
    <w:rsid w:val="00187F37"/>
    <w:rsid w:val="00190DF9"/>
    <w:rsid w:val="0019232E"/>
    <w:rsid w:val="0019481F"/>
    <w:rsid w:val="00194A57"/>
    <w:rsid w:val="00195355"/>
    <w:rsid w:val="00195D27"/>
    <w:rsid w:val="0019680D"/>
    <w:rsid w:val="001A0CD3"/>
    <w:rsid w:val="001A55ED"/>
    <w:rsid w:val="001A6D89"/>
    <w:rsid w:val="001B0521"/>
    <w:rsid w:val="001B1D01"/>
    <w:rsid w:val="001B4180"/>
    <w:rsid w:val="001B5FE4"/>
    <w:rsid w:val="001B6669"/>
    <w:rsid w:val="001D2C08"/>
    <w:rsid w:val="001D637A"/>
    <w:rsid w:val="001E0258"/>
    <w:rsid w:val="001E42BA"/>
    <w:rsid w:val="00201BF7"/>
    <w:rsid w:val="00203966"/>
    <w:rsid w:val="002071AD"/>
    <w:rsid w:val="00207D90"/>
    <w:rsid w:val="00211938"/>
    <w:rsid w:val="002130FB"/>
    <w:rsid w:val="00232F97"/>
    <w:rsid w:val="00241652"/>
    <w:rsid w:val="00241743"/>
    <w:rsid w:val="002432A9"/>
    <w:rsid w:val="00252A47"/>
    <w:rsid w:val="0025407F"/>
    <w:rsid w:val="00254661"/>
    <w:rsid w:val="002555BE"/>
    <w:rsid w:val="00255E23"/>
    <w:rsid w:val="00260776"/>
    <w:rsid w:val="00263175"/>
    <w:rsid w:val="00263AC0"/>
    <w:rsid w:val="002676FD"/>
    <w:rsid w:val="00267DD7"/>
    <w:rsid w:val="00272BD4"/>
    <w:rsid w:val="00273207"/>
    <w:rsid w:val="0029278C"/>
    <w:rsid w:val="002A27D8"/>
    <w:rsid w:val="002A3DFC"/>
    <w:rsid w:val="002A4FE9"/>
    <w:rsid w:val="002B3BE5"/>
    <w:rsid w:val="002B5822"/>
    <w:rsid w:val="002B7768"/>
    <w:rsid w:val="002D0EE5"/>
    <w:rsid w:val="002D1FBB"/>
    <w:rsid w:val="002D29EC"/>
    <w:rsid w:val="002E6347"/>
    <w:rsid w:val="002E7CFD"/>
    <w:rsid w:val="0030262F"/>
    <w:rsid w:val="003041B8"/>
    <w:rsid w:val="00304B2D"/>
    <w:rsid w:val="00304CFD"/>
    <w:rsid w:val="0030693E"/>
    <w:rsid w:val="00311986"/>
    <w:rsid w:val="0031331A"/>
    <w:rsid w:val="003258A5"/>
    <w:rsid w:val="003319DD"/>
    <w:rsid w:val="00333B36"/>
    <w:rsid w:val="00335A0E"/>
    <w:rsid w:val="003430A6"/>
    <w:rsid w:val="00345AEF"/>
    <w:rsid w:val="003474F6"/>
    <w:rsid w:val="0035253D"/>
    <w:rsid w:val="003542A8"/>
    <w:rsid w:val="00362B1C"/>
    <w:rsid w:val="00375B2E"/>
    <w:rsid w:val="00376357"/>
    <w:rsid w:val="00384D24"/>
    <w:rsid w:val="00387CFA"/>
    <w:rsid w:val="003A38D5"/>
    <w:rsid w:val="003A6181"/>
    <w:rsid w:val="003B3F70"/>
    <w:rsid w:val="003C0A4A"/>
    <w:rsid w:val="003C392A"/>
    <w:rsid w:val="003C5075"/>
    <w:rsid w:val="003D5415"/>
    <w:rsid w:val="003E1976"/>
    <w:rsid w:val="003E7B63"/>
    <w:rsid w:val="003F26FF"/>
    <w:rsid w:val="003F7CF1"/>
    <w:rsid w:val="0040153F"/>
    <w:rsid w:val="00402F51"/>
    <w:rsid w:val="00403A27"/>
    <w:rsid w:val="00404200"/>
    <w:rsid w:val="0040484C"/>
    <w:rsid w:val="004052F6"/>
    <w:rsid w:val="004101A0"/>
    <w:rsid w:val="0041099D"/>
    <w:rsid w:val="00410B04"/>
    <w:rsid w:val="00414EBD"/>
    <w:rsid w:val="00417396"/>
    <w:rsid w:val="00420A74"/>
    <w:rsid w:val="00427F57"/>
    <w:rsid w:val="004307CB"/>
    <w:rsid w:val="004416D3"/>
    <w:rsid w:val="00444F92"/>
    <w:rsid w:val="00462B80"/>
    <w:rsid w:val="00462C5A"/>
    <w:rsid w:val="00466D3C"/>
    <w:rsid w:val="00467F71"/>
    <w:rsid w:val="00471529"/>
    <w:rsid w:val="00475F59"/>
    <w:rsid w:val="00484170"/>
    <w:rsid w:val="004959B4"/>
    <w:rsid w:val="00497968"/>
    <w:rsid w:val="004A156F"/>
    <w:rsid w:val="004A6C2C"/>
    <w:rsid w:val="004B2F80"/>
    <w:rsid w:val="004B3AC2"/>
    <w:rsid w:val="004B5BDE"/>
    <w:rsid w:val="004C1641"/>
    <w:rsid w:val="004C2016"/>
    <w:rsid w:val="004C447D"/>
    <w:rsid w:val="004C582F"/>
    <w:rsid w:val="004C7025"/>
    <w:rsid w:val="004C782E"/>
    <w:rsid w:val="004D5676"/>
    <w:rsid w:val="004E13E9"/>
    <w:rsid w:val="004E4CA7"/>
    <w:rsid w:val="004E65EB"/>
    <w:rsid w:val="004E7EA9"/>
    <w:rsid w:val="004F4D07"/>
    <w:rsid w:val="005024C7"/>
    <w:rsid w:val="00502F4E"/>
    <w:rsid w:val="00512F28"/>
    <w:rsid w:val="00513D6D"/>
    <w:rsid w:val="00516212"/>
    <w:rsid w:val="005172F4"/>
    <w:rsid w:val="00520D09"/>
    <w:rsid w:val="00530795"/>
    <w:rsid w:val="00531677"/>
    <w:rsid w:val="0053260D"/>
    <w:rsid w:val="005343E2"/>
    <w:rsid w:val="00535C60"/>
    <w:rsid w:val="0053648F"/>
    <w:rsid w:val="00550DB3"/>
    <w:rsid w:val="00551C44"/>
    <w:rsid w:val="00554E7A"/>
    <w:rsid w:val="005644B0"/>
    <w:rsid w:val="005834F8"/>
    <w:rsid w:val="00585355"/>
    <w:rsid w:val="005939D4"/>
    <w:rsid w:val="0059550F"/>
    <w:rsid w:val="005A45FE"/>
    <w:rsid w:val="005B20DB"/>
    <w:rsid w:val="005B26AD"/>
    <w:rsid w:val="005B3F32"/>
    <w:rsid w:val="005C629E"/>
    <w:rsid w:val="005D1A74"/>
    <w:rsid w:val="005D37DF"/>
    <w:rsid w:val="005D4F76"/>
    <w:rsid w:val="005D6767"/>
    <w:rsid w:val="005D6AF7"/>
    <w:rsid w:val="005F2B4C"/>
    <w:rsid w:val="005F6299"/>
    <w:rsid w:val="005F6D34"/>
    <w:rsid w:val="0060178A"/>
    <w:rsid w:val="00602079"/>
    <w:rsid w:val="00612016"/>
    <w:rsid w:val="006130D5"/>
    <w:rsid w:val="00613B99"/>
    <w:rsid w:val="00622D31"/>
    <w:rsid w:val="00623048"/>
    <w:rsid w:val="00633A64"/>
    <w:rsid w:val="00637577"/>
    <w:rsid w:val="0064028F"/>
    <w:rsid w:val="006417B3"/>
    <w:rsid w:val="00641933"/>
    <w:rsid w:val="00643D13"/>
    <w:rsid w:val="00646516"/>
    <w:rsid w:val="006538FE"/>
    <w:rsid w:val="006554EF"/>
    <w:rsid w:val="00664774"/>
    <w:rsid w:val="006720B1"/>
    <w:rsid w:val="00675838"/>
    <w:rsid w:val="00680E4C"/>
    <w:rsid w:val="00681010"/>
    <w:rsid w:val="00682FD5"/>
    <w:rsid w:val="0068314E"/>
    <w:rsid w:val="006847D9"/>
    <w:rsid w:val="0068673B"/>
    <w:rsid w:val="0069368B"/>
    <w:rsid w:val="006A29BE"/>
    <w:rsid w:val="006A3215"/>
    <w:rsid w:val="006B0567"/>
    <w:rsid w:val="006B6F2D"/>
    <w:rsid w:val="006D48DC"/>
    <w:rsid w:val="006E0285"/>
    <w:rsid w:val="006E1C83"/>
    <w:rsid w:val="006E4554"/>
    <w:rsid w:val="007009EB"/>
    <w:rsid w:val="00700B4D"/>
    <w:rsid w:val="007015C0"/>
    <w:rsid w:val="00707723"/>
    <w:rsid w:val="00710249"/>
    <w:rsid w:val="0071150B"/>
    <w:rsid w:val="0071275F"/>
    <w:rsid w:val="0071324F"/>
    <w:rsid w:val="007137CB"/>
    <w:rsid w:val="007147BF"/>
    <w:rsid w:val="00714CF1"/>
    <w:rsid w:val="007275CD"/>
    <w:rsid w:val="00727D77"/>
    <w:rsid w:val="0073118B"/>
    <w:rsid w:val="00731643"/>
    <w:rsid w:val="0073237D"/>
    <w:rsid w:val="00732689"/>
    <w:rsid w:val="0073446A"/>
    <w:rsid w:val="00737932"/>
    <w:rsid w:val="00740F95"/>
    <w:rsid w:val="00741261"/>
    <w:rsid w:val="007414CC"/>
    <w:rsid w:val="007418E0"/>
    <w:rsid w:val="00742DD9"/>
    <w:rsid w:val="0074343D"/>
    <w:rsid w:val="00746D58"/>
    <w:rsid w:val="00747CBB"/>
    <w:rsid w:val="00750CD0"/>
    <w:rsid w:val="007525E3"/>
    <w:rsid w:val="007541F9"/>
    <w:rsid w:val="00764439"/>
    <w:rsid w:val="0076497D"/>
    <w:rsid w:val="00770031"/>
    <w:rsid w:val="007703DA"/>
    <w:rsid w:val="0077185C"/>
    <w:rsid w:val="0077433D"/>
    <w:rsid w:val="007819C8"/>
    <w:rsid w:val="00782ED6"/>
    <w:rsid w:val="00785906"/>
    <w:rsid w:val="0078658E"/>
    <w:rsid w:val="00786D48"/>
    <w:rsid w:val="0079145C"/>
    <w:rsid w:val="00793383"/>
    <w:rsid w:val="007946FA"/>
    <w:rsid w:val="007A533B"/>
    <w:rsid w:val="007B030F"/>
    <w:rsid w:val="007B0732"/>
    <w:rsid w:val="007B37C5"/>
    <w:rsid w:val="007B7015"/>
    <w:rsid w:val="007C1F57"/>
    <w:rsid w:val="007D257C"/>
    <w:rsid w:val="007D713C"/>
    <w:rsid w:val="007E141E"/>
    <w:rsid w:val="007E1718"/>
    <w:rsid w:val="007E1AA8"/>
    <w:rsid w:val="007E200A"/>
    <w:rsid w:val="007F7CD9"/>
    <w:rsid w:val="0080615E"/>
    <w:rsid w:val="00806A0B"/>
    <w:rsid w:val="00812E29"/>
    <w:rsid w:val="00815AC4"/>
    <w:rsid w:val="00824913"/>
    <w:rsid w:val="008256AD"/>
    <w:rsid w:val="0083192B"/>
    <w:rsid w:val="00831A6F"/>
    <w:rsid w:val="00832131"/>
    <w:rsid w:val="008331CA"/>
    <w:rsid w:val="008371EB"/>
    <w:rsid w:val="008457EF"/>
    <w:rsid w:val="00845E43"/>
    <w:rsid w:val="00845E4B"/>
    <w:rsid w:val="0085237D"/>
    <w:rsid w:val="00855196"/>
    <w:rsid w:val="0085685F"/>
    <w:rsid w:val="00866467"/>
    <w:rsid w:val="008721DF"/>
    <w:rsid w:val="00875B42"/>
    <w:rsid w:val="008766E9"/>
    <w:rsid w:val="0088148A"/>
    <w:rsid w:val="00895D1B"/>
    <w:rsid w:val="0089621D"/>
    <w:rsid w:val="00897D02"/>
    <w:rsid w:val="008A0576"/>
    <w:rsid w:val="008A2250"/>
    <w:rsid w:val="008A2EBA"/>
    <w:rsid w:val="008A4682"/>
    <w:rsid w:val="008A7FE0"/>
    <w:rsid w:val="008B09F1"/>
    <w:rsid w:val="008B3D4A"/>
    <w:rsid w:val="008B536D"/>
    <w:rsid w:val="008B58B7"/>
    <w:rsid w:val="008C095D"/>
    <w:rsid w:val="008C0A60"/>
    <w:rsid w:val="008C2608"/>
    <w:rsid w:val="008C5ECF"/>
    <w:rsid w:val="008C67C2"/>
    <w:rsid w:val="008D31B9"/>
    <w:rsid w:val="008E13AB"/>
    <w:rsid w:val="008E2E46"/>
    <w:rsid w:val="008E644F"/>
    <w:rsid w:val="008E65A0"/>
    <w:rsid w:val="008E6DA5"/>
    <w:rsid w:val="008F1299"/>
    <w:rsid w:val="008F1E57"/>
    <w:rsid w:val="008F55C5"/>
    <w:rsid w:val="008F7FC0"/>
    <w:rsid w:val="0091481F"/>
    <w:rsid w:val="00915FF5"/>
    <w:rsid w:val="00923524"/>
    <w:rsid w:val="00927D65"/>
    <w:rsid w:val="00941012"/>
    <w:rsid w:val="00941CA3"/>
    <w:rsid w:val="00942E3F"/>
    <w:rsid w:val="00943DCE"/>
    <w:rsid w:val="009445C8"/>
    <w:rsid w:val="00946394"/>
    <w:rsid w:val="00946FB4"/>
    <w:rsid w:val="00951E03"/>
    <w:rsid w:val="009579E2"/>
    <w:rsid w:val="00970213"/>
    <w:rsid w:val="00970F76"/>
    <w:rsid w:val="00971C5E"/>
    <w:rsid w:val="009723CE"/>
    <w:rsid w:val="00974540"/>
    <w:rsid w:val="00981451"/>
    <w:rsid w:val="00983F99"/>
    <w:rsid w:val="00986217"/>
    <w:rsid w:val="009A2415"/>
    <w:rsid w:val="009A404E"/>
    <w:rsid w:val="009B3428"/>
    <w:rsid w:val="009B3718"/>
    <w:rsid w:val="009B634C"/>
    <w:rsid w:val="009C42E6"/>
    <w:rsid w:val="009C5978"/>
    <w:rsid w:val="009C71D3"/>
    <w:rsid w:val="009D0CAE"/>
    <w:rsid w:val="009D16B7"/>
    <w:rsid w:val="009E3DFE"/>
    <w:rsid w:val="009E5926"/>
    <w:rsid w:val="009E7471"/>
    <w:rsid w:val="00A031D4"/>
    <w:rsid w:val="00A05051"/>
    <w:rsid w:val="00A07811"/>
    <w:rsid w:val="00A20CD6"/>
    <w:rsid w:val="00A222CD"/>
    <w:rsid w:val="00A26A9C"/>
    <w:rsid w:val="00A27B18"/>
    <w:rsid w:val="00A41F6F"/>
    <w:rsid w:val="00A4273C"/>
    <w:rsid w:val="00A608CA"/>
    <w:rsid w:val="00A67841"/>
    <w:rsid w:val="00A70788"/>
    <w:rsid w:val="00A71A1E"/>
    <w:rsid w:val="00A82694"/>
    <w:rsid w:val="00A90126"/>
    <w:rsid w:val="00A91509"/>
    <w:rsid w:val="00A91809"/>
    <w:rsid w:val="00A9623E"/>
    <w:rsid w:val="00AB0AD5"/>
    <w:rsid w:val="00AB281E"/>
    <w:rsid w:val="00AB6AB6"/>
    <w:rsid w:val="00AC39EB"/>
    <w:rsid w:val="00AC4490"/>
    <w:rsid w:val="00AC4F24"/>
    <w:rsid w:val="00AC59F4"/>
    <w:rsid w:val="00AD77E5"/>
    <w:rsid w:val="00AE1898"/>
    <w:rsid w:val="00AE458D"/>
    <w:rsid w:val="00AE55EE"/>
    <w:rsid w:val="00AF6C06"/>
    <w:rsid w:val="00B002F6"/>
    <w:rsid w:val="00B00BD4"/>
    <w:rsid w:val="00B00EA8"/>
    <w:rsid w:val="00B010B6"/>
    <w:rsid w:val="00B04BCA"/>
    <w:rsid w:val="00B06E23"/>
    <w:rsid w:val="00B116A0"/>
    <w:rsid w:val="00B15BCA"/>
    <w:rsid w:val="00B20A2B"/>
    <w:rsid w:val="00B267B0"/>
    <w:rsid w:val="00B32A33"/>
    <w:rsid w:val="00B35CE6"/>
    <w:rsid w:val="00B37482"/>
    <w:rsid w:val="00B403E4"/>
    <w:rsid w:val="00B4110F"/>
    <w:rsid w:val="00B44A11"/>
    <w:rsid w:val="00B44D8E"/>
    <w:rsid w:val="00B46C87"/>
    <w:rsid w:val="00B54123"/>
    <w:rsid w:val="00B627A2"/>
    <w:rsid w:val="00B65936"/>
    <w:rsid w:val="00B7785A"/>
    <w:rsid w:val="00B81E85"/>
    <w:rsid w:val="00B8515E"/>
    <w:rsid w:val="00B855B1"/>
    <w:rsid w:val="00B85EEF"/>
    <w:rsid w:val="00B97236"/>
    <w:rsid w:val="00BB3F62"/>
    <w:rsid w:val="00BC6C72"/>
    <w:rsid w:val="00BD0220"/>
    <w:rsid w:val="00BD1E6A"/>
    <w:rsid w:val="00BD6EBE"/>
    <w:rsid w:val="00BE2A7D"/>
    <w:rsid w:val="00BE7C96"/>
    <w:rsid w:val="00BF36C2"/>
    <w:rsid w:val="00C11288"/>
    <w:rsid w:val="00C11E45"/>
    <w:rsid w:val="00C1557B"/>
    <w:rsid w:val="00C17770"/>
    <w:rsid w:val="00C200ED"/>
    <w:rsid w:val="00C3196A"/>
    <w:rsid w:val="00C36EBF"/>
    <w:rsid w:val="00C453F0"/>
    <w:rsid w:val="00C45C8B"/>
    <w:rsid w:val="00C476F7"/>
    <w:rsid w:val="00C5088B"/>
    <w:rsid w:val="00C5116F"/>
    <w:rsid w:val="00C61BCA"/>
    <w:rsid w:val="00C64DE4"/>
    <w:rsid w:val="00C65E2B"/>
    <w:rsid w:val="00C65E3B"/>
    <w:rsid w:val="00C67688"/>
    <w:rsid w:val="00C7330A"/>
    <w:rsid w:val="00C73FD3"/>
    <w:rsid w:val="00C7575B"/>
    <w:rsid w:val="00C7764E"/>
    <w:rsid w:val="00C84F6F"/>
    <w:rsid w:val="00C94391"/>
    <w:rsid w:val="00C95E5F"/>
    <w:rsid w:val="00CA03B4"/>
    <w:rsid w:val="00CA2F8C"/>
    <w:rsid w:val="00CA46D6"/>
    <w:rsid w:val="00CB056E"/>
    <w:rsid w:val="00CB5DBE"/>
    <w:rsid w:val="00CB6967"/>
    <w:rsid w:val="00CB7228"/>
    <w:rsid w:val="00CC0CC6"/>
    <w:rsid w:val="00CC1877"/>
    <w:rsid w:val="00CC1CBF"/>
    <w:rsid w:val="00CC55D7"/>
    <w:rsid w:val="00CD0DD6"/>
    <w:rsid w:val="00CD169A"/>
    <w:rsid w:val="00CD5FC3"/>
    <w:rsid w:val="00CD66C0"/>
    <w:rsid w:val="00CD6BEE"/>
    <w:rsid w:val="00CE15A6"/>
    <w:rsid w:val="00CE56FD"/>
    <w:rsid w:val="00CE69A4"/>
    <w:rsid w:val="00CF4851"/>
    <w:rsid w:val="00CF7222"/>
    <w:rsid w:val="00CF7848"/>
    <w:rsid w:val="00D00303"/>
    <w:rsid w:val="00D0540E"/>
    <w:rsid w:val="00D11F9D"/>
    <w:rsid w:val="00D1216E"/>
    <w:rsid w:val="00D40078"/>
    <w:rsid w:val="00D40559"/>
    <w:rsid w:val="00D43E81"/>
    <w:rsid w:val="00D55272"/>
    <w:rsid w:val="00D55AB2"/>
    <w:rsid w:val="00D60795"/>
    <w:rsid w:val="00D61689"/>
    <w:rsid w:val="00D61F60"/>
    <w:rsid w:val="00D625CC"/>
    <w:rsid w:val="00D62D00"/>
    <w:rsid w:val="00D662EF"/>
    <w:rsid w:val="00D72C10"/>
    <w:rsid w:val="00D74E83"/>
    <w:rsid w:val="00D76848"/>
    <w:rsid w:val="00D77DC1"/>
    <w:rsid w:val="00D80879"/>
    <w:rsid w:val="00D824BF"/>
    <w:rsid w:val="00D84AFB"/>
    <w:rsid w:val="00D92A35"/>
    <w:rsid w:val="00DA48AC"/>
    <w:rsid w:val="00DC5D05"/>
    <w:rsid w:val="00DE07A1"/>
    <w:rsid w:val="00DE5A73"/>
    <w:rsid w:val="00DF0B8E"/>
    <w:rsid w:val="00DF2153"/>
    <w:rsid w:val="00DF53A6"/>
    <w:rsid w:val="00DF7117"/>
    <w:rsid w:val="00E00898"/>
    <w:rsid w:val="00E030AC"/>
    <w:rsid w:val="00E05E2B"/>
    <w:rsid w:val="00E07D65"/>
    <w:rsid w:val="00E07FEE"/>
    <w:rsid w:val="00E1024A"/>
    <w:rsid w:val="00E108A1"/>
    <w:rsid w:val="00E1356C"/>
    <w:rsid w:val="00E13883"/>
    <w:rsid w:val="00E13BAD"/>
    <w:rsid w:val="00E159AB"/>
    <w:rsid w:val="00E161CE"/>
    <w:rsid w:val="00E21840"/>
    <w:rsid w:val="00E311D5"/>
    <w:rsid w:val="00E443A4"/>
    <w:rsid w:val="00E459A3"/>
    <w:rsid w:val="00E465DB"/>
    <w:rsid w:val="00E524E6"/>
    <w:rsid w:val="00E5478F"/>
    <w:rsid w:val="00E66216"/>
    <w:rsid w:val="00E66BE0"/>
    <w:rsid w:val="00E72F70"/>
    <w:rsid w:val="00E75A80"/>
    <w:rsid w:val="00E76543"/>
    <w:rsid w:val="00E77118"/>
    <w:rsid w:val="00E831E7"/>
    <w:rsid w:val="00E9515C"/>
    <w:rsid w:val="00EA677C"/>
    <w:rsid w:val="00EB4179"/>
    <w:rsid w:val="00EB482A"/>
    <w:rsid w:val="00EB59A3"/>
    <w:rsid w:val="00EC2E25"/>
    <w:rsid w:val="00EC2EAF"/>
    <w:rsid w:val="00ED2EC9"/>
    <w:rsid w:val="00ED6B54"/>
    <w:rsid w:val="00EE3A92"/>
    <w:rsid w:val="00EF0A32"/>
    <w:rsid w:val="00EF6DCF"/>
    <w:rsid w:val="00F01856"/>
    <w:rsid w:val="00F01D3D"/>
    <w:rsid w:val="00F05CED"/>
    <w:rsid w:val="00F06DC8"/>
    <w:rsid w:val="00F12043"/>
    <w:rsid w:val="00F1298A"/>
    <w:rsid w:val="00F15225"/>
    <w:rsid w:val="00F215FA"/>
    <w:rsid w:val="00F2535B"/>
    <w:rsid w:val="00F26600"/>
    <w:rsid w:val="00F30D50"/>
    <w:rsid w:val="00F31275"/>
    <w:rsid w:val="00F31A4B"/>
    <w:rsid w:val="00F41204"/>
    <w:rsid w:val="00F52695"/>
    <w:rsid w:val="00F550A8"/>
    <w:rsid w:val="00F556F5"/>
    <w:rsid w:val="00F571F6"/>
    <w:rsid w:val="00F57BFC"/>
    <w:rsid w:val="00F72C2E"/>
    <w:rsid w:val="00F765E5"/>
    <w:rsid w:val="00F8181D"/>
    <w:rsid w:val="00F81BB2"/>
    <w:rsid w:val="00F81C4E"/>
    <w:rsid w:val="00F8235B"/>
    <w:rsid w:val="00F82BA5"/>
    <w:rsid w:val="00F8424E"/>
    <w:rsid w:val="00F94DF7"/>
    <w:rsid w:val="00FA0B1A"/>
    <w:rsid w:val="00FA178E"/>
    <w:rsid w:val="00FA2F3C"/>
    <w:rsid w:val="00FB022B"/>
    <w:rsid w:val="00FB03A5"/>
    <w:rsid w:val="00FB100F"/>
    <w:rsid w:val="00FC0E9F"/>
    <w:rsid w:val="00FD6716"/>
    <w:rsid w:val="00FD6896"/>
    <w:rsid w:val="00FE2B20"/>
    <w:rsid w:val="00FE5D3C"/>
    <w:rsid w:val="00FE67A0"/>
    <w:rsid w:val="00FF7B37"/>
    <w:rsid w:val="010434B3"/>
    <w:rsid w:val="01155226"/>
    <w:rsid w:val="02D76FBF"/>
    <w:rsid w:val="046D3A3C"/>
    <w:rsid w:val="048D5B7E"/>
    <w:rsid w:val="04CD134A"/>
    <w:rsid w:val="05380A21"/>
    <w:rsid w:val="06B805C0"/>
    <w:rsid w:val="06DD6702"/>
    <w:rsid w:val="07AA6DCB"/>
    <w:rsid w:val="093A6D5A"/>
    <w:rsid w:val="0AEA2AFC"/>
    <w:rsid w:val="0D822F64"/>
    <w:rsid w:val="0F4C0C7F"/>
    <w:rsid w:val="10761262"/>
    <w:rsid w:val="10C33948"/>
    <w:rsid w:val="11157D60"/>
    <w:rsid w:val="125140CC"/>
    <w:rsid w:val="12664E9D"/>
    <w:rsid w:val="145C647E"/>
    <w:rsid w:val="14A91FCD"/>
    <w:rsid w:val="14C75C99"/>
    <w:rsid w:val="16541AF6"/>
    <w:rsid w:val="16D35CCB"/>
    <w:rsid w:val="179F1279"/>
    <w:rsid w:val="196F4F04"/>
    <w:rsid w:val="1E3359C4"/>
    <w:rsid w:val="20820A87"/>
    <w:rsid w:val="2284333A"/>
    <w:rsid w:val="22911416"/>
    <w:rsid w:val="23037CFC"/>
    <w:rsid w:val="231E7CB8"/>
    <w:rsid w:val="233A67E9"/>
    <w:rsid w:val="277041BB"/>
    <w:rsid w:val="28C607A3"/>
    <w:rsid w:val="292A09C3"/>
    <w:rsid w:val="29986FB3"/>
    <w:rsid w:val="2A1C7143"/>
    <w:rsid w:val="2FAE76D2"/>
    <w:rsid w:val="3169678E"/>
    <w:rsid w:val="319A75D5"/>
    <w:rsid w:val="32714825"/>
    <w:rsid w:val="328E4941"/>
    <w:rsid w:val="33B413CB"/>
    <w:rsid w:val="350628AE"/>
    <w:rsid w:val="3D152D95"/>
    <w:rsid w:val="3F372A59"/>
    <w:rsid w:val="41333D9E"/>
    <w:rsid w:val="42756FAE"/>
    <w:rsid w:val="47CB4D90"/>
    <w:rsid w:val="49315256"/>
    <w:rsid w:val="4C9907D5"/>
    <w:rsid w:val="4E020D1D"/>
    <w:rsid w:val="4F3B1489"/>
    <w:rsid w:val="50031CD7"/>
    <w:rsid w:val="501C7F27"/>
    <w:rsid w:val="52C13F60"/>
    <w:rsid w:val="55B72391"/>
    <w:rsid w:val="57B16D6F"/>
    <w:rsid w:val="5830319F"/>
    <w:rsid w:val="5F943243"/>
    <w:rsid w:val="608628CA"/>
    <w:rsid w:val="62F9560E"/>
    <w:rsid w:val="63C32E4E"/>
    <w:rsid w:val="64913C0A"/>
    <w:rsid w:val="69A44EC5"/>
    <w:rsid w:val="6A272285"/>
    <w:rsid w:val="6C0864C9"/>
    <w:rsid w:val="6C7F2742"/>
    <w:rsid w:val="6E8142DC"/>
    <w:rsid w:val="70F65CA1"/>
    <w:rsid w:val="72066607"/>
    <w:rsid w:val="7241336A"/>
    <w:rsid w:val="72F42318"/>
    <w:rsid w:val="7658762A"/>
    <w:rsid w:val="76C479DA"/>
    <w:rsid w:val="76D22A62"/>
    <w:rsid w:val="78E85741"/>
    <w:rsid w:val="7A195039"/>
    <w:rsid w:val="7D3310F2"/>
    <w:rsid w:val="7EB563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link w:val="17"/>
    <w:unhideWhenUsed/>
    <w:qFormat/>
    <w:uiPriority w:val="9"/>
    <w:pPr>
      <w:autoSpaceDE w:val="0"/>
      <w:autoSpaceDN w:val="0"/>
      <w:adjustRightInd w:val="0"/>
      <w:spacing w:before="16"/>
      <w:jc w:val="left"/>
      <w:outlineLvl w:val="2"/>
    </w:pPr>
    <w:rPr>
      <w:rFonts w:ascii="仿宋_GB2312" w:eastAsia="仿宋_GB2312"/>
      <w:b/>
      <w:sz w:val="2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9"/>
    <w:qFormat/>
    <w:uiPriority w:val="0"/>
    <w:pPr>
      <w:spacing w:before="240" w:after="60"/>
      <w:jc w:val="center"/>
      <w:outlineLvl w:val="0"/>
    </w:pPr>
    <w:rPr>
      <w:rFonts w:ascii="Cambria" w:hAnsi="Cambria"/>
      <w:b/>
      <w:bCs/>
      <w:sz w:val="32"/>
      <w:szCs w:val="32"/>
    </w:rPr>
  </w:style>
  <w:style w:type="paragraph" w:styleId="4">
    <w:name w:val="annotation text"/>
    <w:basedOn w:val="1"/>
    <w:link w:val="21"/>
    <w:qFormat/>
    <w:uiPriority w:val="0"/>
    <w:pPr>
      <w:jc w:val="left"/>
    </w:pPr>
  </w:style>
  <w:style w:type="paragraph" w:styleId="5">
    <w:name w:val="Body Text"/>
    <w:basedOn w:val="1"/>
    <w:qFormat/>
    <w:uiPriority w:val="0"/>
  </w:style>
  <w:style w:type="paragraph" w:styleId="6">
    <w:name w:val="Balloon Text"/>
    <w:basedOn w:val="1"/>
    <w:link w:val="15"/>
    <w:qFormat/>
    <w:uiPriority w:val="0"/>
    <w:rPr>
      <w:sz w:val="18"/>
      <w:szCs w:val="18"/>
    </w:rPr>
  </w:style>
  <w:style w:type="paragraph" w:styleId="7">
    <w:name w:val="footer"/>
    <w:basedOn w:val="1"/>
    <w:link w:val="14"/>
    <w:qFormat/>
    <w:uiPriority w:val="0"/>
    <w:pPr>
      <w:tabs>
        <w:tab w:val="center" w:pos="4153"/>
        <w:tab w:val="right" w:pos="8306"/>
      </w:tabs>
      <w:snapToGrid w:val="0"/>
      <w:jc w:val="left"/>
    </w:pPr>
    <w:rPr>
      <w:sz w:val="18"/>
      <w:szCs w:val="18"/>
    </w:rPr>
  </w:style>
  <w:style w:type="paragraph" w:styleId="8">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annotation reference"/>
    <w:basedOn w:val="11"/>
    <w:qFormat/>
    <w:uiPriority w:val="0"/>
    <w:rPr>
      <w:sz w:val="21"/>
      <w:szCs w:val="21"/>
    </w:rPr>
  </w:style>
  <w:style w:type="character" w:customStyle="1" w:styleId="13">
    <w:name w:val="页眉 Char"/>
    <w:basedOn w:val="11"/>
    <w:link w:val="8"/>
    <w:qFormat/>
    <w:uiPriority w:val="0"/>
    <w:rPr>
      <w:kern w:val="2"/>
      <w:sz w:val="18"/>
      <w:szCs w:val="18"/>
    </w:rPr>
  </w:style>
  <w:style w:type="character" w:customStyle="1" w:styleId="14">
    <w:name w:val="页脚 Char"/>
    <w:basedOn w:val="11"/>
    <w:link w:val="7"/>
    <w:qFormat/>
    <w:uiPriority w:val="0"/>
    <w:rPr>
      <w:kern w:val="2"/>
      <w:sz w:val="18"/>
      <w:szCs w:val="18"/>
    </w:rPr>
  </w:style>
  <w:style w:type="character" w:customStyle="1" w:styleId="15">
    <w:name w:val="批注框文本 Char"/>
    <w:basedOn w:val="11"/>
    <w:link w:val="6"/>
    <w:qFormat/>
    <w:uiPriority w:val="0"/>
    <w:rPr>
      <w:kern w:val="2"/>
      <w:sz w:val="18"/>
      <w:szCs w:val="18"/>
    </w:rPr>
  </w:style>
  <w:style w:type="paragraph" w:customStyle="1" w:styleId="16">
    <w:name w:val="列出段落1"/>
    <w:basedOn w:val="1"/>
    <w:qFormat/>
    <w:uiPriority w:val="99"/>
    <w:pPr>
      <w:ind w:firstLine="420" w:firstLineChars="200"/>
    </w:pPr>
  </w:style>
  <w:style w:type="character" w:customStyle="1" w:styleId="17">
    <w:name w:val="标题 3 Char"/>
    <w:basedOn w:val="11"/>
    <w:link w:val="3"/>
    <w:qFormat/>
    <w:uiPriority w:val="9"/>
    <w:rPr>
      <w:rFonts w:ascii="仿宋_GB2312" w:eastAsia="仿宋_GB2312"/>
      <w:b/>
      <w:kern w:val="2"/>
      <w:sz w:val="24"/>
    </w:rPr>
  </w:style>
  <w:style w:type="character" w:customStyle="1" w:styleId="18">
    <w:name w:val="标题 Char"/>
    <w:link w:val="2"/>
    <w:qFormat/>
    <w:uiPriority w:val="0"/>
    <w:rPr>
      <w:rFonts w:ascii="Cambria" w:hAnsi="Cambria"/>
      <w:b/>
      <w:bCs/>
      <w:kern w:val="2"/>
      <w:sz w:val="32"/>
      <w:szCs w:val="32"/>
    </w:rPr>
  </w:style>
  <w:style w:type="character" w:customStyle="1" w:styleId="19">
    <w:name w:val="标题 Char1"/>
    <w:basedOn w:val="11"/>
    <w:link w:val="2"/>
    <w:qFormat/>
    <w:uiPriority w:val="0"/>
    <w:rPr>
      <w:rFonts w:asciiTheme="majorHAnsi" w:hAnsiTheme="majorHAnsi" w:cstheme="majorBidi"/>
      <w:b/>
      <w:bCs/>
      <w:kern w:val="2"/>
      <w:sz w:val="32"/>
      <w:szCs w:val="32"/>
    </w:rPr>
  </w:style>
  <w:style w:type="paragraph" w:customStyle="1" w:styleId="20">
    <w:name w:val="列出段落2"/>
    <w:basedOn w:val="1"/>
    <w:unhideWhenUsed/>
    <w:qFormat/>
    <w:uiPriority w:val="99"/>
    <w:pPr>
      <w:ind w:firstLine="420" w:firstLineChars="200"/>
    </w:pPr>
  </w:style>
  <w:style w:type="character" w:customStyle="1" w:styleId="21">
    <w:name w:val="批注文字 Char"/>
    <w:basedOn w:val="11"/>
    <w:link w:val="4"/>
    <w:qFormat/>
    <w:uiPriority w:val="0"/>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B53941-97D4-4ADF-AE1B-1C2D5EBA34F1}">
  <ds:schemaRefs/>
</ds:datastoreItem>
</file>

<file path=docProps/app.xml><?xml version="1.0" encoding="utf-8"?>
<Properties xmlns="http://schemas.openxmlformats.org/officeDocument/2006/extended-properties" xmlns:vt="http://schemas.openxmlformats.org/officeDocument/2006/docPropsVTypes">
  <Template>Normal</Template>
  <Pages>14</Pages>
  <Words>5158</Words>
  <Characters>5394</Characters>
  <Lines>44</Lines>
  <Paragraphs>12</Paragraphs>
  <TotalTime>41</TotalTime>
  <ScaleCrop>false</ScaleCrop>
  <LinksUpToDate>false</LinksUpToDate>
  <CharactersWithSpaces>5774</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2022-06-08T06:45:00Z</dcterms:created>
  <dc:creator>高晶</dc:creator>
  <cp:lastModifiedBy>黄</cp:lastModifiedBy>
  <cp:lastPrinted>2023-05-04T02:04:00Z</cp:lastPrinted>
  <dcterms:modified xsi:type="dcterms:W3CDTF">2023-05-15T02:25:42Z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y fmtid="{D5CDD505-2E9C-101B-9397-08002B2CF9AE}" pid="3" name="ICV">
    <vt:lpwstr>0CB129B56D5E483C9DE9296AA99BD0EF_13</vt:lpwstr>
  </property>
</Properties>
</file>