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color w:val="auto"/>
          <w:sz w:val="44"/>
          <w:szCs w:val="44"/>
          <w:highlight w:val="none"/>
        </w:rPr>
      </w:pPr>
    </w:p>
    <w:p>
      <w:pPr>
        <w:jc w:val="center"/>
        <w:rPr>
          <w:rFonts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重庆通邑物业管理有限公司</w:t>
      </w:r>
    </w:p>
    <w:p>
      <w:pPr>
        <w:jc w:val="center"/>
        <w:rPr>
          <w:rFonts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lang w:eastAsia="zh-CN"/>
        </w:rPr>
        <w:t>2023-2024年度轨道10号线轨行区清掏冲洗、外墙清洗和沟渠池清掏服务</w:t>
      </w:r>
      <w:r>
        <w:rPr>
          <w:rFonts w:hint="eastAsia" w:ascii="方正小标宋_GBK" w:hAnsi="方正小标宋_GBK" w:eastAsia="方正小标宋_GBK" w:cs="方正小标宋_GBK"/>
          <w:b/>
          <w:bCs/>
          <w:color w:val="auto"/>
          <w:sz w:val="36"/>
          <w:szCs w:val="36"/>
          <w:highlight w:val="none"/>
        </w:rPr>
        <w:t>比选邀请函</w:t>
      </w:r>
    </w:p>
    <w:p>
      <w:pPr>
        <w:rPr>
          <w:rFonts w:ascii="宋体" w:hAnsi="宋体" w:eastAsia="宋体" w:cs="宋体"/>
          <w:color w:val="auto"/>
          <w:sz w:val="24"/>
          <w:highlight w:val="none"/>
          <w:u w:val="singl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我司拟开展</w:t>
      </w:r>
      <w:r>
        <w:rPr>
          <w:rFonts w:hint="eastAsia" w:ascii="方正仿宋_GBK" w:hAnsi="方正仿宋_GBK" w:eastAsia="方正仿宋_GBK" w:cs="方正仿宋_GBK"/>
          <w:color w:val="auto"/>
          <w:sz w:val="28"/>
          <w:szCs w:val="28"/>
          <w:highlight w:val="none"/>
          <w:u w:val="single"/>
        </w:rPr>
        <w:t>2023-2024年度轨道10号线轨行区清掏冲洗、外墙清洗和沟渠池清掏服务比选</w:t>
      </w:r>
      <w:r>
        <w:rPr>
          <w:rFonts w:hint="eastAsia" w:ascii="方正仿宋_GBK" w:hAnsi="方正仿宋_GBK" w:eastAsia="方正仿宋_GBK" w:cs="方正仿宋_GBK"/>
          <w:color w:val="auto"/>
          <w:sz w:val="28"/>
          <w:szCs w:val="28"/>
          <w:highlight w:val="none"/>
        </w:rPr>
        <w:t>工作，本次服务单位通过竞争性比选方式进行确定，具体项目情况如下：</w:t>
      </w:r>
    </w:p>
    <w:tbl>
      <w:tblPr>
        <w:tblStyle w:val="11"/>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2023-2024年度轨道10号线轨行区清掏冲洗、外墙清洗和沟渠池清掏服务比选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项目预算</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不含税单价见附件1；</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不含税总价为</w:t>
            </w:r>
            <w:r>
              <w:rPr>
                <w:rFonts w:hint="eastAsia" w:ascii="方正仿宋_GBK" w:hAnsi="方正仿宋_GBK" w:eastAsia="方正仿宋_GBK" w:cs="方正仿宋_GBK"/>
                <w:color w:val="auto"/>
                <w:sz w:val="24"/>
                <w:highlight w:val="none"/>
                <w:u w:val="single"/>
                <w:lang w:val="en-US" w:eastAsia="zh-CN"/>
              </w:rPr>
              <w:t>1014641.22</w:t>
            </w:r>
            <w:r>
              <w:rPr>
                <w:rFonts w:hint="eastAsia" w:ascii="方正仿宋_GBK" w:hAnsi="方正仿宋_GBK" w:eastAsia="方正仿宋_GBK" w:cs="方正仿宋_GBK"/>
                <w:color w:val="auto"/>
                <w:sz w:val="24"/>
                <w:highlight w:val="none"/>
                <w:lang w:val="en-US" w:eastAsia="zh-CN"/>
              </w:rPr>
              <w:t>元（须出具增值税专用发票）。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服务期限</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从2023</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日起至</w:t>
            </w:r>
            <w:r>
              <w:rPr>
                <w:rFonts w:hint="eastAsia" w:ascii="方正仿宋_GBK" w:hAnsi="方正仿宋_GBK" w:eastAsia="方正仿宋_GBK" w:cs="方正仿宋_GBK"/>
                <w:color w:val="auto"/>
                <w:sz w:val="24"/>
                <w:highlight w:val="none"/>
                <w:lang w:val="en-US" w:eastAsia="zh-CN"/>
              </w:rPr>
              <w:t>2024</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31</w:t>
            </w:r>
            <w:r>
              <w:rPr>
                <w:rFonts w:hint="eastAsia" w:ascii="方正仿宋_GBK" w:hAnsi="方正仿宋_GBK" w:eastAsia="方正仿宋_GBK" w:cs="方正仿宋_GBK"/>
                <w:color w:val="auto"/>
                <w:sz w:val="24"/>
                <w:highlight w:val="none"/>
              </w:rPr>
              <w:t>日止。</w:t>
            </w:r>
            <w:r>
              <w:rPr>
                <w:rFonts w:hint="eastAsia" w:ascii="方正仿宋_GBK" w:hAnsi="方正仿宋_GBK" w:eastAsia="方正仿宋_GBK" w:cs="方正仿宋_GBK"/>
                <w:color w:val="auto"/>
                <w:sz w:val="24"/>
                <w:highlight w:val="none"/>
                <w:lang w:val="en-US" w:eastAsia="zh-CN"/>
              </w:rPr>
              <w:t>（开始时间根据合同签订时间可作调整，结束时间不变）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服务时间</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w:t>
            </w:r>
            <w:r>
              <w:rPr>
                <w:rFonts w:hint="eastAsia" w:ascii="方正仿宋_GBK" w:hAnsi="方正仿宋_GBK" w:eastAsia="方正仿宋_GBK" w:cs="方正仿宋_GBK"/>
                <w:color w:val="auto"/>
                <w:sz w:val="24"/>
                <w:highlight w:val="none"/>
                <w:lang w:val="en-US" w:eastAsia="zh-CN"/>
              </w:rPr>
              <w:t>实际</w:t>
            </w:r>
            <w:r>
              <w:rPr>
                <w:rFonts w:hint="eastAsia" w:ascii="方正仿宋_GBK" w:hAnsi="方正仿宋_GBK" w:eastAsia="方正仿宋_GBK" w:cs="方正仿宋_GBK"/>
                <w:color w:val="auto"/>
                <w:sz w:val="24"/>
                <w:highlight w:val="none"/>
              </w:rPr>
              <w:t>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31"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0" w:hRule="atLeast"/>
        </w:trPr>
        <w:tc>
          <w:tcPr>
            <w:tcW w:w="2229" w:type="dxa"/>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比选范围及内容</w:t>
            </w:r>
          </w:p>
        </w:tc>
        <w:tc>
          <w:tcPr>
            <w:tcW w:w="7202" w:type="dxa"/>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1、比选范围：轨道10号线轨行区清掏冲洗、外墙清洗和沟渠池清掏服务比选。</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2、比选内容</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highlight w:val="none"/>
              </w:rPr>
              <w:t>1）轨行区清掏冲洗：10号线一期沿线区间隧道（上下行，含辅助线、出入段线）内道床、水沟、疏散平台、疏散平台以下的隧道壁的冲洗；隧道沿线排水沟、车场轨行区排水沟、线路沿线边/仰坡截水沟及排水沟、减振浮置板道床排水暗沟、泵房暗管等排水设施的清掏、疏通、清掏物和路基及高架区段的清扫、人工转运（转运距离平均约1公里）；边坡清洁卫生及杂草清理；区间隧道排水设施清掏物通过装袋后，需10t的渣车二次转运至符合规定的渣场处理；减振浮置板道床排水暗沟及泵房暗管疏通；区间二次转运及处置。</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2）外墙清洗：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座车站（</w:t>
            </w:r>
            <w:r>
              <w:rPr>
                <w:rFonts w:hint="eastAsia" w:ascii="方正仿宋_GBK" w:hAnsi="方正仿宋_GBK" w:eastAsia="方正仿宋_GBK" w:cs="方正仿宋_GBK"/>
                <w:color w:val="auto"/>
                <w:sz w:val="24"/>
                <w:highlight w:val="none"/>
                <w:lang w:eastAsia="zh-CN"/>
              </w:rPr>
              <w:t>长河</w:t>
            </w:r>
            <w:r>
              <w:rPr>
                <w:rFonts w:hint="eastAsia" w:ascii="方正仿宋_GBK" w:hAnsi="方正仿宋_GBK" w:eastAsia="方正仿宋_GBK" w:cs="方正仿宋_GBK"/>
                <w:color w:val="auto"/>
                <w:sz w:val="24"/>
                <w:highlight w:val="none"/>
              </w:rPr>
              <w:t>站）外墙清洗及屋顶排水沟清理（</w:t>
            </w:r>
            <w:r>
              <w:rPr>
                <w:rFonts w:hint="eastAsia" w:ascii="方正仿宋_GBK" w:hAnsi="方正仿宋_GBK" w:eastAsia="方正仿宋_GBK" w:cs="方正仿宋_GBK"/>
                <w:color w:val="auto"/>
                <w:sz w:val="24"/>
                <w:highlight w:val="none"/>
                <w:lang w:eastAsia="zh-CN"/>
              </w:rPr>
              <w:t>暂定</w:t>
            </w:r>
            <w:r>
              <w:rPr>
                <w:rFonts w:hint="eastAsia" w:ascii="方正仿宋_GBK" w:hAnsi="方正仿宋_GBK" w:eastAsia="方正仿宋_GBK" w:cs="方正仿宋_GBK"/>
                <w:color w:val="auto"/>
                <w:sz w:val="24"/>
                <w:highlight w:val="none"/>
              </w:rPr>
              <w:t>每季度清洗一次）；变电所外墙清洗及屋顶排水沟</w:t>
            </w:r>
            <w:r>
              <w:rPr>
                <w:rFonts w:hint="eastAsia" w:ascii="方正仿宋_GBK" w:hAnsi="方正仿宋_GBK" w:eastAsia="方正仿宋_GBK" w:cs="方正仿宋_GBK"/>
                <w:color w:val="auto"/>
                <w:sz w:val="24"/>
                <w:highlight w:val="none"/>
                <w:lang w:eastAsia="zh-CN"/>
              </w:rPr>
              <w:t>清掏</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大坝寺</w:t>
            </w:r>
            <w:r>
              <w:rPr>
                <w:rFonts w:hint="eastAsia" w:ascii="方正仿宋_GBK" w:hAnsi="方正仿宋_GBK" w:eastAsia="方正仿宋_GBK" w:cs="方正仿宋_GBK"/>
                <w:color w:val="auto"/>
                <w:sz w:val="24"/>
                <w:highlight w:val="none"/>
              </w:rPr>
              <w:t>主变电所、长河牵引外挂所、长</w:t>
            </w:r>
            <w:r>
              <w:rPr>
                <w:rFonts w:hint="eastAsia" w:ascii="方正仿宋_GBK" w:hAnsi="方正仿宋_GBK" w:eastAsia="方正仿宋_GBK" w:cs="方正仿宋_GBK"/>
                <w:color w:val="auto"/>
                <w:sz w:val="24"/>
                <w:highlight w:val="none"/>
                <w:lang w:val="en-US" w:eastAsia="zh-CN"/>
              </w:rPr>
              <w:t>航</w:t>
            </w:r>
            <w:r>
              <w:rPr>
                <w:rFonts w:hint="eastAsia" w:ascii="方正仿宋_GBK" w:hAnsi="方正仿宋_GBK" w:eastAsia="方正仿宋_GBK" w:cs="方正仿宋_GBK"/>
                <w:color w:val="auto"/>
                <w:sz w:val="24"/>
                <w:highlight w:val="none"/>
              </w:rPr>
              <w:t>牵引外挂所</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一年暂定一次）。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10号线19座车站鲤鱼池站至王家庄站（含重庆北站南广场站）所属车站、变电所包括但不限于：污水池、生化池清掏；未接入市政管网的生化池临时抽排；集水井清掏；废水池清掏。包含但不限于揭板、清掏、疏通、检查、维护及清掏物外运至符合规定的渣场处理、弃倒及盖板复原等；每月</w:t>
            </w:r>
            <w:r>
              <w:rPr>
                <w:rFonts w:hint="eastAsia" w:ascii="方正仿宋_GBK" w:hAnsi="方正仿宋_GBK" w:eastAsia="方正仿宋_GBK" w:cs="方正仿宋_GBK"/>
                <w:color w:val="auto"/>
                <w:sz w:val="24"/>
                <w:highlight w:val="none"/>
                <w:lang w:eastAsia="zh-CN"/>
              </w:rPr>
              <w:t>中选单位</w:t>
            </w:r>
            <w:r>
              <w:rPr>
                <w:rFonts w:hint="eastAsia" w:ascii="方正仿宋_GBK" w:hAnsi="方正仿宋_GBK" w:eastAsia="方正仿宋_GBK" w:cs="方正仿宋_GBK"/>
                <w:color w:val="auto"/>
                <w:sz w:val="24"/>
                <w:highlight w:val="none"/>
              </w:rPr>
              <w:t>应对沿线车站、变电所生化池、污水池气体浓度检测一次，当月末前将数据报</w:t>
            </w:r>
            <w:r>
              <w:rPr>
                <w:rFonts w:hint="eastAsia" w:ascii="方正仿宋_GBK" w:hAnsi="方正仿宋_GBK" w:eastAsia="方正仿宋_GBK" w:cs="方正仿宋_GBK"/>
                <w:color w:val="auto"/>
                <w:sz w:val="24"/>
                <w:highlight w:val="none"/>
                <w:lang w:eastAsia="zh-CN"/>
              </w:rPr>
              <w:t>项目负责人</w:t>
            </w:r>
            <w:r>
              <w:rPr>
                <w:rFonts w:hint="eastAsia" w:ascii="方正仿宋_GBK" w:hAnsi="方正仿宋_GBK" w:eastAsia="方正仿宋_GBK" w:cs="方正仿宋_GBK"/>
                <w:color w:val="auto"/>
                <w:sz w:val="24"/>
                <w:highlight w:val="none"/>
              </w:rPr>
              <w:t>；所有的人员、机具、车辆运输、二次转运、污水处理等均由</w:t>
            </w:r>
            <w:r>
              <w:rPr>
                <w:rFonts w:hint="eastAsia" w:ascii="方正仿宋_GBK" w:hAnsi="方正仿宋_GBK" w:eastAsia="方正仿宋_GBK" w:cs="方正仿宋_GBK"/>
                <w:color w:val="auto"/>
                <w:sz w:val="24"/>
                <w:highlight w:val="none"/>
                <w:lang w:eastAsia="zh-CN"/>
              </w:rPr>
              <w:t>中选单位</w:t>
            </w:r>
            <w:r>
              <w:rPr>
                <w:rFonts w:hint="eastAsia" w:ascii="方正仿宋_GBK" w:hAnsi="方正仿宋_GBK" w:eastAsia="方正仿宋_GBK" w:cs="方正仿宋_GBK"/>
                <w:color w:val="auto"/>
                <w:sz w:val="24"/>
                <w:highlight w:val="none"/>
              </w:rPr>
              <w:t>自行组织予以实施，施工中必须做好防毒安全措施，人员下池必须检测有毒气体、易燃易爆气体浓度，在施工中应加强通风、防毒，防止人员中毒，按时、按量、按要求完成清掏、疏通、检查等工作。</w:t>
            </w:r>
          </w:p>
          <w:p>
            <w:pPr>
              <w:spacing w:line="440" w:lineRule="exact"/>
              <w:rPr>
                <w:rFonts w:eastAsia="方正仿宋_GBK"/>
                <w:color w:val="auto"/>
                <w:highlight w:val="none"/>
              </w:rPr>
            </w:pPr>
            <w:r>
              <w:rPr>
                <w:rFonts w:hint="eastAsia" w:ascii="方正仿宋_GBK" w:hAnsi="方正仿宋_GBK" w:eastAsia="方正仿宋_GBK" w:cs="方正仿宋_GBK"/>
                <w:color w:val="auto"/>
                <w:sz w:val="24"/>
                <w:highlight w:val="none"/>
              </w:rPr>
              <w:t>3、作业量详见附件1。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4" w:hRule="atLeast"/>
        </w:trPr>
        <w:tc>
          <w:tcPr>
            <w:tcW w:w="2229" w:type="dxa"/>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比选被邀请人</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资格要求</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1、基本资格条件</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1）具有独立承担民事责任的能力；</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2）具有良好的商业信誉和健全的财务会计制度；</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3）具有履行合同所必需的设备和专业技术能力；</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4）有依法缴纳税收和社会保障资金的良好记录；</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5）法律、行政法规规定的其他条件。</w:t>
            </w:r>
          </w:p>
          <w:p>
            <w:pPr>
              <w:spacing w:line="440" w:lineRule="exact"/>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textAlignment w:val="auto"/>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1）具备行业服务协会认定的保洁服务企业一级资质。</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2）具备重庆市城市管理局颁发的《城市生活垃圾经营性清扫收集运输处置服务许可证》。</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具备行业协会或机构颁发的《城市粪便污水处理经营服务资质认定》三级及以上证书</w:t>
            </w:r>
            <w:r>
              <w:rPr>
                <w:rFonts w:hint="eastAsia" w:ascii="方正仿宋_GBK" w:hAnsi="方正仿宋_GBK" w:eastAsia="方正仿宋_GBK" w:cs="方正仿宋_GBK"/>
                <w:color w:val="auto"/>
                <w:sz w:val="24"/>
                <w:highlight w:val="none"/>
                <w:lang w:eastAsia="zh-CN"/>
              </w:rPr>
              <w:t>。</w:t>
            </w:r>
          </w:p>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具备行业协会或机构颁发的</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高空服务业企业安全资质</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或</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高空清洗悬吊作业企业安全生产证书</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或</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高空外墙清洗服务企业资质</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或</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高空外墙清洁资质等级证书</w:t>
            </w:r>
            <w:r>
              <w:rPr>
                <w:rFonts w:hint="eastAsia" w:ascii="方正仿宋_GBK" w:hAnsi="方正仿宋_GBK" w:eastAsia="方正仿宋_GBK" w:cs="方正仿宋_GBK"/>
                <w:color w:val="auto"/>
                <w:sz w:val="24"/>
                <w:highlight w:val="none"/>
                <w:lang w:eastAsia="zh-CN"/>
              </w:rPr>
              <w:t>》。</w:t>
            </w:r>
          </w:p>
          <w:p>
            <w:pPr>
              <w:spacing w:line="440" w:lineRule="exact"/>
              <w:rPr>
                <w:color w:val="auto"/>
                <w:highlight w:val="none"/>
              </w:rPr>
            </w:pPr>
            <w:r>
              <w:rPr>
                <w:rFonts w:hint="eastAsia" w:ascii="方正仿宋_GBK" w:hAnsi="方正仿宋_GBK" w:eastAsia="方正仿宋_GBK" w:cs="方正仿宋_GBK"/>
                <w:color w:val="auto"/>
                <w:sz w:val="24"/>
                <w:szCs w:val="24"/>
                <w:highlight w:val="none"/>
                <w:lang w:val="en-US" w:eastAsia="zh-CN"/>
              </w:rPr>
              <w:t>3、比选保证金缴纳凭据（提交比选文件时单独提交一份）</w:t>
            </w:r>
            <w:r>
              <w:rPr>
                <w:rFonts w:hint="eastAsia" w:ascii="方正仿宋_GBK" w:hAnsi="方正仿宋_GBK" w:eastAsia="方正仿宋_GBK" w:cs="方正仿宋_GBK"/>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比选文件领取和递交时间、地点及比选文件份数</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1、领取文件时间：见官网。</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2、递交文件时间：</w:t>
            </w:r>
            <w:r>
              <w:rPr>
                <w:rFonts w:hint="eastAsia" w:ascii="方正仿宋_GBK" w:hAnsi="方正仿宋_GBK" w:eastAsia="方正仿宋_GBK" w:cs="方正仿宋_GBK"/>
                <w:color w:val="auto"/>
                <w:sz w:val="24"/>
                <w:highlight w:val="none"/>
                <w:u w:val="single"/>
                <w:lang w:val="en-US" w:eastAsia="zh-CN"/>
              </w:rPr>
              <w:t>2023</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lang w:val="en-US" w:eastAsia="zh-CN"/>
              </w:rPr>
              <w:t>1</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rPr>
              <w:t xml:space="preserve">分截止。          </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3、递交文件地点：重庆市南岸区腾龙大道58号重庆通邑物业管理有限公司。</w:t>
            </w:r>
            <w:bookmarkStart w:id="1" w:name="_GoBack"/>
            <w:bookmarkEnd w:id="1"/>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4、比选时间：</w:t>
            </w:r>
            <w:r>
              <w:rPr>
                <w:rFonts w:hint="eastAsia" w:ascii="方正仿宋_GBK" w:hAnsi="方正仿宋_GBK" w:eastAsia="方正仿宋_GBK" w:cs="方正仿宋_GBK"/>
                <w:color w:val="auto"/>
                <w:sz w:val="24"/>
                <w:highlight w:val="none"/>
                <w:u w:val="single"/>
                <w:lang w:val="en-US" w:eastAsia="zh-CN"/>
              </w:rPr>
              <w:t>2023</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lang w:val="en-US" w:eastAsia="zh-CN"/>
              </w:rPr>
              <w:t>1</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比选保证金</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lang w:val="en-US" w:eastAsia="zh-CN"/>
              </w:rPr>
              <w:t>5</w:t>
            </w:r>
            <w:r>
              <w:rPr>
                <w:rFonts w:hint="eastAsia" w:ascii="方正仿宋_GBK" w:hAnsi="方正仿宋_GBK" w:eastAsia="方正仿宋_GBK" w:cs="方正仿宋_GBK"/>
                <w:color w:val="auto"/>
                <w:sz w:val="24"/>
                <w:highlight w:val="none"/>
                <w:u w:val="single"/>
                <w:lang w:eastAsia="zh-CN"/>
              </w:rPr>
              <w:t>0000</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元（大写：人民币</w:t>
            </w:r>
            <w:r>
              <w:rPr>
                <w:rFonts w:hint="eastAsia" w:ascii="方正仿宋_GBK" w:hAnsi="方正仿宋_GBK" w:eastAsia="方正仿宋_GBK" w:cs="方正仿宋_GBK"/>
                <w:color w:val="auto"/>
                <w:sz w:val="24"/>
                <w:highlight w:val="none"/>
                <w:lang w:val="en-US" w:eastAsia="zh-CN"/>
              </w:rPr>
              <w:t>伍万元</w:t>
            </w:r>
            <w:r>
              <w:rPr>
                <w:rFonts w:hint="eastAsia" w:ascii="方正仿宋_GBK" w:hAnsi="方正仿宋_GBK" w:eastAsia="方正仿宋_GBK" w:cs="方正仿宋_GBK"/>
                <w:color w:val="auto"/>
                <w:sz w:val="24"/>
                <w:highlight w:val="none"/>
              </w:rPr>
              <w:t>整）。</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2、比选人于</w:t>
            </w:r>
            <w:r>
              <w:rPr>
                <w:rFonts w:hint="eastAsia" w:ascii="方正仿宋_GBK" w:hAnsi="方正仿宋_GBK" w:eastAsia="方正仿宋_GBK" w:cs="方正仿宋_GBK"/>
                <w:color w:val="auto"/>
                <w:sz w:val="24"/>
                <w:highlight w:val="none"/>
                <w:u w:val="single"/>
                <w:lang w:val="en-US" w:eastAsia="zh-CN"/>
              </w:rPr>
              <w:t>2023</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lang w:val="en-US" w:eastAsia="zh-CN"/>
              </w:rPr>
              <w:t>1</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rPr>
              <w:t>分前缴纳比选保证金，汇款时备注“</w:t>
            </w:r>
            <w:r>
              <w:rPr>
                <w:rFonts w:hint="eastAsia" w:ascii="方正仿宋_GBK" w:hAnsi="方正仿宋_GBK" w:eastAsia="方正仿宋_GBK" w:cs="方正仿宋_GBK"/>
                <w:color w:val="auto"/>
                <w:sz w:val="24"/>
                <w:highlight w:val="none"/>
                <w:lang w:val="en-US" w:eastAsia="zh-CN"/>
              </w:rPr>
              <w:t>轨道10</w:t>
            </w:r>
            <w:r>
              <w:rPr>
                <w:rFonts w:hint="eastAsia" w:ascii="方正仿宋_GBK" w:hAnsi="方正仿宋_GBK" w:eastAsia="方正仿宋_GBK" w:cs="方正仿宋_GBK"/>
                <w:color w:val="auto"/>
                <w:sz w:val="24"/>
                <w:highlight w:val="none"/>
              </w:rPr>
              <w:t>号线</w:t>
            </w:r>
            <w:r>
              <w:rPr>
                <w:rFonts w:hint="eastAsia" w:ascii="方正仿宋_GBK" w:hAnsi="方正仿宋_GBK" w:eastAsia="方正仿宋_GBK" w:cs="方正仿宋_GBK"/>
                <w:color w:val="auto"/>
                <w:sz w:val="24"/>
                <w:highlight w:val="none"/>
                <w:lang w:val="en-US" w:eastAsia="zh-CN"/>
              </w:rPr>
              <w:t>外墙清洗、沟渠</w:t>
            </w:r>
            <w:r>
              <w:rPr>
                <w:rFonts w:hint="eastAsia" w:ascii="方正仿宋_GBK" w:hAnsi="方正仿宋_GBK" w:eastAsia="方正仿宋_GBK" w:cs="方正仿宋_GBK"/>
                <w:color w:val="auto"/>
                <w:sz w:val="24"/>
                <w:highlight w:val="none"/>
              </w:rPr>
              <w:t>清掏服务比选保证金”</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约定期限内未缴纳的取消比选资格。</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3、未中选单位所缴比选保证金于中选通知书发放后</w:t>
            </w:r>
            <w:r>
              <w:rPr>
                <w:rFonts w:hint="eastAsia" w:ascii="方正仿宋_GBK" w:hAnsi="方正仿宋_GBK" w:eastAsia="方正仿宋_GBK" w:cs="方正仿宋_GBK"/>
                <w:color w:val="auto"/>
                <w:sz w:val="24"/>
                <w:highlight w:val="none"/>
                <w:u w:val="single"/>
              </w:rPr>
              <w:t>10</w:t>
            </w:r>
            <w:r>
              <w:rPr>
                <w:rFonts w:hint="eastAsia" w:ascii="方正仿宋_GBK" w:hAnsi="方正仿宋_GBK" w:eastAsia="方正仿宋_GBK" w:cs="方正仿宋_GBK"/>
                <w:color w:val="auto"/>
                <w:sz w:val="24"/>
                <w:highlight w:val="none"/>
              </w:rPr>
              <w:t>个工作日内无息退还，中选单位比选保证金转为履约保证金。</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4、若招标人发现比选人所提供资料存在弄虚作假，则取消其比选资格，且比选保证金不予退还。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履约保证金</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1、¥</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lang w:val="en-US" w:eastAsia="zh-CN"/>
              </w:rPr>
              <w:t>5</w:t>
            </w:r>
            <w:r>
              <w:rPr>
                <w:rFonts w:hint="eastAsia" w:ascii="方正仿宋_GBK" w:hAnsi="方正仿宋_GBK" w:eastAsia="方正仿宋_GBK" w:cs="方正仿宋_GBK"/>
                <w:color w:val="auto"/>
                <w:sz w:val="24"/>
                <w:highlight w:val="none"/>
                <w:u w:val="single"/>
                <w:lang w:eastAsia="zh-CN"/>
              </w:rPr>
              <w:t>0000</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元（大写：人民币</w:t>
            </w:r>
            <w:r>
              <w:rPr>
                <w:rFonts w:hint="eastAsia" w:ascii="方正仿宋_GBK" w:hAnsi="方正仿宋_GBK" w:eastAsia="方正仿宋_GBK" w:cs="方正仿宋_GBK"/>
                <w:color w:val="auto"/>
                <w:sz w:val="24"/>
                <w:highlight w:val="none"/>
                <w:lang w:val="en-US" w:eastAsia="zh-CN"/>
              </w:rPr>
              <w:t>伍万元</w:t>
            </w:r>
            <w:r>
              <w:rPr>
                <w:rFonts w:hint="eastAsia" w:ascii="方正仿宋_GBK" w:hAnsi="方正仿宋_GBK" w:eastAsia="方正仿宋_GBK" w:cs="方正仿宋_GBK"/>
                <w:color w:val="auto"/>
                <w:sz w:val="24"/>
                <w:highlight w:val="none"/>
              </w:rPr>
              <w:t>整）</w:t>
            </w:r>
            <w:r>
              <w:rPr>
                <w:rFonts w:hint="eastAsia" w:ascii="方正仿宋_GBK" w:hAnsi="方正仿宋_GBK" w:eastAsia="方正仿宋_GBK" w:cs="方正仿宋_GBK"/>
                <w:color w:val="auto"/>
                <w:sz w:val="24"/>
                <w:highlight w:val="none"/>
                <w:lang w:eastAsia="zh-CN"/>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2、中选单位比选保证金转为履约保证金，履约保证金在合同期满，且经甲方确认乙方无违约欠款或其他应付未付款项，甲方收到乙方的履约保证金缴纳收据原件后15个工作日内无息退还。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exact"/>
        </w:trPr>
        <w:tc>
          <w:tcPr>
            <w:tcW w:w="2229" w:type="dxa"/>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保证金缴纳账户</w:t>
            </w:r>
          </w:p>
        </w:tc>
        <w:tc>
          <w:tcPr>
            <w:tcW w:w="7202" w:type="dxa"/>
            <w:vAlign w:val="center"/>
          </w:tcPr>
          <w:p>
            <w:pPr>
              <w:spacing w:line="440" w:lineRule="exact"/>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开户银行：</w:t>
            </w:r>
            <w:r>
              <w:rPr>
                <w:rFonts w:hint="eastAsia" w:ascii="方正仿宋_GBK" w:hAnsi="方正仿宋_GBK" w:eastAsia="方正仿宋_GBK" w:cs="方正仿宋_GBK"/>
                <w:color w:val="auto"/>
                <w:sz w:val="24"/>
                <w:highlight w:val="none"/>
                <w:u w:val="single"/>
              </w:rPr>
              <w:t>民生银行南坪支行</w:t>
            </w:r>
          </w:p>
          <w:p>
            <w:pPr>
              <w:spacing w:line="440" w:lineRule="exact"/>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户    名：</w:t>
            </w:r>
            <w:r>
              <w:rPr>
                <w:rFonts w:hint="eastAsia" w:ascii="方正仿宋_GBK" w:hAnsi="方正仿宋_GBK" w:eastAsia="方正仿宋_GBK" w:cs="方正仿宋_GBK"/>
                <w:color w:val="auto"/>
                <w:sz w:val="24"/>
                <w:highlight w:val="none"/>
                <w:u w:val="single"/>
              </w:rPr>
              <w:t>重庆通邑物业管理有限公司</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银行账号：</w:t>
            </w:r>
            <w:r>
              <w:rPr>
                <w:rFonts w:hint="eastAsia" w:ascii="方正仿宋_GBK" w:hAnsi="方正仿宋_GBK" w:eastAsia="方正仿宋_GBK" w:cs="方正仿宋_GBK"/>
                <w:color w:val="auto"/>
                <w:sz w:val="24"/>
                <w:highlight w:val="none"/>
                <w:u w:val="single"/>
              </w:rPr>
              <w:t>695138171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exact"/>
        </w:trPr>
        <w:tc>
          <w:tcPr>
            <w:tcW w:w="2229" w:type="dxa"/>
            <w:vMerge w:val="restart"/>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限价：</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不含税单价最高限价详见附件1</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kern w:val="0"/>
                <w:sz w:val="24"/>
                <w:highlight w:val="none"/>
              </w:rPr>
              <w:t>不含税</w:t>
            </w:r>
            <w:r>
              <w:rPr>
                <w:rFonts w:hint="eastAsia" w:ascii="方正仿宋_GBK" w:hAnsi="方正仿宋_GBK" w:eastAsia="方正仿宋_GBK" w:cs="方正仿宋_GBK"/>
                <w:color w:val="auto"/>
                <w:kern w:val="0"/>
                <w:sz w:val="24"/>
                <w:highlight w:val="none"/>
                <w:lang w:val="en-US" w:eastAsia="zh-CN"/>
              </w:rPr>
              <w:t>总价</w:t>
            </w:r>
            <w:r>
              <w:rPr>
                <w:rFonts w:hint="eastAsia" w:ascii="方正仿宋_GBK" w:hAnsi="方正仿宋_GBK" w:eastAsia="方正仿宋_GBK" w:cs="方正仿宋_GBK"/>
                <w:color w:val="auto"/>
                <w:kern w:val="0"/>
                <w:sz w:val="24"/>
                <w:highlight w:val="none"/>
              </w:rPr>
              <w:t>最高限价：</w:t>
            </w:r>
            <w:r>
              <w:rPr>
                <w:rFonts w:hint="eastAsia" w:ascii="方正仿宋_GBK" w:hAnsi="方正仿宋_GBK" w:eastAsia="方正仿宋_GBK" w:cs="方正仿宋_GBK"/>
                <w:color w:val="auto"/>
                <w:sz w:val="21"/>
                <w:szCs w:val="21"/>
                <w:highlight w:val="none"/>
                <w:u w:val="single"/>
                <w:lang w:val="en-US" w:eastAsia="zh-CN"/>
              </w:rPr>
              <w:t>1014641.22</w:t>
            </w:r>
            <w:r>
              <w:rPr>
                <w:rFonts w:hint="eastAsia" w:ascii="方正仿宋_GBK" w:hAnsi="方正仿宋_GBK" w:eastAsia="方正仿宋_GBK" w:cs="方正仿宋_GBK"/>
                <w:b/>
                <w:bCs/>
                <w:color w:val="auto"/>
                <w:sz w:val="24"/>
                <w:highlight w:val="none"/>
                <w:u w:val="single"/>
                <w:lang w:val="en-US" w:eastAsia="zh-CN"/>
              </w:rPr>
              <w:t xml:space="preserve"> </w:t>
            </w:r>
            <w:r>
              <w:rPr>
                <w:rFonts w:hint="eastAsia" w:ascii="方正仿宋_GBK" w:hAnsi="方正仿宋_GBK" w:eastAsia="方正仿宋_GBK" w:cs="方正仿宋_GBK"/>
                <w:color w:val="auto"/>
                <w:sz w:val="24"/>
                <w:highlight w:val="none"/>
                <w:lang w:eastAsia="zh-CN"/>
              </w:rPr>
              <w:t>元</w:t>
            </w:r>
            <w:r>
              <w:rPr>
                <w:rFonts w:hint="eastAsia" w:ascii="方正仿宋_GBK" w:hAnsi="方正仿宋_GBK" w:eastAsia="方正仿宋_GBK" w:cs="方正仿宋_GBK"/>
                <w:color w:val="auto"/>
                <w:sz w:val="24"/>
                <w:highlight w:val="none"/>
              </w:rPr>
              <w:t>。本次比选为一次性最终报价，不再议价。请报价人根据自身情况自主报价，报价超过任一限价的作否决比选处理。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exact"/>
        </w:trPr>
        <w:tc>
          <w:tcPr>
            <w:tcW w:w="2229" w:type="dxa"/>
            <w:vMerge w:val="continue"/>
            <w:vAlign w:val="center"/>
          </w:tcPr>
          <w:p>
            <w:pPr>
              <w:spacing w:line="440" w:lineRule="exact"/>
              <w:jc w:val="center"/>
              <w:rPr>
                <w:rFonts w:ascii="方正仿宋_GBK" w:hAnsi="方正仿宋_GBK" w:eastAsia="方正仿宋_GBK" w:cs="方正仿宋_GBK"/>
                <w:color w:val="auto"/>
                <w:sz w:val="24"/>
                <w:highlight w:val="none"/>
              </w:rPr>
            </w:pP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报价要求：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本次比选报价为综合包干单价</w:t>
            </w:r>
            <w:r>
              <w:rPr>
                <w:rFonts w:hint="eastAsia" w:ascii="方正仿宋_GBK" w:hAnsi="方正仿宋_GBK" w:eastAsia="方正仿宋_GBK" w:cs="方正仿宋_GBK"/>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综合</w:t>
            </w:r>
            <w:r>
              <w:rPr>
                <w:rFonts w:hint="eastAsia" w:ascii="方正仿宋_GBK" w:hAnsi="方正仿宋_GBK" w:eastAsia="方正仿宋_GBK" w:cs="方正仿宋_GBK"/>
                <w:color w:val="auto"/>
                <w:sz w:val="24"/>
                <w:highlight w:val="none"/>
              </w:rPr>
              <w:t>单价包含但不限于人工费、</w:t>
            </w:r>
            <w:r>
              <w:rPr>
                <w:rFonts w:hint="eastAsia" w:ascii="方正仿宋_GBK" w:hAnsi="方正仿宋_GBK" w:eastAsia="方正仿宋_GBK" w:cs="方正仿宋_GBK"/>
                <w:color w:val="auto"/>
                <w:sz w:val="24"/>
                <w:highlight w:val="none"/>
                <w:lang w:val="en-US" w:eastAsia="zh-CN"/>
              </w:rPr>
              <w:t>社会保险及商业保险费、</w:t>
            </w:r>
            <w:r>
              <w:rPr>
                <w:rFonts w:hint="eastAsia" w:ascii="方正仿宋_GBK" w:hAnsi="方正仿宋_GBK" w:eastAsia="方正仿宋_GBK" w:cs="方正仿宋_GBK"/>
                <w:color w:val="auto"/>
                <w:sz w:val="24"/>
                <w:highlight w:val="none"/>
              </w:rPr>
              <w:t>材料费、</w:t>
            </w:r>
            <w:r>
              <w:rPr>
                <w:rFonts w:hint="eastAsia" w:ascii="方正仿宋_GBK" w:hAnsi="方正仿宋_GBK" w:eastAsia="方正仿宋_GBK" w:cs="方正仿宋_GBK"/>
                <w:color w:val="auto"/>
                <w:sz w:val="24"/>
                <w:highlight w:val="none"/>
                <w:lang w:val="en-US" w:eastAsia="zh-CN"/>
              </w:rPr>
              <w:t>设备</w:t>
            </w:r>
            <w:r>
              <w:rPr>
                <w:rFonts w:hint="eastAsia" w:ascii="方正仿宋_GBK" w:hAnsi="方正仿宋_GBK" w:eastAsia="方正仿宋_GBK" w:cs="方正仿宋_GBK"/>
                <w:color w:val="auto"/>
                <w:sz w:val="24"/>
                <w:highlight w:val="none"/>
              </w:rPr>
              <w:t>费、企业管理费、利润、风险费用、检测费、措施费、安全文明作业费、应急作业补偿费、水电费、材料涨价、垃圾清运费</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弃渣费、税</w:t>
            </w:r>
            <w:r>
              <w:rPr>
                <w:rFonts w:hint="eastAsia" w:ascii="方正仿宋_GBK" w:hAnsi="方正仿宋_GBK" w:eastAsia="方正仿宋_GBK" w:cs="方正仿宋_GBK"/>
                <w:color w:val="auto"/>
                <w:sz w:val="24"/>
                <w:highlight w:val="none"/>
                <w:lang w:val="en-US" w:eastAsia="zh-CN"/>
              </w:rPr>
              <w:t>费</w:t>
            </w:r>
            <w:r>
              <w:rPr>
                <w:rFonts w:hint="eastAsia" w:ascii="方正仿宋_GBK" w:hAnsi="方正仿宋_GBK" w:eastAsia="方正仿宋_GBK" w:cs="方正仿宋_GBK"/>
                <w:color w:val="auto"/>
                <w:sz w:val="24"/>
                <w:highlight w:val="none"/>
              </w:rPr>
              <w:t>、不可预计未列出的风险等所有费用</w:t>
            </w:r>
            <w:r>
              <w:rPr>
                <w:rFonts w:hint="eastAsia" w:ascii="方正仿宋_GBK" w:hAnsi="方正仿宋_GBK" w:eastAsia="方正仿宋_GBK" w:cs="方正仿宋_GBK"/>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val="0"/>
                <w:color w:val="auto"/>
                <w:kern w:val="2"/>
                <w:sz w:val="24"/>
                <w:szCs w:val="24"/>
                <w:highlight w:val="none"/>
                <w:lang w:val="en-US" w:eastAsia="zh-CN" w:bidi="ar-SA"/>
              </w:rPr>
              <w:t>3、招标人不组织现场踏勘，比选人可自行到项目进行现场踏勘。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b w:val="0"/>
                <w:color w:val="auto"/>
                <w:kern w:val="2"/>
                <w:sz w:val="24"/>
                <w:szCs w:val="24"/>
                <w:highlight w:val="none"/>
                <w:lang w:val="en-US" w:eastAsia="zh-CN" w:bidi="ar-SA"/>
              </w:rPr>
              <w:t>比选人须充分考虑</w:t>
            </w:r>
            <w:r>
              <w:rPr>
                <w:rFonts w:hint="eastAsia" w:ascii="方正仿宋_GBK" w:hAnsi="方正仿宋_GBK" w:eastAsia="方正仿宋_GBK" w:cs="方正仿宋_GBK"/>
                <w:color w:val="auto"/>
                <w:sz w:val="24"/>
                <w:highlight w:val="none"/>
              </w:rPr>
              <w:t>税率</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b w:val="0"/>
                <w:color w:val="auto"/>
                <w:kern w:val="2"/>
                <w:sz w:val="24"/>
                <w:szCs w:val="24"/>
                <w:highlight w:val="none"/>
                <w:lang w:val="en-US" w:eastAsia="zh-CN" w:bidi="ar-SA"/>
              </w:rPr>
              <w:t>人工费用、水电能耗、其它物料的变化等不利因素，结算价格不得超过不含税单价。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费用支付方式</w:t>
            </w:r>
          </w:p>
        </w:tc>
        <w:tc>
          <w:tcPr>
            <w:tcW w:w="7202" w:type="dxa"/>
            <w:vAlign w:val="center"/>
          </w:tcPr>
          <w:p>
            <w:pPr>
              <w:pStyle w:val="2"/>
              <w:spacing w:before="0" w:after="0" w:line="440" w:lineRule="exact"/>
              <w:outlineLvl w:val="2"/>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1、招标人对服务质量进行评估，完成费用结算。服务单位向招标人开具等额增值税专用发票，在收到发票后20个工作日内，招标人向服务单位支付费用。若未按要求提供增值税专用发票，招标人有权拒绝支付相应款项，且不承担违约责任。</w:t>
            </w:r>
          </w:p>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2、具体费用支付方式详见合同。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其他需告知被邀请人的要求</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1、本项目不允许联合投标。</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2、本投标项目实行资格后审。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9" w:hRule="exact"/>
        </w:trPr>
        <w:tc>
          <w:tcPr>
            <w:tcW w:w="9431" w:type="dxa"/>
            <w:gridSpan w:val="2"/>
            <w:vAlign w:val="center"/>
          </w:tcPr>
          <w:p>
            <w:pPr>
              <w:numPr>
                <w:ilvl w:val="0"/>
                <w:numId w:val="2"/>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此次比选采用综合评估法，</w:t>
            </w:r>
            <w:r>
              <w:rPr>
                <w:rFonts w:hint="eastAsia" w:ascii="方正仿宋_GBK" w:hAnsi="方正仿宋_GBK" w:eastAsia="方正仿宋_GBK" w:cs="方正仿宋_GBK"/>
                <w:b/>
                <w:bCs/>
                <w:color w:val="auto"/>
                <w:sz w:val="24"/>
                <w:highlight w:val="none"/>
              </w:rPr>
              <w:t>报价部分（</w:t>
            </w:r>
            <w:r>
              <w:rPr>
                <w:rFonts w:hint="eastAsia" w:ascii="方正仿宋_GBK" w:hAnsi="方正仿宋_GBK" w:eastAsia="方正仿宋_GBK" w:cs="方正仿宋_GBK"/>
                <w:b/>
                <w:bCs/>
                <w:color w:val="auto"/>
                <w:sz w:val="24"/>
                <w:highlight w:val="none"/>
                <w:lang w:val="en-US" w:eastAsia="zh-CN"/>
              </w:rPr>
              <w:t>50</w:t>
            </w:r>
            <w:r>
              <w:rPr>
                <w:rFonts w:hint="eastAsia" w:ascii="方正仿宋_GBK" w:hAnsi="方正仿宋_GBK" w:eastAsia="方正仿宋_GBK" w:cs="方正仿宋_GBK"/>
                <w:b/>
                <w:bCs/>
                <w:color w:val="auto"/>
                <w:sz w:val="24"/>
                <w:highlight w:val="none"/>
              </w:rPr>
              <w:t>分）+商务部分（20分）+技术部分（</w:t>
            </w:r>
            <w:r>
              <w:rPr>
                <w:rFonts w:hint="eastAsia" w:ascii="方正仿宋_GBK" w:hAnsi="方正仿宋_GBK" w:eastAsia="方正仿宋_GBK" w:cs="方正仿宋_GBK"/>
                <w:b/>
                <w:bCs/>
                <w:color w:val="auto"/>
                <w:sz w:val="24"/>
                <w:highlight w:val="none"/>
                <w:lang w:val="en-US" w:eastAsia="zh-CN"/>
              </w:rPr>
              <w:t>3</w:t>
            </w:r>
            <w:r>
              <w:rPr>
                <w:rFonts w:hint="eastAsia" w:ascii="方正仿宋_GBK" w:hAnsi="方正仿宋_GBK" w:eastAsia="方正仿宋_GBK" w:cs="方正仿宋_GBK"/>
                <w:b/>
                <w:bCs/>
                <w:color w:val="auto"/>
                <w:sz w:val="24"/>
                <w:highlight w:val="none"/>
              </w:rPr>
              <w:t>0分）=最终得分</w:t>
            </w:r>
            <w:r>
              <w:rPr>
                <w:rFonts w:hint="eastAsia" w:ascii="方正仿宋_GBK" w:hAnsi="方正仿宋_GBK" w:eastAsia="方正仿宋_GBK" w:cs="方正仿宋_GBK"/>
                <w:color w:val="auto"/>
                <w:sz w:val="24"/>
                <w:highlight w:val="none"/>
              </w:rPr>
              <w:t>，技术部分以评审小组成员平均分作为此部分的比选分数，推荐得分最高的单位作为第一候选单位，对未中选情况不做解释。若出现两家及以上单位比选得分相同情况，推荐不含税报价最低的单位作为第一候选单位；如报价相同则须进行二次报价直至出现价差为止。</w:t>
            </w:r>
          </w:p>
          <w:p>
            <w:pPr>
              <w:numPr>
                <w:ilvl w:val="0"/>
                <w:numId w:val="2"/>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比选各方人员在公司监督人员的见证下当众开启密封文件，查验响应性文件。</w:t>
            </w:r>
          </w:p>
          <w:p>
            <w:pPr>
              <w:numPr>
                <w:ilvl w:val="0"/>
                <w:numId w:val="3"/>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查验商务文件是否符合比选邀请函要求，若未能完全响应资格要求，视为无效文件。</w:t>
            </w:r>
          </w:p>
          <w:p>
            <w:pPr>
              <w:numPr>
                <w:ilvl w:val="0"/>
                <w:numId w:val="3"/>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查验经济文件并</w:t>
            </w:r>
            <w:r>
              <w:rPr>
                <w:rFonts w:hint="eastAsia" w:ascii="方正仿宋_GBK" w:hAnsi="方正仿宋_GBK" w:eastAsia="方正仿宋_GBK" w:cs="方正仿宋_GBK"/>
                <w:color w:val="auto"/>
                <w:sz w:val="24"/>
                <w:highlight w:val="none"/>
              </w:rPr>
              <w:t>宣读报价</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若未能完全响应比选函，视为无效文件。</w:t>
            </w:r>
          </w:p>
          <w:p>
            <w:pPr>
              <w:numPr>
                <w:ilvl w:val="0"/>
                <w:numId w:val="0"/>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委托代理人签字确认报价</w:t>
            </w:r>
            <w:r>
              <w:rPr>
                <w:rFonts w:hint="eastAsia" w:ascii="方正仿宋_GBK" w:hAnsi="方正仿宋_GBK" w:eastAsia="方正仿宋_GBK" w:cs="方正仿宋_GBK"/>
                <w:color w:val="auto"/>
                <w:sz w:val="24"/>
                <w:highlight w:val="none"/>
                <w:lang w:eastAsia="zh-CN"/>
              </w:rPr>
              <w:t>。</w:t>
            </w:r>
          </w:p>
          <w:p>
            <w:pPr>
              <w:numPr>
                <w:ilvl w:val="0"/>
                <w:numId w:val="0"/>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（4）响应文件符合的比选单位委托代理人现场讲解技术文件（时间不超过10分钟），讲解后由评审小组就技术文件相关内容进行提问，并由比选单位现场解答（时间不超过10分钟）。</w:t>
            </w:r>
          </w:p>
          <w:p>
            <w:pPr>
              <w:numPr>
                <w:ilvl w:val="0"/>
                <w:numId w:val="0"/>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评审小组对响应文件进行详细比选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打分</w:t>
            </w:r>
            <w:r>
              <w:rPr>
                <w:rFonts w:hint="eastAsia" w:ascii="方正仿宋_GBK" w:hAnsi="方正仿宋_GBK" w:eastAsia="方正仿宋_GBK" w:cs="方正仿宋_GBK"/>
                <w:color w:val="auto"/>
                <w:sz w:val="24"/>
                <w:highlight w:val="none"/>
              </w:rPr>
              <w:t>并进行记录</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依次</w:t>
            </w:r>
            <w:r>
              <w:rPr>
                <w:rFonts w:hint="eastAsia" w:ascii="方正仿宋_GBK" w:hAnsi="方正仿宋_GBK" w:eastAsia="方正仿宋_GBK" w:cs="方正仿宋_GBK"/>
                <w:color w:val="auto"/>
                <w:sz w:val="24"/>
                <w:highlight w:val="none"/>
              </w:rPr>
              <w:t>得出</w:t>
            </w:r>
            <w:r>
              <w:rPr>
                <w:rFonts w:hint="eastAsia" w:ascii="方正仿宋_GBK" w:hAnsi="方正仿宋_GBK" w:eastAsia="方正仿宋_GBK" w:cs="方正仿宋_GBK"/>
                <w:color w:val="auto"/>
                <w:sz w:val="24"/>
                <w:highlight w:val="none"/>
                <w:lang w:val="en-US" w:eastAsia="zh-CN"/>
              </w:rPr>
              <w:t>比选</w:t>
            </w:r>
            <w:r>
              <w:rPr>
                <w:rFonts w:hint="eastAsia" w:ascii="方正仿宋_GBK" w:hAnsi="方正仿宋_GBK" w:eastAsia="方正仿宋_GBK" w:cs="方正仿宋_GBK"/>
                <w:color w:val="auto"/>
                <w:sz w:val="24"/>
                <w:highlight w:val="none"/>
              </w:rPr>
              <w:t>单位的最终得分。</w:t>
            </w:r>
          </w:p>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、综合评估标准详见附件2。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3" w:hRule="exact"/>
        </w:trPr>
        <w:tc>
          <w:tcPr>
            <w:tcW w:w="9431" w:type="dxa"/>
            <w:gridSpan w:val="2"/>
            <w:vAlign w:val="center"/>
          </w:tcPr>
          <w:p>
            <w:pPr>
              <w:numPr>
                <w:ilvl w:val="0"/>
                <w:numId w:val="4"/>
              </w:num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比选文件包括但不限于以下内容：</w:t>
            </w:r>
          </w:p>
          <w:p>
            <w:pPr>
              <w:numPr>
                <w:ilvl w:val="0"/>
                <w:numId w:val="5"/>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商务文件：</w:t>
            </w:r>
            <w:r>
              <w:rPr>
                <w:rFonts w:hint="eastAsia" w:ascii="方正仿宋_GBK" w:hAnsi="方正仿宋_GBK" w:eastAsia="方正仿宋_GBK" w:cs="方正仿宋_GBK"/>
                <w:color w:val="auto"/>
                <w:sz w:val="24"/>
                <w:szCs w:val="24"/>
                <w:highlight w:val="none"/>
              </w:rPr>
              <w:t>营业执照复印件</w:t>
            </w:r>
            <w:r>
              <w:rPr>
                <w:rFonts w:hint="eastAsia" w:ascii="方正仿宋_GBK" w:hAnsi="方正仿宋_GBK" w:eastAsia="方正仿宋_GBK" w:cs="方正仿宋_GBK"/>
                <w:color w:val="auto"/>
                <w:sz w:val="24"/>
                <w:szCs w:val="24"/>
                <w:highlight w:val="none"/>
                <w:lang w:val="en-US" w:eastAsia="zh-CN"/>
              </w:rPr>
              <w:t>、资质证书、承诺函、法定代表人资格证明书、</w:t>
            </w:r>
            <w:r>
              <w:rPr>
                <w:rFonts w:hint="eastAsia" w:ascii="方正仿宋_GBK" w:hAnsi="方正仿宋_GBK" w:eastAsia="方正仿宋_GBK" w:cs="方正仿宋_GBK"/>
                <w:color w:val="auto"/>
                <w:sz w:val="24"/>
                <w:szCs w:val="24"/>
                <w:highlight w:val="none"/>
              </w:rPr>
              <w:t>法定代表人授权委托书</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投标保证金缴纳凭据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业绩证明材料、体系认证材料、机具配置、人员配置等。</w:t>
            </w:r>
          </w:p>
          <w:p>
            <w:pPr>
              <w:numPr>
                <w:ilvl w:val="0"/>
                <w:numId w:val="0"/>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（2）经济文件：</w:t>
            </w:r>
            <w:r>
              <w:rPr>
                <w:rFonts w:hint="eastAsia" w:ascii="方正仿宋_GBK" w:hAnsi="方正仿宋_GBK" w:eastAsia="方正仿宋_GBK" w:cs="方正仿宋_GBK"/>
                <w:color w:val="auto"/>
                <w:sz w:val="24"/>
                <w:szCs w:val="24"/>
                <w:highlight w:val="none"/>
              </w:rPr>
              <w:t>比选函</w:t>
            </w:r>
            <w:r>
              <w:rPr>
                <w:rFonts w:hint="eastAsia" w:ascii="方正仿宋_GBK" w:hAnsi="方正仿宋_GBK" w:eastAsia="方正仿宋_GBK" w:cs="方正仿宋_GBK"/>
                <w:color w:val="auto"/>
                <w:sz w:val="24"/>
                <w:szCs w:val="24"/>
                <w:highlight w:val="none"/>
                <w:lang w:eastAsia="zh-CN"/>
              </w:rPr>
              <w:t>。</w:t>
            </w:r>
          </w:p>
          <w:p>
            <w:pPr>
              <w:numPr>
                <w:ilvl w:val="0"/>
                <w:numId w:val="0"/>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（3）技术文件：</w:t>
            </w:r>
            <w:r>
              <w:rPr>
                <w:rFonts w:hint="eastAsia" w:ascii="方正仿宋_GBK" w:hAnsi="方正仿宋_GBK" w:eastAsia="方正仿宋_GBK" w:cs="方正仿宋_GBK"/>
                <w:color w:val="auto"/>
                <w:sz w:val="24"/>
                <w:szCs w:val="24"/>
                <w:highlight w:val="none"/>
              </w:rPr>
              <w:t>整体服务方案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分项服务方案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管理制度及人员培训方案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安全保障</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应急预案</w:t>
            </w:r>
            <w:r>
              <w:rPr>
                <w:rFonts w:hint="eastAsia" w:ascii="方正仿宋_GBK" w:hAnsi="方正仿宋_GBK" w:eastAsia="方正仿宋_GBK" w:cs="方正仿宋_GBK"/>
                <w:color w:val="auto"/>
                <w:sz w:val="24"/>
                <w:szCs w:val="24"/>
                <w:highlight w:val="none"/>
                <w:lang w:val="en-US" w:eastAsia="zh-CN"/>
              </w:rPr>
              <w:t>等文件以及</w:t>
            </w:r>
            <w:r>
              <w:rPr>
                <w:rFonts w:hint="eastAsia" w:ascii="方正仿宋_GBK" w:hAnsi="方正仿宋_GBK" w:eastAsia="方正仿宋_GBK" w:cs="方正仿宋_GBK"/>
                <w:color w:val="auto"/>
                <w:sz w:val="24"/>
                <w:szCs w:val="24"/>
                <w:highlight w:val="none"/>
              </w:rPr>
              <w:t>根据比选项目情况认为需要添加的其他资料</w:t>
            </w:r>
            <w:r>
              <w:rPr>
                <w:rFonts w:hint="eastAsia" w:ascii="方正仿宋_GBK" w:hAnsi="方正仿宋_GBK" w:eastAsia="方正仿宋_GBK" w:cs="方正仿宋_GBK"/>
                <w:color w:val="auto"/>
                <w:sz w:val="24"/>
                <w:szCs w:val="24"/>
                <w:highlight w:val="none"/>
                <w:lang w:eastAsia="zh-CN"/>
              </w:rPr>
              <w:t>。</w:t>
            </w:r>
          </w:p>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2、要求提供的资料均需加盖鲜章，所有资料密封并在密封袋上写明单位名称、项目名称、日期并加盖公章。</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、比选文件</w:t>
            </w:r>
            <w:r>
              <w:rPr>
                <w:rFonts w:hint="eastAsia" w:ascii="方正仿宋_GBK" w:hAnsi="方正仿宋_GBK" w:eastAsia="方正仿宋_GBK" w:cs="方正仿宋_GBK"/>
                <w:color w:val="auto"/>
                <w:sz w:val="24"/>
                <w:highlight w:val="none"/>
                <w:lang w:val="en-US" w:eastAsia="zh-CN"/>
              </w:rPr>
              <w:t>装订份数及装订要求</w:t>
            </w:r>
            <w:r>
              <w:rPr>
                <w:rFonts w:hint="eastAsia" w:ascii="方正仿宋_GBK" w:hAnsi="方正仿宋_GBK" w:eastAsia="方正仿宋_GBK" w:cs="方正仿宋_GBK"/>
                <w:color w:val="auto"/>
                <w:sz w:val="24"/>
                <w:highlight w:val="none"/>
              </w:rPr>
              <w:t>：</w:t>
            </w:r>
          </w:p>
          <w:p>
            <w:pPr>
              <w:numPr>
                <w:ilvl w:val="0"/>
                <w:numId w:val="0"/>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纸质文件一共2份，</w:t>
            </w:r>
            <w:r>
              <w:rPr>
                <w:rFonts w:hint="eastAsia" w:ascii="方正仿宋_GBK" w:hAnsi="方正仿宋_GBK" w:eastAsia="方正仿宋_GBK" w:cs="方正仿宋_GBK"/>
                <w:color w:val="auto"/>
                <w:sz w:val="24"/>
                <w:szCs w:val="24"/>
                <w:highlight w:val="none"/>
              </w:rPr>
              <w:t>正本1份，副本1份</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正本、副本各自装入1个文件袋，一共2个文件袋，文件袋需密封完好。</w:t>
            </w:r>
          </w:p>
          <w:p>
            <w:pPr>
              <w:numPr>
                <w:ilvl w:val="0"/>
                <w:numId w:val="0"/>
              </w:numPr>
              <w:spacing w:line="440" w:lineRule="exac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（2）比选文件袋是应包含经济文件、商务文件和技术文件，3个文件需分开装订为3册并独立密封。</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盖章版扫描件1份（以U盘形式装入</w:t>
            </w:r>
            <w:r>
              <w:rPr>
                <w:rFonts w:hint="eastAsia" w:ascii="方正仿宋_GBK" w:hAnsi="方正仿宋_GBK" w:eastAsia="方正仿宋_GBK" w:cs="方正仿宋_GBK"/>
                <w:color w:val="auto"/>
                <w:sz w:val="24"/>
                <w:szCs w:val="24"/>
                <w:highlight w:val="none"/>
                <w:lang w:val="en-US" w:eastAsia="zh-CN"/>
              </w:rPr>
              <w:t>正本</w:t>
            </w:r>
            <w:r>
              <w:rPr>
                <w:rFonts w:hint="eastAsia" w:ascii="方正仿宋_GBK" w:hAnsi="方正仿宋_GBK" w:eastAsia="方正仿宋_GBK" w:cs="方正仿宋_GBK"/>
                <w:color w:val="auto"/>
                <w:sz w:val="24"/>
                <w:szCs w:val="24"/>
                <w:highlight w:val="none"/>
              </w:rPr>
              <w:t>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9431"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lang w:val="en-US" w:eastAsia="zh-CN"/>
              </w:rPr>
              <w:t>联系人：张雅雯                   电话：18290256430</w:t>
            </w:r>
          </w:p>
        </w:tc>
      </w:tr>
    </w:tbl>
    <w:p>
      <w:pPr>
        <w:rPr>
          <w:rFonts w:ascii="方正仿宋_GBK" w:hAnsi="方正仿宋_GBK" w:eastAsia="方正仿宋_GBK" w:cs="方正仿宋_GBK"/>
          <w:color w:val="auto"/>
          <w:sz w:val="28"/>
          <w:szCs w:val="28"/>
          <w:highlight w:val="none"/>
        </w:rPr>
        <w:sectPr>
          <w:footerReference r:id="rId3" w:type="default"/>
          <w:pgSz w:w="11906" w:h="16838"/>
          <w:pgMar w:top="1587" w:right="1587" w:bottom="1587" w:left="1587" w:header="851" w:footer="992" w:gutter="0"/>
          <w:pgNumType w:fmt="decimal"/>
          <w:cols w:space="0" w:num="1"/>
          <w:docGrid w:type="lines" w:linePitch="312" w:charSpace="0"/>
        </w:sectPr>
      </w:pPr>
    </w:p>
    <w:p>
      <w:pPr>
        <w:pStyle w:val="2"/>
        <w:wordWrap/>
        <w:spacing w:before="0" w:after="0" w:line="240" w:lineRule="auto"/>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附件1：</w:t>
      </w:r>
      <w:r>
        <w:rPr>
          <w:rFonts w:hint="eastAsia" w:ascii="方正仿宋_GBK" w:eastAsia="方正仿宋_GBK"/>
          <w:color w:val="auto"/>
          <w:sz w:val="32"/>
          <w:szCs w:val="32"/>
          <w:highlight w:val="none"/>
          <w:lang w:val="en-US" w:eastAsia="zh-CN"/>
        </w:rPr>
        <w:t>轨道10号线轨行区清掏冲洗、外墙清洗、沟渠池清掏服务最高限价表</w:t>
      </w:r>
    </w:p>
    <w:tbl>
      <w:tblPr>
        <w:tblStyle w:val="10"/>
        <w:tblW w:w="141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93"/>
        <w:gridCol w:w="1605"/>
        <w:gridCol w:w="1710"/>
        <w:gridCol w:w="2490"/>
        <w:gridCol w:w="1365"/>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 xml:space="preserve">计量单位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不含税单价最高限价（元）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工作频次(次/年)</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1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车站、隧道排水沟清掏 （含轨行区地面垃圾清扫）</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133438.00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0.4807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256573.07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轨行区垃圾清运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车（10t)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100.00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482.3838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48238.38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548800.00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0.2530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277691.15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高架、路基段轨行区清扫</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65535.00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0.4217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55267.52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边坡清洁卫生及杂草清除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3000.00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0.4217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2529.99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1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车站外墙清洗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15430.00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1.8553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114510.49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变电所外墙清洗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1103.70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1.8553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2047.72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1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生化池、污水井处理池、隔油池清掏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1140.40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25.2999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115407.80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生化池、污水井抽排</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8.00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80.1162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114085.46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区间隧道集水井、废水池清掏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328.06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7.0755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9284.79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车站隧道集水井、废水池清掏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2686.00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7.0755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19004.86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暂定不含税总价（元）</w:t>
            </w:r>
          </w:p>
        </w:tc>
        <w:tc>
          <w:tcPr>
            <w:tcW w:w="9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 xml:space="preserve">1014641.22 </w:t>
            </w:r>
          </w:p>
        </w:tc>
      </w:tr>
    </w:tbl>
    <w:p>
      <w:pPr>
        <w:rPr>
          <w:color w:val="auto"/>
          <w:highlight w:val="none"/>
        </w:rPr>
      </w:pPr>
    </w:p>
    <w:p>
      <w:pPr>
        <w:rPr>
          <w:color w:val="auto"/>
          <w:highlight w:val="none"/>
        </w:rPr>
      </w:pPr>
    </w:p>
    <w:p>
      <w:pP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sz w:val="24"/>
          <w:szCs w:val="32"/>
          <w:highlight w:val="none"/>
        </w:rPr>
        <w:t>备注：</w:t>
      </w:r>
      <w:r>
        <w:rPr>
          <w:rFonts w:hint="eastAsia" w:ascii="方正仿宋_GBK" w:hAnsi="方正仿宋_GBK" w:eastAsia="方正仿宋_GBK" w:cs="方正仿宋_GBK"/>
          <w:color w:val="auto"/>
          <w:kern w:val="0"/>
          <w:sz w:val="24"/>
          <w:highlight w:val="none"/>
        </w:rPr>
        <w:t>表格</w:t>
      </w:r>
      <w:r>
        <w:rPr>
          <w:rFonts w:hint="eastAsia" w:ascii="方正仿宋_GBK" w:hAnsi="方正仿宋_GBK" w:eastAsia="方正仿宋_GBK" w:cs="方正仿宋_GBK"/>
          <w:color w:val="auto"/>
          <w:kern w:val="0"/>
          <w:sz w:val="24"/>
          <w:highlight w:val="none"/>
          <w:lang w:val="en-US" w:eastAsia="zh-CN"/>
        </w:rPr>
        <w:t>中</w:t>
      </w:r>
      <w:r>
        <w:rPr>
          <w:rFonts w:hint="eastAsia" w:ascii="方正仿宋_GBK" w:hAnsi="方正仿宋_GBK" w:eastAsia="方正仿宋_GBK" w:cs="方正仿宋_GBK"/>
          <w:color w:val="auto"/>
          <w:kern w:val="0"/>
          <w:sz w:val="24"/>
          <w:highlight w:val="none"/>
        </w:rPr>
        <w:t>作业量</w:t>
      </w:r>
      <w:r>
        <w:rPr>
          <w:rFonts w:hint="eastAsia" w:ascii="方正仿宋_GBK" w:hAnsi="方正仿宋_GBK" w:eastAsia="方正仿宋_GBK" w:cs="方正仿宋_GBK"/>
          <w:color w:val="auto"/>
          <w:kern w:val="0"/>
          <w:sz w:val="24"/>
          <w:highlight w:val="none"/>
          <w:lang w:val="en-US" w:eastAsia="zh-CN"/>
        </w:rPr>
        <w:t>和作业频次</w:t>
      </w:r>
      <w:r>
        <w:rPr>
          <w:rFonts w:hint="eastAsia" w:ascii="方正仿宋_GBK" w:hAnsi="方正仿宋_GBK" w:eastAsia="方正仿宋_GBK" w:cs="方正仿宋_GBK"/>
          <w:color w:val="auto"/>
          <w:kern w:val="0"/>
          <w:sz w:val="24"/>
          <w:highlight w:val="none"/>
        </w:rPr>
        <w:t>均为预估，</w:t>
      </w:r>
      <w:r>
        <w:rPr>
          <w:rFonts w:hint="eastAsia" w:ascii="方正仿宋_GBK" w:hAnsi="方正仿宋_GBK" w:eastAsia="方正仿宋_GBK" w:cs="方正仿宋_GBK"/>
          <w:color w:val="auto"/>
          <w:kern w:val="0"/>
          <w:sz w:val="24"/>
          <w:highlight w:val="none"/>
          <w:lang w:val="en-US" w:eastAsia="zh-CN"/>
        </w:rPr>
        <w:t>实际</w:t>
      </w:r>
      <w:r>
        <w:rPr>
          <w:rFonts w:hint="eastAsia" w:ascii="方正仿宋_GBK" w:hAnsi="方正仿宋_GBK" w:eastAsia="方正仿宋_GBK" w:cs="方正仿宋_GBK"/>
          <w:color w:val="auto"/>
          <w:kern w:val="0"/>
          <w:sz w:val="24"/>
          <w:highlight w:val="none"/>
        </w:rPr>
        <w:t>作业量</w:t>
      </w:r>
      <w:r>
        <w:rPr>
          <w:rFonts w:hint="eastAsia" w:ascii="方正仿宋_GBK" w:hAnsi="方正仿宋_GBK" w:eastAsia="方正仿宋_GBK" w:cs="方正仿宋_GBK"/>
          <w:color w:val="auto"/>
          <w:kern w:val="0"/>
          <w:sz w:val="24"/>
          <w:highlight w:val="none"/>
          <w:lang w:val="en-US" w:eastAsia="zh-CN"/>
        </w:rPr>
        <w:t>和作业频次</w:t>
      </w:r>
      <w:r>
        <w:rPr>
          <w:rFonts w:hint="eastAsia" w:ascii="方正仿宋_GBK" w:hAnsi="方正仿宋_GBK" w:eastAsia="方正仿宋_GBK" w:cs="方正仿宋_GBK"/>
          <w:color w:val="auto"/>
          <w:kern w:val="0"/>
          <w:sz w:val="24"/>
          <w:highlight w:val="none"/>
        </w:rPr>
        <w:t>以现场实际</w:t>
      </w:r>
      <w:r>
        <w:rPr>
          <w:rFonts w:hint="eastAsia" w:ascii="方正仿宋_GBK" w:hAnsi="方正仿宋_GBK" w:eastAsia="方正仿宋_GBK" w:cs="方正仿宋_GBK"/>
          <w:color w:val="auto"/>
          <w:kern w:val="0"/>
          <w:sz w:val="24"/>
          <w:highlight w:val="none"/>
          <w:lang w:val="en-US" w:eastAsia="zh-CN"/>
        </w:rPr>
        <w:t>需求</w:t>
      </w:r>
      <w:r>
        <w:rPr>
          <w:rFonts w:hint="eastAsia" w:ascii="方正仿宋_GBK" w:hAnsi="方正仿宋_GBK" w:eastAsia="方正仿宋_GBK" w:cs="方正仿宋_GBK"/>
          <w:color w:val="auto"/>
          <w:kern w:val="0"/>
          <w:sz w:val="24"/>
          <w:highlight w:val="none"/>
        </w:rPr>
        <w:t>为准。</w:t>
      </w:r>
    </w:p>
    <w:p>
      <w:pPr>
        <w:pStyle w:val="4"/>
        <w:rPr>
          <w:color w:val="auto"/>
          <w:highlight w:val="none"/>
        </w:rPr>
        <w:sectPr>
          <w:headerReference r:id="rId4" w:type="default"/>
          <w:footerReference r:id="rId5" w:type="default"/>
          <w:pgSz w:w="16840" w:h="11900" w:orient="landscape"/>
          <w:pgMar w:top="940" w:right="1340" w:bottom="940" w:left="1340" w:header="920" w:footer="0" w:gutter="0"/>
          <w:pgNumType w:fmt="decimal"/>
          <w:cols w:space="720" w:num="1"/>
          <w:docGrid w:type="lines" w:linePitch="0" w:charSpace="0"/>
        </w:sectPr>
      </w:pPr>
    </w:p>
    <w:p>
      <w:pPr>
        <w:rPr>
          <w:color w:val="auto"/>
          <w:sz w:val="2"/>
          <w:szCs w:val="2"/>
          <w:highlight w:val="none"/>
        </w:rPr>
      </w:pPr>
      <w:r>
        <w:rPr>
          <w:rFonts w:hint="eastAsia" w:ascii="方正仿宋_GBK" w:hAnsi="方正仿宋_GBK" w:eastAsia="方正仿宋_GBK" w:cs="方正仿宋_GBK"/>
          <w:b/>
          <w:bCs/>
          <w:color w:val="auto"/>
          <w:sz w:val="32"/>
          <w:szCs w:val="32"/>
          <w:highlight w:val="none"/>
        </w:rPr>
        <w:t>附件2：综合评估标准</w:t>
      </w:r>
    </w:p>
    <w:p>
      <w:pPr>
        <w:rPr>
          <w:color w:val="auto"/>
          <w:highlight w:val="none"/>
        </w:rPr>
      </w:pPr>
    </w:p>
    <w:tbl>
      <w:tblPr>
        <w:tblStyle w:val="10"/>
        <w:tblW w:w="14687" w:type="dxa"/>
        <w:tblInd w:w="-321" w:type="dxa"/>
        <w:tblLayout w:type="fixed"/>
        <w:tblCellMar>
          <w:top w:w="0" w:type="dxa"/>
          <w:left w:w="108" w:type="dxa"/>
          <w:bottom w:w="0" w:type="dxa"/>
          <w:right w:w="108" w:type="dxa"/>
        </w:tblCellMar>
      </w:tblPr>
      <w:tblGrid>
        <w:gridCol w:w="1106"/>
        <w:gridCol w:w="1275"/>
        <w:gridCol w:w="732"/>
        <w:gridCol w:w="8367"/>
        <w:gridCol w:w="3207"/>
      </w:tblGrid>
      <w:tr>
        <w:tblPrEx>
          <w:tblCellMar>
            <w:top w:w="0" w:type="dxa"/>
            <w:left w:w="108" w:type="dxa"/>
            <w:bottom w:w="0" w:type="dxa"/>
            <w:right w:w="108" w:type="dxa"/>
          </w:tblCellMar>
        </w:tblPrEx>
        <w:trPr>
          <w:trHeight w:val="576" w:hRule="atLeast"/>
        </w:trPr>
        <w:tc>
          <w:tcPr>
            <w:tcW w:w="1106"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评分因素</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分值</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评分标准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说明</w:t>
            </w:r>
          </w:p>
        </w:tc>
      </w:tr>
      <w:tr>
        <w:tblPrEx>
          <w:tblCellMar>
            <w:top w:w="0" w:type="dxa"/>
            <w:left w:w="108" w:type="dxa"/>
            <w:bottom w:w="0" w:type="dxa"/>
            <w:right w:w="108" w:type="dxa"/>
          </w:tblCellMar>
        </w:tblPrEx>
        <w:trPr>
          <w:trHeight w:val="396"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报价</w:t>
            </w:r>
          </w:p>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部分</w:t>
            </w:r>
          </w:p>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w:t>
            </w: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24"/>
                <w:highlight w:val="none"/>
              </w:rPr>
            </w:pPr>
            <w:r>
              <w:rPr>
                <w:rFonts w:hint="eastAsia" w:ascii="方正仿宋_GBK" w:hAnsi="方正仿宋_GBK" w:eastAsia="方正仿宋_GBK" w:cs="方正仿宋_GBK"/>
                <w:color w:val="auto"/>
                <w:kern w:val="0"/>
                <w:sz w:val="24"/>
                <w:highlight w:val="none"/>
                <w:lang w:bidi="ar"/>
              </w:rPr>
              <w:t>投标报价</w:t>
            </w:r>
          </w:p>
        </w:tc>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w:t>
            </w:r>
          </w:p>
        </w:tc>
        <w:tc>
          <w:tcPr>
            <w:tcW w:w="836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kern w:val="0"/>
                <w:sz w:val="24"/>
                <w:highlight w:val="none"/>
                <w:lang w:bidi="ar"/>
              </w:rPr>
              <w:t>所有有效报价总价的平均值作为此次评标基准价。投标报价与评标基准价相比，相等的得</w:t>
            </w: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0分；报价每高于评标基准价1%扣1分，每低于评标基准价1 %扣0.5分，扣完为止(不足1%的按1%计算)</w:t>
            </w:r>
            <w:r>
              <w:rPr>
                <w:rFonts w:hint="eastAsia" w:ascii="方正仿宋_GBK" w:hAnsi="方正仿宋_GBK" w:eastAsia="方正仿宋_GBK" w:cs="方正仿宋_GBK"/>
                <w:color w:val="auto"/>
                <w:kern w:val="0"/>
                <w:sz w:val="24"/>
                <w:highlight w:val="none"/>
                <w:lang w:eastAsia="zh-CN" w:bidi="ar"/>
              </w:rPr>
              <w:t>。</w:t>
            </w:r>
          </w:p>
        </w:tc>
        <w:tc>
          <w:tcPr>
            <w:tcW w:w="3207" w:type="dxa"/>
            <w:vMerge w:val="restart"/>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如报价人报价超过限价的则该单位作否决比选处理</w:t>
            </w:r>
          </w:p>
        </w:tc>
      </w:tr>
      <w:tr>
        <w:tblPrEx>
          <w:tblCellMar>
            <w:top w:w="0" w:type="dxa"/>
            <w:left w:w="108" w:type="dxa"/>
            <w:bottom w:w="0" w:type="dxa"/>
            <w:right w:w="108" w:type="dxa"/>
          </w:tblCellMar>
        </w:tblPrEx>
        <w:trPr>
          <w:trHeight w:val="396"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836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auto"/>
                <w:sz w:val="24"/>
                <w:highlight w:val="none"/>
              </w:rPr>
            </w:pPr>
          </w:p>
        </w:tc>
        <w:tc>
          <w:tcPr>
            <w:tcW w:w="3207" w:type="dxa"/>
            <w:vMerge w:val="continue"/>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1721" w:hRule="atLeast"/>
        </w:trPr>
        <w:tc>
          <w:tcPr>
            <w:tcW w:w="1106" w:type="dxa"/>
            <w:vMerge w:val="restart"/>
            <w:tcBorders>
              <w:top w:val="single" w:color="000000" w:sz="4" w:space="0"/>
              <w:left w:val="single" w:color="000000" w:sz="8" w:space="0"/>
              <w:right w:val="single" w:color="000000" w:sz="4" w:space="0"/>
            </w:tcBorders>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商务</w:t>
            </w:r>
          </w:p>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部分</w:t>
            </w:r>
          </w:p>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业绩</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8</w:t>
            </w:r>
          </w:p>
        </w:tc>
        <w:tc>
          <w:tcPr>
            <w:tcW w:w="8367" w:type="dxa"/>
            <w:tcBorders>
              <w:top w:val="single" w:color="000000" w:sz="4" w:space="0"/>
              <w:left w:val="single" w:color="000000" w:sz="4" w:space="0"/>
              <w:bottom w:val="single" w:color="000000" w:sz="4" w:space="0"/>
              <w:right w:val="single" w:color="000000"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1、提供2019年至今，包含外墙清洗服务的合同金额达30万，提供一个得2分，最高得4分，未提供得0分；</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2、提供2019年至今，包含生化池清掏服务的合同金额达30万，提供一个得2分，最高得4分，未提供得0分；</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b w:val="0"/>
                <w:bCs w:val="0"/>
                <w:color w:val="auto"/>
                <w:sz w:val="24"/>
                <w:highlight w:val="none"/>
                <w:lang w:val="en-US" w:eastAsia="zh-CN"/>
              </w:rPr>
              <w:t>两类业绩累计最高得8分。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提供业绩合同复印件加盖公章，原件备查</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同一项目不同时间的合同不重复计算得分）                     2、同一合同包含上述内容的，仅按照一项内容计算得分，不重复计算</w:t>
            </w:r>
          </w:p>
        </w:tc>
      </w:tr>
      <w:tr>
        <w:tblPrEx>
          <w:tblCellMar>
            <w:top w:w="0" w:type="dxa"/>
            <w:left w:w="108" w:type="dxa"/>
            <w:bottom w:w="0" w:type="dxa"/>
            <w:right w:w="108" w:type="dxa"/>
          </w:tblCellMar>
        </w:tblPrEx>
        <w:trPr>
          <w:trHeight w:val="51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体系认证</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color w:val="auto"/>
                <w:sz w:val="24"/>
                <w:highlight w:val="none"/>
              </w:rPr>
              <w:t>提供有效的质量管理体系认证、环境管理体系认证、职业健康安全管理体系认证</w:t>
            </w:r>
            <w:r>
              <w:rPr>
                <w:rFonts w:hint="eastAsia" w:ascii="方正仿宋_GBK" w:hAnsi="方正仿宋_GBK" w:eastAsia="方正仿宋_GBK" w:cs="方正仿宋_GBK"/>
                <w:color w:val="auto"/>
                <w:sz w:val="24"/>
                <w:highlight w:val="none"/>
                <w:lang w:eastAsia="zh-CN"/>
              </w:rPr>
              <w:t>，提供一个得</w:t>
            </w:r>
            <w:r>
              <w:rPr>
                <w:rFonts w:hint="eastAsia" w:ascii="方正仿宋_GBK" w:hAnsi="方正仿宋_GBK" w:eastAsia="方正仿宋_GBK" w:cs="方正仿宋_GBK"/>
                <w:color w:val="auto"/>
                <w:sz w:val="24"/>
                <w:highlight w:val="none"/>
                <w:lang w:val="en-US" w:eastAsia="zh-CN"/>
              </w:rPr>
              <w:t>1分，最高得3分，</w:t>
            </w:r>
            <w:r>
              <w:rPr>
                <w:rFonts w:hint="eastAsia" w:ascii="方正仿宋_GBK" w:hAnsi="方正仿宋_GBK" w:eastAsia="方正仿宋_GBK" w:cs="方正仿宋_GBK"/>
                <w:b w:val="0"/>
                <w:bCs w:val="0"/>
                <w:color w:val="auto"/>
                <w:sz w:val="24"/>
                <w:highlight w:val="none"/>
                <w:lang w:val="en-US" w:eastAsia="zh-CN"/>
              </w:rPr>
              <w:t>未提供得0分</w:t>
            </w:r>
            <w:r>
              <w:rPr>
                <w:rFonts w:hint="eastAsia" w:ascii="方正仿宋_GBK" w:hAnsi="方正仿宋_GBK" w:eastAsia="方正仿宋_GBK" w:cs="方正仿宋_GBK"/>
                <w:color w:val="auto"/>
                <w:sz w:val="24"/>
                <w:highlight w:val="none"/>
                <w:lang w:val="en-US" w:eastAsia="zh-CN"/>
              </w:rPr>
              <w:t>。</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sz w:val="24"/>
                <w:highlight w:val="none"/>
              </w:rPr>
              <w:t>机具配置</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auto"/>
                <w:kern w:val="0"/>
                <w:sz w:val="24"/>
                <w:highlight w:val="none"/>
                <w:lang w:val="en-US" w:eastAsia="zh-CN" w:bidi="ar"/>
              </w:rPr>
            </w:pPr>
            <w:r>
              <w:rPr>
                <w:rFonts w:hint="eastAsia" w:ascii="方正仿宋_GBK" w:hAnsi="方正仿宋_GBK" w:eastAsia="方正仿宋_GBK" w:cs="方正仿宋_GBK"/>
                <w:color w:val="auto"/>
                <w:sz w:val="24"/>
                <w:highlight w:val="none"/>
                <w:lang w:val="en-US" w:eastAsia="zh-CN"/>
              </w:rPr>
              <w:t>9</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具备大型专业机具：</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1.升降机，</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2.高空作业车，</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核定载重量为7</w:t>
            </w:r>
            <w:r>
              <w:rPr>
                <w:rFonts w:hint="eastAsia" w:ascii="方正仿宋_GBK" w:hAnsi="方正仿宋_GBK" w:eastAsia="方正仿宋_GBK" w:cs="方正仿宋_GBK"/>
                <w:color w:val="auto"/>
                <w:sz w:val="24"/>
                <w:highlight w:val="none"/>
              </w:rPr>
              <w:t>吨</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大型渣车，</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2辆得2分，1辆得1分，未提供</w:t>
            </w:r>
            <w:r>
              <w:rPr>
                <w:rFonts w:hint="eastAsia" w:ascii="方正仿宋_GBK" w:hAnsi="方正仿宋_GBK" w:eastAsia="方正仿宋_GBK" w:cs="方正仿宋_GBK"/>
                <w:color w:val="auto"/>
                <w:sz w:val="24"/>
                <w:highlight w:val="none"/>
              </w:rPr>
              <w:t>得0分。</w:t>
            </w:r>
          </w:p>
          <w:p>
            <w:pPr>
              <w:shd w:val="clea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4.核定载重量为3</w:t>
            </w:r>
            <w:r>
              <w:rPr>
                <w:rFonts w:hint="eastAsia" w:ascii="方正仿宋_GBK" w:hAnsi="方正仿宋_GBK" w:eastAsia="方正仿宋_GBK" w:cs="方正仿宋_GBK"/>
                <w:color w:val="auto"/>
                <w:sz w:val="24"/>
                <w:highlight w:val="none"/>
              </w:rPr>
              <w:t>吨级</w:t>
            </w:r>
            <w:r>
              <w:rPr>
                <w:rFonts w:hint="eastAsia" w:ascii="方正仿宋_GBK" w:hAnsi="方正仿宋_GBK" w:eastAsia="方正仿宋_GBK" w:cs="方正仿宋_GBK"/>
                <w:color w:val="auto"/>
                <w:sz w:val="24"/>
                <w:highlight w:val="none"/>
                <w:lang w:val="en-US" w:eastAsia="zh-CN"/>
              </w:rPr>
              <w:t>吸污车，2</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1辆得1分，未提供</w:t>
            </w:r>
            <w:r>
              <w:rPr>
                <w:rFonts w:hint="eastAsia" w:ascii="方正仿宋_GBK" w:hAnsi="方正仿宋_GBK" w:eastAsia="方正仿宋_GBK" w:cs="方正仿宋_GBK"/>
                <w:color w:val="auto"/>
                <w:sz w:val="24"/>
                <w:highlight w:val="none"/>
              </w:rPr>
              <w:t>得0分。</w:t>
            </w:r>
          </w:p>
        </w:tc>
        <w:tc>
          <w:tcPr>
            <w:tcW w:w="3207"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color w:val="auto"/>
                <w:sz w:val="24"/>
                <w:highlight w:val="none"/>
              </w:rPr>
              <w:t>机具为供应商自有</w:t>
            </w:r>
            <w:r>
              <w:rPr>
                <w:rFonts w:hint="eastAsia" w:ascii="方正仿宋_GBK" w:hAnsi="方正仿宋_GBK" w:eastAsia="方正仿宋_GBK" w:cs="方正仿宋_GBK"/>
                <w:color w:val="auto"/>
                <w:sz w:val="24"/>
                <w:highlight w:val="none"/>
                <w:lang w:val="en-US" w:eastAsia="zh-CN"/>
              </w:rPr>
              <w:t>或租赁</w:t>
            </w:r>
            <w:r>
              <w:rPr>
                <w:rFonts w:hint="eastAsia" w:ascii="方正仿宋_GBK" w:hAnsi="方正仿宋_GBK" w:eastAsia="方正仿宋_GBK" w:cs="方正仿宋_GBK"/>
                <w:color w:val="auto"/>
                <w:sz w:val="24"/>
                <w:highlight w:val="none"/>
              </w:rPr>
              <w:t>，须</w:t>
            </w:r>
            <w:r>
              <w:rPr>
                <w:rFonts w:hint="eastAsia" w:ascii="方正仿宋_GBK" w:hAnsi="方正仿宋_GBK" w:eastAsia="方正仿宋_GBK" w:cs="方正仿宋_GBK"/>
                <w:color w:val="auto"/>
                <w:sz w:val="24"/>
                <w:highlight w:val="none"/>
                <w:lang w:val="en-US" w:eastAsia="zh-CN"/>
              </w:rPr>
              <w:t>提有效的购买发票复印件、供</w:t>
            </w:r>
            <w:r>
              <w:rPr>
                <w:rFonts w:hint="eastAsia" w:ascii="方正仿宋_GBK" w:hAnsi="方正仿宋_GBK" w:eastAsia="方正仿宋_GBK" w:cs="方正仿宋_GBK"/>
                <w:color w:val="auto"/>
                <w:sz w:val="24"/>
                <w:highlight w:val="none"/>
              </w:rPr>
              <w:t>行驶</w:t>
            </w:r>
            <w:r>
              <w:rPr>
                <w:rFonts w:hint="eastAsia" w:ascii="方正仿宋_GBK" w:hAnsi="方正仿宋_GBK" w:eastAsia="方正仿宋_GBK" w:cs="方正仿宋_GBK"/>
                <w:color w:val="auto"/>
                <w:sz w:val="24"/>
                <w:highlight w:val="none"/>
                <w:lang w:val="en-US" w:eastAsia="zh-CN"/>
              </w:rPr>
              <w:t>证复印件和登记证复印件或租赁合同，原件备查</w:t>
            </w:r>
          </w:p>
        </w:tc>
      </w:tr>
      <w:tr>
        <w:tblPrEx>
          <w:tblCellMar>
            <w:top w:w="0" w:type="dxa"/>
            <w:left w:w="108" w:type="dxa"/>
            <w:bottom w:w="0" w:type="dxa"/>
            <w:right w:w="108" w:type="dxa"/>
          </w:tblCellMar>
        </w:tblPrEx>
        <w:trPr>
          <w:trHeight w:val="1070"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技术</w:t>
            </w:r>
          </w:p>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部分（</w:t>
            </w:r>
            <w:r>
              <w:rPr>
                <w:rFonts w:hint="eastAsia" w:ascii="方正仿宋_GBK" w:hAnsi="方正仿宋_GBK" w:eastAsia="方正仿宋_GBK" w:cs="方正仿宋_GBK"/>
                <w:color w:val="auto"/>
                <w:kern w:val="0"/>
                <w:sz w:val="24"/>
                <w:highlight w:val="none"/>
                <w:lang w:val="en-US" w:eastAsia="zh-CN" w:bidi="ar"/>
              </w:rPr>
              <w:t>3</w:t>
            </w:r>
            <w:r>
              <w:rPr>
                <w:rFonts w:hint="eastAsia" w:ascii="方正仿宋_GBK" w:hAnsi="方正仿宋_GBK" w:eastAsia="方正仿宋_GBK" w:cs="方正仿宋_GBK"/>
                <w:color w:val="auto"/>
                <w:kern w:val="0"/>
                <w:sz w:val="24"/>
                <w:highlight w:val="none"/>
                <w:lang w:bidi="ar"/>
              </w:rPr>
              <w:t>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整体服务方案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numPr>
                <w:ilvl w:val="0"/>
                <w:numId w:val="6"/>
              </w:numPr>
              <w:spacing w:line="44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针对本项目具体情况，提出</w:t>
            </w:r>
            <w:r>
              <w:rPr>
                <w:rFonts w:hint="eastAsia" w:ascii="方正仿宋_GBK" w:hAnsi="方正仿宋_GBK" w:eastAsia="方正仿宋_GBK" w:cs="方正仿宋_GBK"/>
                <w:b w:val="0"/>
                <w:bCs w:val="0"/>
                <w:color w:val="auto"/>
                <w:sz w:val="24"/>
                <w:szCs w:val="24"/>
                <w:highlight w:val="none"/>
                <w:lang w:val="en-US" w:eastAsia="zh-CN"/>
              </w:rPr>
              <w:t>项目总体制度、</w:t>
            </w:r>
            <w:r>
              <w:rPr>
                <w:rFonts w:hint="eastAsia" w:ascii="方正仿宋_GBK" w:hAnsi="方正仿宋_GBK" w:eastAsia="方正仿宋_GBK" w:cs="方正仿宋_GBK"/>
                <w:b w:val="0"/>
                <w:bCs w:val="0"/>
                <w:color w:val="auto"/>
                <w:sz w:val="24"/>
                <w:szCs w:val="24"/>
                <w:highlight w:val="none"/>
              </w:rPr>
              <w:t>总体目标、</w:t>
            </w:r>
            <w:r>
              <w:rPr>
                <w:rFonts w:hint="eastAsia" w:ascii="方正仿宋_GBK" w:hAnsi="方正仿宋_GBK" w:eastAsia="方正仿宋_GBK" w:cs="方正仿宋_GBK"/>
                <w:b w:val="0"/>
                <w:bCs w:val="0"/>
                <w:color w:val="auto"/>
                <w:sz w:val="24"/>
                <w:szCs w:val="24"/>
                <w:highlight w:val="none"/>
                <w:lang w:val="en-US" w:eastAsia="zh-CN"/>
              </w:rPr>
              <w:t>管理</w:t>
            </w:r>
            <w:r>
              <w:rPr>
                <w:rFonts w:hint="eastAsia" w:ascii="方正仿宋_GBK" w:hAnsi="方正仿宋_GBK" w:eastAsia="方正仿宋_GBK" w:cs="方正仿宋_GBK"/>
                <w:b w:val="0"/>
                <w:bCs w:val="0"/>
                <w:color w:val="auto"/>
                <w:sz w:val="24"/>
                <w:szCs w:val="24"/>
                <w:highlight w:val="none"/>
              </w:rPr>
              <w:t>服务模式、</w:t>
            </w:r>
            <w:r>
              <w:rPr>
                <w:rFonts w:hint="eastAsia" w:ascii="方正仿宋_GBK" w:hAnsi="方正仿宋_GBK" w:eastAsia="方正仿宋_GBK" w:cs="方正仿宋_GBK"/>
                <w:b w:val="0"/>
                <w:bCs w:val="0"/>
                <w:color w:val="auto"/>
                <w:sz w:val="24"/>
                <w:szCs w:val="24"/>
                <w:highlight w:val="none"/>
                <w:lang w:val="en-US" w:eastAsia="zh-CN"/>
              </w:rPr>
              <w:t>作业流程和</w:t>
            </w:r>
            <w:r>
              <w:rPr>
                <w:rFonts w:hint="eastAsia" w:ascii="方正仿宋_GBK" w:hAnsi="方正仿宋_GBK" w:eastAsia="方正仿宋_GBK" w:cs="方正仿宋_GBK"/>
                <w:b w:val="0"/>
                <w:bCs w:val="0"/>
                <w:color w:val="auto"/>
                <w:sz w:val="24"/>
                <w:szCs w:val="24"/>
                <w:highlight w:val="none"/>
              </w:rPr>
              <w:t>进场安排，并对本项目的特点进行分析，提出相应的解决措施</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76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分项服务方案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12</w:t>
            </w:r>
          </w:p>
        </w:tc>
        <w:tc>
          <w:tcPr>
            <w:tcW w:w="836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轨行区清掏冲洗服务方案，包括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p>
            <w:pPr>
              <w:numPr>
                <w:ilvl w:val="0"/>
                <w:numId w:val="0"/>
              </w:num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lang w:eastAsia="zh-CN"/>
              </w:rPr>
              <w:t>外墙清洗</w:t>
            </w:r>
            <w:r>
              <w:rPr>
                <w:rFonts w:hint="eastAsia" w:ascii="方正仿宋_GBK" w:hAnsi="方正仿宋_GBK" w:eastAsia="方正仿宋_GBK" w:cs="方正仿宋_GBK"/>
                <w:color w:val="auto"/>
                <w:sz w:val="24"/>
                <w:highlight w:val="none"/>
              </w:rPr>
              <w:t>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p>
            <w:pPr>
              <w:keepNext w:val="0"/>
              <w:keepLines w:val="0"/>
              <w:pageBreakBefore w:val="0"/>
              <w:widowControl/>
              <w:kinsoku/>
              <w:wordWrap/>
              <w:overflowPunct/>
              <w:topLinePunct w:val="0"/>
              <w:autoSpaceDE/>
              <w:autoSpaceDN/>
              <w:bidi w:val="0"/>
              <w:adjustRightInd/>
              <w:snapToGrid/>
              <w:spacing w:line="440" w:lineRule="exac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szCs w:val="24"/>
                <w:highlight w:val="none"/>
                <w:lang w:val="en-US" w:eastAsia="zh-CN" w:bidi="ar"/>
              </w:rPr>
            </w:pPr>
            <w:r>
              <w:rPr>
                <w:rFonts w:hint="eastAsia" w:ascii="方正仿宋_GBK" w:hAnsi="方正仿宋_GBK" w:eastAsia="方正仿宋_GBK" w:cs="方正仿宋_GBK"/>
                <w:color w:val="auto"/>
                <w:sz w:val="24"/>
                <w:highlight w:val="none"/>
              </w:rPr>
              <w:t>人员配置</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szCs w:val="24"/>
                <w:highlight w:val="none"/>
                <w:lang w:val="en-US" w:eastAsia="zh-CN" w:bidi="ar"/>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名高处作业人员，均具有</w:t>
            </w:r>
            <w:r>
              <w:rPr>
                <w:rFonts w:hint="eastAsia" w:ascii="方正仿宋_GBK" w:hAnsi="方正仿宋_GBK" w:eastAsia="方正仿宋_GBK" w:cs="方正仿宋_GBK"/>
                <w:color w:val="auto"/>
                <w:sz w:val="24"/>
                <w:highlight w:val="none"/>
                <w:lang w:val="en-US" w:eastAsia="zh-CN"/>
              </w:rPr>
              <w:t>重庆市</w:t>
            </w:r>
            <w:r>
              <w:rPr>
                <w:rFonts w:hint="eastAsia" w:ascii="方正仿宋_GBK" w:hAnsi="方正仿宋_GBK" w:eastAsia="方正仿宋_GBK" w:cs="方正仿宋_GBK"/>
                <w:color w:val="auto"/>
                <w:sz w:val="24"/>
                <w:highlight w:val="none"/>
              </w:rPr>
              <w:t>应急管理</w:t>
            </w:r>
            <w:r>
              <w:rPr>
                <w:rFonts w:hint="eastAsia" w:ascii="方正仿宋_GBK" w:hAnsi="方正仿宋_GBK" w:eastAsia="方正仿宋_GBK" w:cs="方正仿宋_GBK"/>
                <w:color w:val="auto"/>
                <w:sz w:val="24"/>
                <w:highlight w:val="none"/>
                <w:lang w:val="en-US" w:eastAsia="zh-CN"/>
              </w:rPr>
              <w:t>局</w:t>
            </w:r>
            <w:r>
              <w:rPr>
                <w:rFonts w:hint="eastAsia" w:ascii="方正仿宋_GBK" w:hAnsi="方正仿宋_GBK" w:eastAsia="方正仿宋_GBK" w:cs="方正仿宋_GBK"/>
                <w:color w:val="auto"/>
                <w:sz w:val="24"/>
                <w:highlight w:val="none"/>
              </w:rPr>
              <w:t>颁发</w:t>
            </w:r>
            <w:r>
              <w:rPr>
                <w:rFonts w:hint="eastAsia" w:ascii="方正仿宋_GBK" w:hAnsi="方正仿宋_GBK" w:eastAsia="方正仿宋_GBK" w:cs="方正仿宋_GBK"/>
                <w:color w:val="auto"/>
                <w:sz w:val="24"/>
                <w:highlight w:val="none"/>
                <w:lang w:val="en-US" w:eastAsia="zh-CN"/>
              </w:rPr>
              <w:t>的作业类别为</w:t>
            </w:r>
            <w:r>
              <w:rPr>
                <w:rFonts w:hint="eastAsia" w:ascii="方正仿宋_GBK" w:hAnsi="方正仿宋_GBK" w:eastAsia="方正仿宋_GBK" w:cs="方正仿宋_GBK"/>
                <w:color w:val="auto"/>
                <w:sz w:val="24"/>
                <w:highlight w:val="none"/>
              </w:rPr>
              <w:t>“高处作业”</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特种操作证书得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分，不满足得0分。</w:t>
            </w:r>
          </w:p>
          <w:p>
            <w:pPr>
              <w:spacing w:line="440" w:lineRule="exact"/>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10</w:t>
            </w:r>
            <w:r>
              <w:rPr>
                <w:rFonts w:hint="eastAsia" w:ascii="方正仿宋_GBK" w:hAnsi="方正仿宋_GBK" w:eastAsia="方正仿宋_GBK" w:cs="方正仿宋_GBK"/>
                <w:color w:val="auto"/>
                <w:sz w:val="24"/>
                <w:highlight w:val="none"/>
              </w:rPr>
              <w:t>名清掏作业人员，具有有效的“</w:t>
            </w:r>
            <w:r>
              <w:rPr>
                <w:rFonts w:hint="eastAsia" w:ascii="方正仿宋_GBK" w:hAnsi="方正仿宋_GBK" w:eastAsia="方正仿宋_GBK" w:cs="方正仿宋_GBK"/>
                <w:color w:val="auto"/>
                <w:sz w:val="24"/>
                <w:highlight w:val="none"/>
                <w:lang w:val="en-US" w:eastAsia="zh-CN"/>
              </w:rPr>
              <w:t>化粪池</w:t>
            </w:r>
            <w:r>
              <w:rPr>
                <w:rFonts w:hint="eastAsia" w:ascii="方正仿宋_GBK" w:hAnsi="方正仿宋_GBK" w:eastAsia="方正仿宋_GBK" w:cs="方正仿宋_GBK"/>
                <w:color w:val="auto"/>
                <w:sz w:val="24"/>
                <w:highlight w:val="none"/>
              </w:rPr>
              <w:t>清掏维护专项职业能力证书”的得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分，不满足得0分。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color w:val="auto"/>
                <w:sz w:val="24"/>
                <w:highlight w:val="none"/>
              </w:rPr>
              <w:t>提供所列证书复印件、比选截止时间前6个月的连续社保证明材料复印件，均需加盖公章</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原件备查</w:t>
            </w: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管理制度及人员培训方案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1.管理制度方案：包括</w:t>
            </w:r>
            <w:r>
              <w:rPr>
                <w:rFonts w:hint="eastAsia" w:ascii="方正仿宋_GBK" w:hAnsi="方正仿宋_GBK" w:eastAsia="方正仿宋_GBK" w:cs="方正仿宋_GBK"/>
                <w:color w:val="auto"/>
                <w:sz w:val="24"/>
                <w:highlight w:val="none"/>
              </w:rPr>
              <w:t>项目</w:t>
            </w:r>
            <w:r>
              <w:rPr>
                <w:rFonts w:hint="eastAsia" w:ascii="方正仿宋_GBK" w:hAnsi="方正仿宋_GBK" w:eastAsia="方正仿宋_GBK" w:cs="方正仿宋_GBK"/>
                <w:color w:val="auto"/>
                <w:sz w:val="24"/>
                <w:highlight w:val="none"/>
                <w:lang w:val="en-US" w:eastAsia="zh-CN"/>
              </w:rPr>
              <w:t>内部管理制度、项目组织架构</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管理职责和考核细则。内容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2.人员培训方案：包括培训目标、培训计划和培训课程等。内容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127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rPr>
              <w:t>安全保障</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提供完善的安全保障方案，包括安全作业措施、安全保障设备、</w:t>
            </w:r>
            <w:r>
              <w:rPr>
                <w:rFonts w:hint="eastAsia" w:ascii="方正仿宋_GBK" w:hAnsi="方正仿宋_GBK" w:eastAsia="方正仿宋_GBK" w:cs="方正仿宋_GBK"/>
                <w:color w:val="auto"/>
                <w:sz w:val="24"/>
                <w:highlight w:val="none"/>
                <w:lang w:val="en-US" w:eastAsia="zh-CN"/>
              </w:rPr>
              <w:t>质量保证措施、</w:t>
            </w:r>
            <w:r>
              <w:rPr>
                <w:rFonts w:hint="eastAsia" w:ascii="方正仿宋_GBK" w:hAnsi="方正仿宋_GBK" w:eastAsia="方正仿宋_GBK" w:cs="方正仿宋_GBK"/>
                <w:color w:val="auto"/>
                <w:sz w:val="24"/>
                <w:highlight w:val="none"/>
              </w:rPr>
              <w:t>各类安全事故处理措施等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78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应急预案</w:t>
            </w:r>
          </w:p>
        </w:tc>
        <w:tc>
          <w:tcPr>
            <w:tcW w:w="732" w:type="dxa"/>
            <w:tcBorders>
              <w:top w:val="single" w:color="000000" w:sz="4" w:space="0"/>
              <w:left w:val="single" w:color="000000" w:sz="4" w:space="0"/>
              <w:bottom w:val="single" w:color="000000" w:sz="8" w:space="0"/>
              <w:right w:val="single" w:color="000000" w:sz="4" w:space="0"/>
            </w:tcBorders>
            <w:vAlign w:val="center"/>
          </w:tcPr>
          <w:p>
            <w:pPr>
              <w:spacing w:line="440" w:lineRule="exact"/>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8"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针对轨道业态的突发事件、恶劣天气等特殊情况制定应急预案，包括应急保障小组、传达机制、应急情况种类、处置流程、人员安排和设备调配等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8"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576" w:hRule="atLeast"/>
        </w:trPr>
        <w:tc>
          <w:tcPr>
            <w:tcW w:w="1106"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评分因素</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分值</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评分标准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说明</w:t>
            </w:r>
          </w:p>
        </w:tc>
      </w:tr>
      <w:tr>
        <w:tblPrEx>
          <w:tblCellMar>
            <w:top w:w="0" w:type="dxa"/>
            <w:left w:w="108" w:type="dxa"/>
            <w:bottom w:w="0" w:type="dxa"/>
            <w:right w:w="108" w:type="dxa"/>
          </w:tblCellMar>
        </w:tblPrEx>
        <w:trPr>
          <w:trHeight w:val="396"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报价</w:t>
            </w:r>
          </w:p>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部分</w:t>
            </w:r>
          </w:p>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w:t>
            </w: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24"/>
                <w:highlight w:val="none"/>
              </w:rPr>
            </w:pPr>
            <w:r>
              <w:rPr>
                <w:rFonts w:hint="eastAsia" w:ascii="方正仿宋_GBK" w:hAnsi="方正仿宋_GBK" w:eastAsia="方正仿宋_GBK" w:cs="方正仿宋_GBK"/>
                <w:color w:val="auto"/>
                <w:kern w:val="0"/>
                <w:sz w:val="24"/>
                <w:highlight w:val="none"/>
                <w:lang w:bidi="ar"/>
              </w:rPr>
              <w:t>投标报价</w:t>
            </w:r>
          </w:p>
        </w:tc>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w:t>
            </w:r>
          </w:p>
        </w:tc>
        <w:tc>
          <w:tcPr>
            <w:tcW w:w="836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kern w:val="0"/>
                <w:sz w:val="24"/>
                <w:highlight w:val="none"/>
                <w:lang w:bidi="ar"/>
              </w:rPr>
              <w:t>所有有效报价总价的平均值作为此次评标基准价。投标报价与评标基准价相比，相等的得</w:t>
            </w: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0分；报价每高于评标基准价1%扣1分，每低于评标基准价1 %扣0.5分，扣完为止(不足1%的按1%计算)</w:t>
            </w:r>
            <w:r>
              <w:rPr>
                <w:rFonts w:hint="eastAsia" w:ascii="方正仿宋_GBK" w:hAnsi="方正仿宋_GBK" w:eastAsia="方正仿宋_GBK" w:cs="方正仿宋_GBK"/>
                <w:color w:val="auto"/>
                <w:kern w:val="0"/>
                <w:sz w:val="24"/>
                <w:highlight w:val="none"/>
                <w:lang w:eastAsia="zh-CN" w:bidi="ar"/>
              </w:rPr>
              <w:t>。</w:t>
            </w:r>
          </w:p>
        </w:tc>
        <w:tc>
          <w:tcPr>
            <w:tcW w:w="3207" w:type="dxa"/>
            <w:vMerge w:val="restart"/>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如报价人报价超过限价的则该单位作否决比选处理</w:t>
            </w:r>
          </w:p>
        </w:tc>
      </w:tr>
      <w:tr>
        <w:tblPrEx>
          <w:tblCellMar>
            <w:top w:w="0" w:type="dxa"/>
            <w:left w:w="108" w:type="dxa"/>
            <w:bottom w:w="0" w:type="dxa"/>
            <w:right w:w="108" w:type="dxa"/>
          </w:tblCellMar>
        </w:tblPrEx>
        <w:trPr>
          <w:trHeight w:val="396"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836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auto"/>
                <w:sz w:val="24"/>
                <w:highlight w:val="none"/>
              </w:rPr>
            </w:pPr>
          </w:p>
        </w:tc>
        <w:tc>
          <w:tcPr>
            <w:tcW w:w="3207" w:type="dxa"/>
            <w:vMerge w:val="continue"/>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1721" w:hRule="atLeast"/>
        </w:trPr>
        <w:tc>
          <w:tcPr>
            <w:tcW w:w="1106" w:type="dxa"/>
            <w:vMerge w:val="restart"/>
            <w:tcBorders>
              <w:top w:val="single" w:color="000000" w:sz="4" w:space="0"/>
              <w:left w:val="single" w:color="000000" w:sz="8" w:space="0"/>
              <w:right w:val="single" w:color="000000" w:sz="4" w:space="0"/>
            </w:tcBorders>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商务</w:t>
            </w:r>
          </w:p>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部分</w:t>
            </w:r>
          </w:p>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业绩</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8</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color w:val="auto"/>
                <w:sz w:val="24"/>
                <w:highlight w:val="none"/>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1、提供2018年至今，包含外墙清洗服务的合同金额达30万，提供一个得1分，最高得4分，未提供得0分；</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2、提供2018年至今，包含生化池清掏服务的合同金额达30万，提供一个得1分，最高得4分，未提供得0分；</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b w:val="0"/>
                <w:bCs w:val="0"/>
                <w:color w:val="auto"/>
                <w:sz w:val="24"/>
                <w:highlight w:val="none"/>
                <w:lang w:val="en-US" w:eastAsia="zh-CN"/>
              </w:rPr>
              <w:t>两类业绩累计最高得8分。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提供业绩合同复印件加盖公章，原件备查</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同一项目不同时间的合同不重复计算得分）                     2、同一合同包含上述内容的，仅按照一项内容计算得分，不重复计算</w:t>
            </w:r>
          </w:p>
        </w:tc>
      </w:tr>
      <w:tr>
        <w:tblPrEx>
          <w:tblCellMar>
            <w:top w:w="0" w:type="dxa"/>
            <w:left w:w="108" w:type="dxa"/>
            <w:bottom w:w="0" w:type="dxa"/>
            <w:right w:w="108" w:type="dxa"/>
          </w:tblCellMar>
        </w:tblPrEx>
        <w:trPr>
          <w:trHeight w:val="51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体系认证</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color w:val="auto"/>
                <w:sz w:val="24"/>
                <w:highlight w:val="none"/>
              </w:rPr>
              <w:t>提供有效的质量管理体系认证、环境管理体系认证、职业健康安全管理体系认证</w:t>
            </w:r>
            <w:r>
              <w:rPr>
                <w:rFonts w:hint="eastAsia" w:ascii="方正仿宋_GBK" w:hAnsi="方正仿宋_GBK" w:eastAsia="方正仿宋_GBK" w:cs="方正仿宋_GBK"/>
                <w:color w:val="auto"/>
                <w:sz w:val="24"/>
                <w:highlight w:val="none"/>
                <w:lang w:eastAsia="zh-CN"/>
              </w:rPr>
              <w:t>，提供一个得</w:t>
            </w:r>
            <w:r>
              <w:rPr>
                <w:rFonts w:hint="eastAsia" w:ascii="方正仿宋_GBK" w:hAnsi="方正仿宋_GBK" w:eastAsia="方正仿宋_GBK" w:cs="方正仿宋_GBK"/>
                <w:color w:val="auto"/>
                <w:sz w:val="24"/>
                <w:highlight w:val="none"/>
                <w:lang w:val="en-US" w:eastAsia="zh-CN"/>
              </w:rPr>
              <w:t>1分，最高得3分，</w:t>
            </w:r>
            <w:r>
              <w:rPr>
                <w:rFonts w:hint="eastAsia" w:ascii="方正仿宋_GBK" w:hAnsi="方正仿宋_GBK" w:eastAsia="方正仿宋_GBK" w:cs="方正仿宋_GBK"/>
                <w:b w:val="0"/>
                <w:bCs w:val="0"/>
                <w:color w:val="auto"/>
                <w:sz w:val="24"/>
                <w:highlight w:val="none"/>
                <w:lang w:val="en-US" w:eastAsia="zh-CN"/>
              </w:rPr>
              <w:t>未提供得0分</w:t>
            </w:r>
            <w:r>
              <w:rPr>
                <w:rFonts w:hint="eastAsia" w:ascii="方正仿宋_GBK" w:hAnsi="方正仿宋_GBK" w:eastAsia="方正仿宋_GBK" w:cs="方正仿宋_GBK"/>
                <w:color w:val="auto"/>
                <w:sz w:val="24"/>
                <w:highlight w:val="none"/>
                <w:lang w:val="en-US" w:eastAsia="zh-CN"/>
              </w:rPr>
              <w:t>。</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sz w:val="24"/>
                <w:highlight w:val="none"/>
              </w:rPr>
              <w:t>机具配置</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auto"/>
                <w:kern w:val="0"/>
                <w:sz w:val="24"/>
                <w:highlight w:val="none"/>
                <w:lang w:val="en-US" w:eastAsia="zh-CN" w:bidi="ar"/>
              </w:rPr>
            </w:pPr>
            <w:r>
              <w:rPr>
                <w:rFonts w:hint="eastAsia" w:ascii="方正仿宋_GBK" w:hAnsi="方正仿宋_GBK" w:eastAsia="方正仿宋_GBK" w:cs="方正仿宋_GBK"/>
                <w:color w:val="auto"/>
                <w:sz w:val="24"/>
                <w:highlight w:val="none"/>
                <w:lang w:val="en-US" w:eastAsia="zh-CN"/>
              </w:rPr>
              <w:t>9</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具备大型专业机具：</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1.升降机，</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2.高空作业车，</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核定载重量为10</w:t>
            </w:r>
            <w:r>
              <w:rPr>
                <w:rFonts w:hint="eastAsia" w:ascii="方正仿宋_GBK" w:hAnsi="方正仿宋_GBK" w:eastAsia="方正仿宋_GBK" w:cs="方正仿宋_GBK"/>
                <w:color w:val="auto"/>
                <w:sz w:val="24"/>
                <w:highlight w:val="none"/>
              </w:rPr>
              <w:t>吨</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大型渣车，</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2辆得2分，1辆得1分，未提供</w:t>
            </w:r>
            <w:r>
              <w:rPr>
                <w:rFonts w:hint="eastAsia" w:ascii="方正仿宋_GBK" w:hAnsi="方正仿宋_GBK" w:eastAsia="方正仿宋_GBK" w:cs="方正仿宋_GBK"/>
                <w:color w:val="auto"/>
                <w:sz w:val="24"/>
                <w:highlight w:val="none"/>
              </w:rPr>
              <w:t>得0分。</w:t>
            </w:r>
          </w:p>
          <w:p>
            <w:pPr>
              <w:shd w:val="clea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4.核定载重量为10</w:t>
            </w:r>
            <w:r>
              <w:rPr>
                <w:rFonts w:hint="eastAsia" w:ascii="方正仿宋_GBK" w:hAnsi="方正仿宋_GBK" w:eastAsia="方正仿宋_GBK" w:cs="方正仿宋_GBK"/>
                <w:color w:val="auto"/>
                <w:sz w:val="24"/>
                <w:highlight w:val="none"/>
              </w:rPr>
              <w:t>吨级</w:t>
            </w:r>
            <w:r>
              <w:rPr>
                <w:rFonts w:hint="eastAsia" w:ascii="方正仿宋_GBK" w:hAnsi="方正仿宋_GBK" w:eastAsia="方正仿宋_GBK" w:cs="方正仿宋_GBK"/>
                <w:color w:val="auto"/>
                <w:sz w:val="24"/>
                <w:highlight w:val="none"/>
                <w:lang w:val="en-US" w:eastAsia="zh-CN"/>
              </w:rPr>
              <w:t>清洗吸污车，2</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1辆得1分，未提供</w:t>
            </w:r>
            <w:r>
              <w:rPr>
                <w:rFonts w:hint="eastAsia" w:ascii="方正仿宋_GBK" w:hAnsi="方正仿宋_GBK" w:eastAsia="方正仿宋_GBK" w:cs="方正仿宋_GBK"/>
                <w:color w:val="auto"/>
                <w:sz w:val="24"/>
                <w:highlight w:val="none"/>
              </w:rPr>
              <w:t>得0分。</w:t>
            </w:r>
          </w:p>
        </w:tc>
        <w:tc>
          <w:tcPr>
            <w:tcW w:w="3207"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color w:val="auto"/>
                <w:sz w:val="24"/>
                <w:highlight w:val="none"/>
              </w:rPr>
              <w:t>机具为供应商自有</w:t>
            </w:r>
            <w:r>
              <w:rPr>
                <w:rFonts w:hint="eastAsia" w:ascii="方正仿宋_GBK" w:hAnsi="方正仿宋_GBK" w:eastAsia="方正仿宋_GBK" w:cs="方正仿宋_GBK"/>
                <w:color w:val="auto"/>
                <w:sz w:val="24"/>
                <w:highlight w:val="none"/>
                <w:lang w:val="en-US" w:eastAsia="zh-CN"/>
              </w:rPr>
              <w:t>或租赁</w:t>
            </w:r>
            <w:r>
              <w:rPr>
                <w:rFonts w:hint="eastAsia" w:ascii="方正仿宋_GBK" w:hAnsi="方正仿宋_GBK" w:eastAsia="方正仿宋_GBK" w:cs="方正仿宋_GBK"/>
                <w:color w:val="auto"/>
                <w:sz w:val="24"/>
                <w:highlight w:val="none"/>
              </w:rPr>
              <w:t>，须</w:t>
            </w:r>
            <w:r>
              <w:rPr>
                <w:rFonts w:hint="eastAsia" w:ascii="方正仿宋_GBK" w:hAnsi="方正仿宋_GBK" w:eastAsia="方正仿宋_GBK" w:cs="方正仿宋_GBK"/>
                <w:color w:val="auto"/>
                <w:sz w:val="24"/>
                <w:highlight w:val="none"/>
                <w:lang w:val="en-US" w:eastAsia="zh-CN"/>
              </w:rPr>
              <w:t>提有效的购买发票复印件、供</w:t>
            </w:r>
            <w:r>
              <w:rPr>
                <w:rFonts w:hint="eastAsia" w:ascii="方正仿宋_GBK" w:hAnsi="方正仿宋_GBK" w:eastAsia="方正仿宋_GBK" w:cs="方正仿宋_GBK"/>
                <w:color w:val="auto"/>
                <w:sz w:val="24"/>
                <w:highlight w:val="none"/>
              </w:rPr>
              <w:t>行驶</w:t>
            </w:r>
            <w:r>
              <w:rPr>
                <w:rFonts w:hint="eastAsia" w:ascii="方正仿宋_GBK" w:hAnsi="方正仿宋_GBK" w:eastAsia="方正仿宋_GBK" w:cs="方正仿宋_GBK"/>
                <w:color w:val="auto"/>
                <w:sz w:val="24"/>
                <w:highlight w:val="none"/>
                <w:lang w:val="en-US" w:eastAsia="zh-CN"/>
              </w:rPr>
              <w:t>证复印件和登记证复印件或租赁合同，原件备查</w:t>
            </w:r>
          </w:p>
        </w:tc>
      </w:tr>
      <w:tr>
        <w:tblPrEx>
          <w:tblCellMar>
            <w:top w:w="0" w:type="dxa"/>
            <w:left w:w="108" w:type="dxa"/>
            <w:bottom w:w="0" w:type="dxa"/>
            <w:right w:w="108" w:type="dxa"/>
          </w:tblCellMar>
        </w:tblPrEx>
        <w:trPr>
          <w:trHeight w:val="1070"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技术</w:t>
            </w:r>
          </w:p>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部分（</w:t>
            </w:r>
            <w:r>
              <w:rPr>
                <w:rFonts w:hint="eastAsia" w:ascii="方正仿宋_GBK" w:hAnsi="方正仿宋_GBK" w:eastAsia="方正仿宋_GBK" w:cs="方正仿宋_GBK"/>
                <w:color w:val="auto"/>
                <w:kern w:val="0"/>
                <w:sz w:val="24"/>
                <w:highlight w:val="none"/>
                <w:lang w:val="en-US" w:eastAsia="zh-CN" w:bidi="ar"/>
              </w:rPr>
              <w:t>3</w:t>
            </w:r>
            <w:r>
              <w:rPr>
                <w:rFonts w:hint="eastAsia" w:ascii="方正仿宋_GBK" w:hAnsi="方正仿宋_GBK" w:eastAsia="方正仿宋_GBK" w:cs="方正仿宋_GBK"/>
                <w:color w:val="auto"/>
                <w:kern w:val="0"/>
                <w:sz w:val="24"/>
                <w:highlight w:val="none"/>
                <w:lang w:bidi="ar"/>
              </w:rPr>
              <w:t>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整体服务方案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numPr>
                <w:ilvl w:val="0"/>
                <w:numId w:val="6"/>
              </w:numPr>
              <w:spacing w:line="44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针对本项目具体情况，提出</w:t>
            </w:r>
            <w:r>
              <w:rPr>
                <w:rFonts w:hint="eastAsia" w:ascii="方正仿宋_GBK" w:hAnsi="方正仿宋_GBK" w:eastAsia="方正仿宋_GBK" w:cs="方正仿宋_GBK"/>
                <w:b w:val="0"/>
                <w:bCs w:val="0"/>
                <w:color w:val="auto"/>
                <w:sz w:val="24"/>
                <w:szCs w:val="24"/>
                <w:highlight w:val="none"/>
                <w:lang w:val="en-US" w:eastAsia="zh-CN"/>
              </w:rPr>
              <w:t>项目总体制度、</w:t>
            </w:r>
            <w:r>
              <w:rPr>
                <w:rFonts w:hint="eastAsia" w:ascii="方正仿宋_GBK" w:hAnsi="方正仿宋_GBK" w:eastAsia="方正仿宋_GBK" w:cs="方正仿宋_GBK"/>
                <w:b w:val="0"/>
                <w:bCs w:val="0"/>
                <w:color w:val="auto"/>
                <w:sz w:val="24"/>
                <w:szCs w:val="24"/>
                <w:highlight w:val="none"/>
              </w:rPr>
              <w:t>总体目标、</w:t>
            </w:r>
            <w:r>
              <w:rPr>
                <w:rFonts w:hint="eastAsia" w:ascii="方正仿宋_GBK" w:hAnsi="方正仿宋_GBK" w:eastAsia="方正仿宋_GBK" w:cs="方正仿宋_GBK"/>
                <w:b w:val="0"/>
                <w:bCs w:val="0"/>
                <w:color w:val="auto"/>
                <w:sz w:val="24"/>
                <w:szCs w:val="24"/>
                <w:highlight w:val="none"/>
                <w:lang w:val="en-US" w:eastAsia="zh-CN"/>
              </w:rPr>
              <w:t>管理</w:t>
            </w:r>
            <w:r>
              <w:rPr>
                <w:rFonts w:hint="eastAsia" w:ascii="方正仿宋_GBK" w:hAnsi="方正仿宋_GBK" w:eastAsia="方正仿宋_GBK" w:cs="方正仿宋_GBK"/>
                <w:b w:val="0"/>
                <w:bCs w:val="0"/>
                <w:color w:val="auto"/>
                <w:sz w:val="24"/>
                <w:szCs w:val="24"/>
                <w:highlight w:val="none"/>
              </w:rPr>
              <w:t>服务模式、</w:t>
            </w:r>
            <w:r>
              <w:rPr>
                <w:rFonts w:hint="eastAsia" w:ascii="方正仿宋_GBK" w:hAnsi="方正仿宋_GBK" w:eastAsia="方正仿宋_GBK" w:cs="方正仿宋_GBK"/>
                <w:b w:val="0"/>
                <w:bCs w:val="0"/>
                <w:color w:val="auto"/>
                <w:sz w:val="24"/>
                <w:szCs w:val="24"/>
                <w:highlight w:val="none"/>
                <w:lang w:val="en-US" w:eastAsia="zh-CN"/>
              </w:rPr>
              <w:t>作业流程和</w:t>
            </w:r>
            <w:r>
              <w:rPr>
                <w:rFonts w:hint="eastAsia" w:ascii="方正仿宋_GBK" w:hAnsi="方正仿宋_GBK" w:eastAsia="方正仿宋_GBK" w:cs="方正仿宋_GBK"/>
                <w:b w:val="0"/>
                <w:bCs w:val="0"/>
                <w:color w:val="auto"/>
                <w:sz w:val="24"/>
                <w:szCs w:val="24"/>
                <w:highlight w:val="none"/>
              </w:rPr>
              <w:t>进场安排，并对本项目的特点进行分析，提出相应的解决措施</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76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分项服务方案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12</w:t>
            </w:r>
          </w:p>
        </w:tc>
        <w:tc>
          <w:tcPr>
            <w:tcW w:w="836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轨行区清掏冲洗服务方案，包括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p>
            <w:pPr>
              <w:numPr>
                <w:ilvl w:val="0"/>
                <w:numId w:val="0"/>
              </w:num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lang w:eastAsia="zh-CN"/>
              </w:rPr>
              <w:t>外墙清洗</w:t>
            </w:r>
            <w:r>
              <w:rPr>
                <w:rFonts w:hint="eastAsia" w:ascii="方正仿宋_GBK" w:hAnsi="方正仿宋_GBK" w:eastAsia="方正仿宋_GBK" w:cs="方正仿宋_GBK"/>
                <w:color w:val="auto"/>
                <w:sz w:val="24"/>
                <w:highlight w:val="none"/>
              </w:rPr>
              <w:t>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p>
            <w:pPr>
              <w:keepNext w:val="0"/>
              <w:keepLines w:val="0"/>
              <w:pageBreakBefore w:val="0"/>
              <w:widowControl/>
              <w:kinsoku/>
              <w:wordWrap/>
              <w:overflowPunct/>
              <w:topLinePunct w:val="0"/>
              <w:autoSpaceDE/>
              <w:autoSpaceDN/>
              <w:bidi w:val="0"/>
              <w:adjustRightInd/>
              <w:snapToGrid/>
              <w:spacing w:line="440" w:lineRule="exac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szCs w:val="24"/>
                <w:highlight w:val="none"/>
                <w:lang w:val="en-US" w:eastAsia="zh-CN" w:bidi="ar"/>
              </w:rPr>
            </w:pPr>
            <w:r>
              <w:rPr>
                <w:rFonts w:hint="eastAsia" w:ascii="方正仿宋_GBK" w:hAnsi="方正仿宋_GBK" w:eastAsia="方正仿宋_GBK" w:cs="方正仿宋_GBK"/>
                <w:color w:val="auto"/>
                <w:sz w:val="24"/>
                <w:highlight w:val="none"/>
              </w:rPr>
              <w:t>人员配置</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szCs w:val="24"/>
                <w:highlight w:val="none"/>
                <w:lang w:val="en-US" w:eastAsia="zh-CN" w:bidi="ar"/>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名高处作业人员，均具有</w:t>
            </w:r>
            <w:r>
              <w:rPr>
                <w:rFonts w:hint="eastAsia" w:ascii="方正仿宋_GBK" w:hAnsi="方正仿宋_GBK" w:eastAsia="方正仿宋_GBK" w:cs="方正仿宋_GBK"/>
                <w:color w:val="auto"/>
                <w:sz w:val="24"/>
                <w:highlight w:val="none"/>
                <w:lang w:val="en-US" w:eastAsia="zh-CN"/>
              </w:rPr>
              <w:t>重庆市</w:t>
            </w:r>
            <w:r>
              <w:rPr>
                <w:rFonts w:hint="eastAsia" w:ascii="方正仿宋_GBK" w:hAnsi="方正仿宋_GBK" w:eastAsia="方正仿宋_GBK" w:cs="方正仿宋_GBK"/>
                <w:color w:val="auto"/>
                <w:sz w:val="24"/>
                <w:highlight w:val="none"/>
              </w:rPr>
              <w:t>应急管理</w:t>
            </w:r>
            <w:r>
              <w:rPr>
                <w:rFonts w:hint="eastAsia" w:ascii="方正仿宋_GBK" w:hAnsi="方正仿宋_GBK" w:eastAsia="方正仿宋_GBK" w:cs="方正仿宋_GBK"/>
                <w:color w:val="auto"/>
                <w:sz w:val="24"/>
                <w:highlight w:val="none"/>
                <w:lang w:val="en-US" w:eastAsia="zh-CN"/>
              </w:rPr>
              <w:t>局</w:t>
            </w:r>
            <w:r>
              <w:rPr>
                <w:rFonts w:hint="eastAsia" w:ascii="方正仿宋_GBK" w:hAnsi="方正仿宋_GBK" w:eastAsia="方正仿宋_GBK" w:cs="方正仿宋_GBK"/>
                <w:color w:val="auto"/>
                <w:sz w:val="24"/>
                <w:highlight w:val="none"/>
              </w:rPr>
              <w:t>颁发</w:t>
            </w:r>
            <w:r>
              <w:rPr>
                <w:rFonts w:hint="eastAsia" w:ascii="方正仿宋_GBK" w:hAnsi="方正仿宋_GBK" w:eastAsia="方正仿宋_GBK" w:cs="方正仿宋_GBK"/>
                <w:color w:val="auto"/>
                <w:sz w:val="24"/>
                <w:highlight w:val="none"/>
                <w:lang w:val="en-US" w:eastAsia="zh-CN"/>
              </w:rPr>
              <w:t>的作业类别为</w:t>
            </w:r>
            <w:r>
              <w:rPr>
                <w:rFonts w:hint="eastAsia" w:ascii="方正仿宋_GBK" w:hAnsi="方正仿宋_GBK" w:eastAsia="方正仿宋_GBK" w:cs="方正仿宋_GBK"/>
                <w:color w:val="auto"/>
                <w:sz w:val="24"/>
                <w:highlight w:val="none"/>
              </w:rPr>
              <w:t>“高处作业”</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特种操作证书得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分，不满足得0分。</w:t>
            </w:r>
          </w:p>
          <w:p>
            <w:pPr>
              <w:spacing w:line="440" w:lineRule="exact"/>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10</w:t>
            </w:r>
            <w:r>
              <w:rPr>
                <w:rFonts w:hint="eastAsia" w:ascii="方正仿宋_GBK" w:hAnsi="方正仿宋_GBK" w:eastAsia="方正仿宋_GBK" w:cs="方正仿宋_GBK"/>
                <w:color w:val="auto"/>
                <w:sz w:val="24"/>
                <w:highlight w:val="none"/>
              </w:rPr>
              <w:t>名清掏作业人员，具有有效的“生化池清掏维护专项职业能力证书”的得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分，不满足得0分。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color w:val="auto"/>
                <w:sz w:val="24"/>
                <w:highlight w:val="none"/>
              </w:rPr>
              <w:t>提供所列证书复印件、比选截止时间前6个月的连续社保证明材料复印件，均需加盖公章</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原件备查</w:t>
            </w: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管理制度及人员培训方案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1.管理制度方案：包括</w:t>
            </w:r>
            <w:r>
              <w:rPr>
                <w:rFonts w:hint="eastAsia" w:ascii="方正仿宋_GBK" w:hAnsi="方正仿宋_GBK" w:eastAsia="方正仿宋_GBK" w:cs="方正仿宋_GBK"/>
                <w:color w:val="auto"/>
                <w:sz w:val="24"/>
                <w:highlight w:val="none"/>
              </w:rPr>
              <w:t>项目</w:t>
            </w:r>
            <w:r>
              <w:rPr>
                <w:rFonts w:hint="eastAsia" w:ascii="方正仿宋_GBK" w:hAnsi="方正仿宋_GBK" w:eastAsia="方正仿宋_GBK" w:cs="方正仿宋_GBK"/>
                <w:color w:val="auto"/>
                <w:sz w:val="24"/>
                <w:highlight w:val="none"/>
                <w:lang w:val="en-US" w:eastAsia="zh-CN"/>
              </w:rPr>
              <w:t>内部管理制度、项目组织架构</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管理职责和考核细则。内容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2.人员培训方案：包括培训目标、培训计划和培训课程等。内容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127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rPr>
              <w:t>安全保障</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提供完善的安全保障方案，包括安全作业措施、安全保障设备、</w:t>
            </w:r>
            <w:r>
              <w:rPr>
                <w:rFonts w:hint="eastAsia" w:ascii="方正仿宋_GBK" w:hAnsi="方正仿宋_GBK" w:eastAsia="方正仿宋_GBK" w:cs="方正仿宋_GBK"/>
                <w:color w:val="auto"/>
                <w:sz w:val="24"/>
                <w:highlight w:val="none"/>
                <w:lang w:val="en-US" w:eastAsia="zh-CN"/>
              </w:rPr>
              <w:t>质量保证措施、</w:t>
            </w:r>
            <w:r>
              <w:rPr>
                <w:rFonts w:hint="eastAsia" w:ascii="方正仿宋_GBK" w:hAnsi="方正仿宋_GBK" w:eastAsia="方正仿宋_GBK" w:cs="方正仿宋_GBK"/>
                <w:color w:val="auto"/>
                <w:sz w:val="24"/>
                <w:highlight w:val="none"/>
              </w:rPr>
              <w:t>各类安全事故处理措施等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78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应急预案</w:t>
            </w:r>
          </w:p>
        </w:tc>
        <w:tc>
          <w:tcPr>
            <w:tcW w:w="732" w:type="dxa"/>
            <w:tcBorders>
              <w:top w:val="single" w:color="000000" w:sz="4" w:space="0"/>
              <w:left w:val="single" w:color="000000" w:sz="4" w:space="0"/>
              <w:bottom w:val="single" w:color="000000" w:sz="8" w:space="0"/>
              <w:right w:val="single" w:color="000000" w:sz="4" w:space="0"/>
            </w:tcBorders>
            <w:vAlign w:val="center"/>
          </w:tcPr>
          <w:p>
            <w:pPr>
              <w:spacing w:line="440" w:lineRule="exact"/>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8"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针对轨道业态的突发事件、恶劣天气等特殊情况制定应急预案，包括应急保障小组、传达机制、应急情况种类、处置流程、人员安排和设备调配等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8"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bl>
    <w:p>
      <w:pPr>
        <w:pStyle w:val="2"/>
        <w:rPr>
          <w:highlight w:val="none"/>
        </w:rPr>
        <w:sectPr>
          <w:pgSz w:w="16840" w:h="11900" w:orient="landscape"/>
          <w:pgMar w:top="940" w:right="1340" w:bottom="940" w:left="1340" w:header="920" w:footer="0" w:gutter="0"/>
          <w:pgNumType w:fmt="decimal"/>
          <w:cols w:space="720" w:num="1"/>
          <w:docGrid w:type="lines" w:linePitch="0"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附件3：</w:t>
      </w:r>
      <w:r>
        <w:rPr>
          <w:rFonts w:hint="eastAsia" w:ascii="方正仿宋_GBK" w:hAnsi="方正仿宋_GBK" w:eastAsia="方正仿宋_GBK" w:cs="方正仿宋_GBK"/>
          <w:b/>
          <w:bCs/>
          <w:color w:val="auto"/>
          <w:sz w:val="32"/>
          <w:szCs w:val="32"/>
          <w:highlight w:val="none"/>
        </w:rPr>
        <w:t xml:space="preserve">文件格式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color w:val="auto"/>
          <w:sz w:val="36"/>
          <w:szCs w:val="36"/>
          <w:highlight w:val="none"/>
          <w:lang w:val="en-US" w:eastAsia="zh-CN"/>
        </w:rPr>
      </w:pPr>
      <w:r>
        <w:rPr>
          <w:rFonts w:hint="eastAsia" w:ascii="方正仿宋_GBK" w:hAnsi="方正仿宋_GBK" w:eastAsia="方正仿宋_GBK" w:cs="方正仿宋_GBK"/>
          <w:b/>
          <w:bCs/>
          <w:color w:val="auto"/>
          <w:sz w:val="36"/>
          <w:szCs w:val="36"/>
          <w:highlight w:val="none"/>
          <w:lang w:val="en-US" w:eastAsia="zh-CN"/>
        </w:rPr>
        <w:t>一、商务文件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rPr>
        <w:t>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color w:val="auto"/>
          <w:sz w:val="28"/>
          <w:szCs w:val="28"/>
          <w:highlight w:val="none"/>
          <w:lang w:val="en-US" w:eastAsia="zh-CN"/>
        </w:rPr>
        <w:sectPr>
          <w:pgSz w:w="11900" w:h="16840"/>
          <w:pgMar w:top="1440" w:right="1134" w:bottom="1440" w:left="1134" w:header="920" w:footer="0" w:gutter="0"/>
          <w:pgNumType w:fmt="decimal"/>
          <w:cols w:space="720" w:num="1"/>
          <w:docGrid w:type="lines" w:linePitch="0" w:charSpace="0"/>
        </w:sectPr>
      </w:pPr>
      <w:r>
        <w:rPr>
          <w:rFonts w:hint="eastAsia" w:ascii="方正仿宋_GBK" w:hAnsi="方正仿宋_GBK" w:eastAsia="方正仿宋_GBK" w:cs="方正仿宋_GBK"/>
          <w:color w:val="auto"/>
          <w:sz w:val="28"/>
          <w:szCs w:val="28"/>
          <w:highlight w:val="none"/>
          <w:lang w:val="en-US" w:eastAsia="zh-CN"/>
        </w:rPr>
        <w:t>格式自拟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2、资质证书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格式自拟</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需包含：</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（1）行业服务协会认定的保洁服务企业一级资质。</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（2）重庆市城市管理局颁发的《城市生活垃圾经营性清扫收集运输处置服务许可证》。</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行业协会或机构颁发的《城市粪便污水处理经营服务资质认定》三级及以上证书</w:t>
      </w:r>
      <w:r>
        <w:rPr>
          <w:rFonts w:hint="eastAsia" w:ascii="方正仿宋_GBK" w:hAnsi="方正仿宋_GBK" w:eastAsia="方正仿宋_GBK" w:cs="方正仿宋_GBK"/>
          <w:color w:val="auto"/>
          <w:sz w:val="28"/>
          <w:szCs w:val="28"/>
          <w:highlight w:val="none"/>
          <w:lang w:eastAsia="zh-CN"/>
        </w:rPr>
        <w:t>。</w:t>
      </w:r>
    </w:p>
    <w:p>
      <w:pPr>
        <w:numPr>
          <w:ilvl w:val="0"/>
          <w:numId w:val="0"/>
        </w:numPr>
        <w:ind w:leftChars="0"/>
        <w:rPr>
          <w:rFonts w:hint="eastAsia" w:ascii="方正仿宋_GBK" w:hAnsi="方正仿宋_GBK" w:eastAsia="方正仿宋_GBK" w:cs="方正仿宋_GBK"/>
          <w:b/>
          <w:bCs/>
          <w:color w:val="auto"/>
          <w:kern w:val="2"/>
          <w:sz w:val="28"/>
          <w:szCs w:val="28"/>
          <w:highlight w:val="none"/>
          <w:lang w:val="en-US" w:eastAsia="zh-CN" w:bidi="ar-SA"/>
        </w:rPr>
        <w:sectPr>
          <w:pgSz w:w="11900" w:h="16840"/>
          <w:pgMar w:top="1440" w:right="1134" w:bottom="1440" w:left="1134" w:header="920" w:footer="0" w:gutter="0"/>
          <w:pgNumType w:fmt="decimal"/>
          <w:cols w:space="720" w:num="1"/>
          <w:docGrid w:type="lines" w:linePitch="0" w:charSpace="0"/>
        </w:sect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行业协会或机构颁发的</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高空服务业企业安全资质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高空清洗悬吊作业企业安全生产证书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高空外墙清洗服务企业资质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高空外墙</w:t>
      </w:r>
      <w:r>
        <w:rPr>
          <w:rFonts w:hint="eastAsia" w:ascii="方正仿宋_GBK" w:hAnsi="方正仿宋_GBK" w:eastAsia="方正仿宋_GBK" w:cs="方正仿宋_GBK"/>
          <w:i w:val="0"/>
          <w:iCs w:val="0"/>
          <w:color w:val="auto"/>
          <w:sz w:val="28"/>
          <w:szCs w:val="28"/>
          <w:highlight w:val="none"/>
        </w:rPr>
        <w:t>清洁资质等级证书</w:t>
      </w:r>
      <w:r>
        <w:rPr>
          <w:rFonts w:hint="eastAsia" w:ascii="方正仿宋_GBK" w:hAnsi="方正仿宋_GBK" w:eastAsia="方正仿宋_GBK" w:cs="方正仿宋_GBK"/>
          <w:i w:val="0"/>
          <w:iCs w:val="0"/>
          <w:color w:val="auto"/>
          <w:sz w:val="28"/>
          <w:szCs w:val="28"/>
          <w:highlight w:val="none"/>
          <w:lang w:eastAsia="zh-CN"/>
        </w:rPr>
        <w:t>》</w:t>
      </w:r>
      <w:r>
        <w:rPr>
          <w:rFonts w:hint="eastAsia" w:ascii="方正仿宋_GBK" w:hAnsi="方正仿宋_GBK" w:eastAsia="方正仿宋_GBK" w:cs="方正仿宋_GBK"/>
          <w:i w:val="0"/>
          <w:iCs w:val="0"/>
          <w:color w:val="auto"/>
          <w:sz w:val="28"/>
          <w:szCs w:val="28"/>
          <w:highlight w:val="none"/>
          <w:lang w:val="en-US" w:eastAsia="zh-CN"/>
        </w:rPr>
        <w:t>。</w:t>
      </w:r>
    </w:p>
    <w:p>
      <w:pPr>
        <w:numPr>
          <w:ilvl w:val="0"/>
          <w:numId w:val="0"/>
        </w:numPr>
        <w:ind w:leftChars="0"/>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3、承诺函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本页文字格式和内容不得删减和添加）</w:t>
      </w:r>
    </w:p>
    <w:p>
      <w:pPr>
        <w:numPr>
          <w:ilvl w:val="0"/>
          <w:numId w:val="0"/>
        </w:numPr>
        <w:ind w:leftChars="0"/>
        <w:rPr>
          <w:rFonts w:hint="default"/>
          <w:color w:val="auto"/>
          <w:highlight w:val="none"/>
          <w:lang w:val="en-US" w:eastAsia="zh-CN"/>
        </w:rPr>
      </w:pPr>
    </w:p>
    <w:p>
      <w:pPr>
        <w:numPr>
          <w:ilvl w:val="0"/>
          <w:numId w:val="0"/>
        </w:numPr>
        <w:ind w:leftChars="0"/>
        <w:jc w:val="center"/>
        <w:rPr>
          <w:rFonts w:hint="default" w:ascii="方正仿宋_GBK" w:hAnsi="方正仿宋_GBK" w:eastAsia="方正仿宋_GBK" w:cs="方正仿宋_GBK"/>
          <w:b/>
          <w:bCs/>
          <w:color w:val="auto"/>
          <w:kern w:val="2"/>
          <w:sz w:val="36"/>
          <w:szCs w:val="36"/>
          <w:highlight w:val="none"/>
          <w:lang w:val="en-US" w:eastAsia="zh-CN" w:bidi="ar-SA"/>
        </w:rPr>
      </w:pPr>
      <w:r>
        <w:rPr>
          <w:rFonts w:hint="eastAsia" w:ascii="方正仿宋_GBK" w:hAnsi="方正仿宋_GBK" w:eastAsia="方正仿宋_GBK" w:cs="方正仿宋_GBK"/>
          <w:b/>
          <w:bCs/>
          <w:color w:val="auto"/>
          <w:kern w:val="2"/>
          <w:sz w:val="36"/>
          <w:szCs w:val="36"/>
          <w:highlight w:val="none"/>
          <w:lang w:val="en-US" w:eastAsia="zh-CN" w:bidi="ar-SA"/>
        </w:rPr>
        <w:t>承  诺  函</w:t>
      </w:r>
    </w:p>
    <w:p>
      <w:pPr>
        <w:ind w:firstLine="0" w:firstLineChars="0"/>
        <w:rPr>
          <w:rFonts w:ascii="微软雅黑" w:hAnsi="微软雅黑"/>
          <w:color w:val="auto"/>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致：重庆通邑物业管理有限公司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根据比选邀请函要求，</w:t>
      </w:r>
      <w:r>
        <w:rPr>
          <w:rFonts w:hint="eastAsia" w:ascii="方正仿宋_GBK" w:hAnsi="方正仿宋_GBK" w:eastAsia="方正仿宋_GBK" w:cs="方正仿宋_GBK"/>
          <w:color w:val="auto"/>
          <w:sz w:val="28"/>
          <w:szCs w:val="28"/>
          <w:highlight w:val="none"/>
          <w:u w:val="single"/>
          <w:lang w:val="en-US" w:eastAsia="zh-CN"/>
        </w:rPr>
        <w:t xml:space="preserve">                      （比选人公司名称） </w:t>
      </w:r>
      <w:r>
        <w:rPr>
          <w:rFonts w:hint="eastAsia" w:ascii="方正仿宋_GBK" w:hAnsi="方正仿宋_GBK" w:eastAsia="方正仿宋_GBK" w:cs="方正仿宋_GBK"/>
          <w:color w:val="auto"/>
          <w:sz w:val="28"/>
          <w:szCs w:val="28"/>
          <w:highlight w:val="none"/>
          <w:lang w:val="en-US" w:eastAsia="zh-CN"/>
        </w:rPr>
        <w:t>郑重承诺：我司具有独立承担民事责任的能力、具有良好的商业信誉和健全的财务会计制度、具有履行合同所必需的设备和专业技术能力、有依法缴纳税收和社会保障资金的良好记录和具备良好的商业信誉，参加本次招标前三年内，在经营活动中没有重大违法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特此承诺。</w:t>
      </w:r>
    </w:p>
    <w:p>
      <w:pPr>
        <w:rPr>
          <w:rFonts w:hint="eastAsia" w:ascii="方正仿宋_GBK" w:hAnsi="方正仿宋_GBK" w:eastAsia="方正仿宋_GBK" w:cs="方正仿宋_GBK"/>
          <w:color w:val="auto"/>
          <w:sz w:val="28"/>
          <w:szCs w:val="28"/>
          <w:highlight w:val="none"/>
          <w:lang w:val="en-US" w:eastAsia="zh-CN"/>
        </w:rPr>
      </w:pPr>
    </w:p>
    <w:p>
      <w:pPr>
        <w:pStyle w:val="2"/>
        <w:rPr>
          <w:rFonts w:hint="eastAsia"/>
          <w:color w:val="auto"/>
          <w:highlight w:val="none"/>
          <w:lang w:val="en-US" w:eastAsia="zh-CN"/>
        </w:rPr>
      </w:pPr>
    </w:p>
    <w:p>
      <w:pPr>
        <w:ind w:firstLine="560"/>
        <w:rPr>
          <w:rFonts w:ascii="微软雅黑" w:hAnsi="微软雅黑"/>
          <w:color w:val="auto"/>
          <w:szCs w:val="28"/>
          <w:highlight w:val="none"/>
        </w:rPr>
      </w:pPr>
    </w:p>
    <w:p>
      <w:pPr>
        <w:ind w:firstLine="560"/>
        <w:rPr>
          <w:rFonts w:ascii="微软雅黑" w:hAnsi="微软雅黑"/>
          <w:color w:val="auto"/>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（比选人公司名称）</w:t>
      </w:r>
      <w:r>
        <w:rPr>
          <w:rFonts w:hint="eastAsia" w:ascii="方正仿宋_GBK" w:hAnsi="方正仿宋_GBK" w:eastAsia="方正仿宋_GBK" w:cs="方正仿宋_GBK"/>
          <w:color w:val="auto"/>
          <w:sz w:val="28"/>
          <w:szCs w:val="28"/>
          <w:highlight w:val="none"/>
          <w:lang w:val="en-US" w:eastAsia="zh-CN"/>
        </w:rPr>
        <w:t>加盖鲜章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年  月   日</w:t>
      </w:r>
    </w:p>
    <w:p>
      <w:pPr>
        <w:rPr>
          <w:rFonts w:hint="eastAsia" w:ascii="方正仿宋_GBK" w:hAnsi="方正仿宋_GBK" w:eastAsia="方正仿宋_GBK" w:cs="方正仿宋_GBK"/>
          <w:b/>
          <w:bCs/>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4、法定代表人资格证明书（本页文字格式和内容不得删减和添加）</w:t>
      </w:r>
    </w:p>
    <w:p>
      <w:pPr>
        <w:jc w:val="center"/>
        <w:rPr>
          <w:rFonts w:hint="eastAsia" w:ascii="方正小标宋_GBK" w:hAnsi="方正小标宋_GBK" w:eastAsia="方正小标宋_GBK" w:cs="方正小标宋_GBK"/>
          <w:b/>
          <w:bCs/>
          <w:color w:val="auto"/>
          <w:sz w:val="36"/>
          <w:szCs w:val="36"/>
          <w:highlight w:val="none"/>
        </w:rPr>
      </w:pPr>
    </w:p>
    <w:p>
      <w:pPr>
        <w:jc w:val="center"/>
        <w:rPr>
          <w:rFonts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法定代表人资格证明书</w:t>
      </w:r>
    </w:p>
    <w:p>
      <w:pPr>
        <w:pStyle w:val="2"/>
        <w:rPr>
          <w:rFonts w:ascii="方正仿宋_GBK" w:hAnsi="方正仿宋_GBK" w:eastAsia="方正仿宋_GBK" w:cs="方正仿宋_GBK"/>
          <w:b w:val="0"/>
          <w:color w:val="auto"/>
          <w:kern w:val="0"/>
          <w:sz w:val="28"/>
          <w:szCs w:val="28"/>
          <w:highlight w:val="none"/>
        </w:rPr>
      </w:pPr>
      <w:r>
        <w:rPr>
          <w:rFonts w:hint="eastAsia" w:ascii="方正小标宋_GBK" w:hAnsi="方正小标宋_GBK" w:eastAsia="方正小标宋_GBK" w:cs="方正小标宋_GBK"/>
          <w:color w:val="auto"/>
          <w:sz w:val="36"/>
          <w:szCs w:val="36"/>
          <w:highlight w:val="none"/>
        </w:rPr>
        <w:t xml:space="preserve">    </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（法定代表人姓名）系</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（比选单位）的法定代表人。</w:t>
      </w:r>
    </w:p>
    <w:p>
      <w:pPr>
        <w:ind w:firstLine="722"/>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特此证明</w:t>
      </w:r>
    </w:p>
    <w:p>
      <w:pPr>
        <w:pStyle w:val="2"/>
        <w:rPr>
          <w:color w:val="auto"/>
          <w:highlight w:val="none"/>
        </w:rPr>
      </w:pPr>
      <w:r>
        <w:rPr>
          <w:rFonts w:ascii="方正仿宋_GBK" w:hAnsi="方正仿宋_GBK" w:eastAsia="方正仿宋_GBK" w:cs="方正仿宋_GBK"/>
          <w:color w:val="auto"/>
          <w:kern w:val="0"/>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268605</wp:posOffset>
                </wp:positionV>
                <wp:extent cx="6399530" cy="3460115"/>
                <wp:effectExtent l="6350" t="6350" r="13970" b="19685"/>
                <wp:wrapNone/>
                <wp:docPr id="3"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wps:txbx>
                      <wps:bodyPr upright="1"/>
                    </wps:wsp>
                  </a:graphicData>
                </a:graphic>
              </wp:anchor>
            </w:drawing>
          </mc:Choice>
          <mc:Fallback>
            <w:pict>
              <v:shape id="_x0000_s1026" o:spid="_x0000_s1026" o:spt="202" type="#_x0000_t202" style="position:absolute;left:0pt;margin-left:-5.95pt;margin-top:21.15pt;height:272.45pt;width:503.9pt;z-index:251664384;mso-width-relative:page;mso-height-relative:page;" fillcolor="#FFFFFF" filled="t" stroked="t" coordsize="21600,21600" o:gfxdata="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UjEE3AAAAAoBAAAPAAAA&#10;AAAAAAEAIAAAACIAAABkcnMvZG93bnJldi54bWxQSwECFAAUAAAACACHTuJAJFdjHRECAABFBAAA&#10;DgAAAAAAAAABACAAAAArAQAAZHJzL2Uyb0RvYy54bWxQSwUGAAAAAAYABgBZAQAArgUAAAAA&#10;">
                <v:fill on="t" focussize="0,0"/>
                <v:stroke weight="1pt" color="#000000" joinstyle="miter" dashstyle="dash"/>
                <v:imagedata o:title=""/>
                <o:lock v:ext="edit" aspectratio="f"/>
                <v:textbo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v:textbox>
              </v:shape>
            </w:pict>
          </mc:Fallback>
        </mc:AlternateContent>
      </w:r>
    </w:p>
    <w:p>
      <w:pPr>
        <w:pStyle w:val="2"/>
        <w:ind w:firstLine="722"/>
        <w:rPr>
          <w:color w:val="auto"/>
          <w:highlight w:val="none"/>
        </w:rPr>
      </w:pPr>
    </w:p>
    <w:p>
      <w:pPr>
        <w:widowControl/>
        <w:spacing w:before="100" w:beforeAutospacing="1" w:after="100" w:afterAutospacing="1" w:line="252" w:lineRule="atLeast"/>
        <w:rPr>
          <w:rFonts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p>
    <w:p>
      <w:pPr>
        <w:pStyle w:val="2"/>
        <w:tabs>
          <w:tab w:val="left" w:pos="5649"/>
        </w:tabs>
        <w:rPr>
          <w:rFonts w:hint="eastAsia" w:ascii="方正仿宋_GBK" w:hAnsi="方正仿宋_GBK" w:eastAsia="方正仿宋_GBK" w:cs="方正仿宋_GBK"/>
          <w:color w:val="auto"/>
          <w:kern w:val="0"/>
          <w:sz w:val="28"/>
          <w:szCs w:val="28"/>
          <w:highlight w:val="none"/>
          <w:lang w:eastAsia="zh-CN"/>
        </w:rPr>
      </w:pPr>
    </w:p>
    <w:p>
      <w:pPr>
        <w:rPr>
          <w:color w:val="auto"/>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比选单位名称（盖章）：</w:t>
      </w:r>
    </w:p>
    <w:p>
      <w:pPr>
        <w:pStyle w:val="2"/>
        <w:rPr>
          <w:color w:val="auto"/>
          <w:highlight w:val="none"/>
        </w:rPr>
      </w:pPr>
      <w:r>
        <w:rPr>
          <w:rFonts w:hint="eastAsia" w:ascii="方正仿宋_GBK" w:hAnsi="方正仿宋_GBK" w:eastAsia="方正仿宋_GBK" w:cs="方正仿宋_GBK"/>
          <w:b w:val="0"/>
          <w:color w:val="auto"/>
          <w:kern w:val="0"/>
          <w:sz w:val="28"/>
          <w:szCs w:val="28"/>
          <w:highlight w:val="none"/>
        </w:rPr>
        <w:t xml:space="preserve">                              日期：</w:t>
      </w:r>
    </w:p>
    <w:p>
      <w:pPr>
        <w:rPr>
          <w:rFonts w:ascii="方正仿宋_GBK" w:hAnsi="方正仿宋_GBK" w:eastAsia="方正仿宋_GBK" w:cs="方正仿宋_GBK"/>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numPr>
          <w:ilvl w:val="0"/>
          <w:numId w:val="0"/>
        </w:numPr>
        <w:ind w:leftChars="0"/>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5、法定代表人授权委托书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本页文字格式和内容不得删减和添加）</w:t>
      </w:r>
    </w:p>
    <w:p>
      <w:pPr>
        <w:jc w:val="center"/>
        <w:rPr>
          <w:rFonts w:ascii="方正仿宋_GBK" w:hAnsi="方正仿宋_GBK" w:eastAsia="方正小标宋_GBK" w:cs="方正仿宋_GBK"/>
          <w:b/>
          <w:color w:val="auto"/>
          <w:kern w:val="0"/>
          <w:sz w:val="24"/>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小标宋_GBK" w:hAnsi="方正小标宋_GBK" w:eastAsia="方正小标宋_GBK" w:cs="方正小标宋_GBK"/>
          <w:b/>
          <w:bCs/>
          <w:color w:val="auto"/>
          <w:sz w:val="36"/>
          <w:szCs w:val="36"/>
          <w:highlight w:val="none"/>
        </w:rPr>
        <w:t xml:space="preserve">法定代表人授权委托书 </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w:t>
      </w:r>
      <w:r>
        <w:rPr>
          <w:rFonts w:hint="eastAsia" w:ascii="方正仿宋_GBK" w:hAnsi="方正仿宋_GBK" w:eastAsia="方正仿宋_GBK" w:cs="方正仿宋_GBK"/>
          <w:bCs/>
          <w:iCs/>
          <w:color w:val="auto"/>
          <w:kern w:val="0"/>
          <w:sz w:val="28"/>
          <w:szCs w:val="28"/>
          <w:highlight w:val="none"/>
          <w:u w:val="single"/>
        </w:rPr>
        <w:t xml:space="preserve">         </w:t>
      </w:r>
      <w:r>
        <w:rPr>
          <w:rFonts w:hint="eastAsia" w:ascii="方正仿宋_GBK" w:hAnsi="方正仿宋_GBK" w:eastAsia="方正仿宋_GBK" w:cs="方正仿宋_GBK"/>
          <w:bCs/>
          <w:iCs/>
          <w:color w:val="auto"/>
          <w:kern w:val="0"/>
          <w:sz w:val="28"/>
          <w:szCs w:val="28"/>
          <w:highlight w:val="none"/>
          <w:u w:val="single"/>
          <w:lang w:val="en-US" w:eastAsia="zh-CN"/>
        </w:rPr>
        <w:t xml:space="preserve">       </w:t>
      </w:r>
      <w:r>
        <w:rPr>
          <w:rFonts w:hint="eastAsia" w:ascii="方正仿宋_GBK" w:hAnsi="方正仿宋_GBK" w:eastAsia="方正仿宋_GBK" w:cs="方正仿宋_GBK"/>
          <w:bCs/>
          <w:i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被授权人的姓名、职务）为本公司的合法代理人，就</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比选单位名称（盖章）：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授权人（法定代表人）签字(或盖章)：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方正仿宋_GBK" w:hAnsi="方正仿宋_GBK" w:eastAsia="方正仿宋_GBK" w:cs="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3204845</wp:posOffset>
                </wp:positionH>
                <wp:positionV relativeFrom="paragraph">
                  <wp:posOffset>126365</wp:posOffset>
                </wp:positionV>
                <wp:extent cx="3006090" cy="3732530"/>
                <wp:effectExtent l="6350" t="6350" r="16510" b="13970"/>
                <wp:wrapNone/>
                <wp:docPr id="4" name="文本框 1"/>
                <wp:cNvGraphicFramePr/>
                <a:graphic xmlns:a="http://schemas.openxmlformats.org/drawingml/2006/main">
                  <a:graphicData uri="http://schemas.microsoft.com/office/word/2010/wordprocessingShape">
                    <wps:wsp>
                      <wps:cNvSpPr txBox="1"/>
                      <wps:spPr>
                        <a:xfrm>
                          <a:off x="0" y="0"/>
                          <a:ext cx="297180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txbxContent>
                      </wps:txbx>
                      <wps:bodyPr upright="1"/>
                    </wps:wsp>
                  </a:graphicData>
                </a:graphic>
              </wp:anchor>
            </w:drawing>
          </mc:Choice>
          <mc:Fallback>
            <w:pict>
              <v:shape id="文本框 1" o:spid="_x0000_s1026" o:spt="202" type="#_x0000_t202" style="position:absolute;left:0pt;margin-left:252.35pt;margin-top:9.95pt;height:293.9pt;width:236.7pt;z-index:251666432;mso-width-relative:page;mso-height-relative:page;" fillcolor="#FFFFFF" filled="t" stroked="t" coordsize="21600,21600" o:gfxdata="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9EOhZ2wAAAAoBAAAPAAAA&#10;AAAAAAEAIAAAACIAAABkcnMvZG93bnJldi54bWxQSwECFAAUAAAACACHTuJAy6em9hICAABFBAAA&#10;DgAAAAAAAAABACAAAAAqAQAAZHJzL2Uyb0RvYy54bWxQSwUGAAAAAAYABgBZAQAArgU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txbxContent>
                </v:textbox>
              </v:shape>
            </w:pict>
          </mc:Fallback>
        </mc:AlternateContent>
      </w:r>
      <w:r>
        <w:rPr>
          <w:rFonts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128905</wp:posOffset>
                </wp:positionV>
                <wp:extent cx="3006090" cy="3733165"/>
                <wp:effectExtent l="6350" t="6350" r="16510" b="13335"/>
                <wp:wrapNone/>
                <wp:docPr id="2"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pPr>
                              <w:pStyle w:val="2"/>
                              <w:rPr>
                                <w:rFonts w:hint="default"/>
                                <w:lang w:val="en-US" w:eastAsia="zh-CN"/>
                              </w:rPr>
                            </w:pPr>
                          </w:p>
                        </w:txbxContent>
                      </wps:txbx>
                      <wps:bodyPr upright="1"/>
                    </wps:wsp>
                  </a:graphicData>
                </a:graphic>
              </wp:anchor>
            </w:drawing>
          </mc:Choice>
          <mc:Fallback>
            <w:pict>
              <v:shape id="文本框 3" o:spid="_x0000_s1026" o:spt="202" type="#_x0000_t202" style="position:absolute;left:0pt;margin-left:6.3pt;margin-top:10.15pt;height:293.95pt;width:236.7pt;z-index:251665408;mso-width-relative:page;mso-height-relative:page;" fillcolor="#FFFFFF" filled="t" stroked="t" coordsize="21600,21600" o:gfxdata="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0leX2QAAAAkBAAAPAAAAAAAA&#10;AAEAIAAAACIAAABkcnMvZG93bnJldi54bWxQSwECFAAUAAAACACHTuJAMVg4yxECAABFBAAADgAA&#10;AAAAAAABACAAAAAoAQAAZHJzL2Uyb0RvYy54bWxQSwUGAAAAAAYABgBZAQAAqwUAAAAA&#10;">
                <v:fill on="t" focussize="0,0"/>
                <v:stroke weight="1pt" color="#000000" joinstyle="miter" dashstyle="dash"/>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pPr>
                        <w:pStyle w:val="2"/>
                        <w:rPr>
                          <w:rFonts w:hint="default"/>
                          <w:lang w:val="en-US" w:eastAsia="zh-CN"/>
                        </w:rPr>
                      </w:pP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rPr>
          <w:rFonts w:hint="eastAsia" w:ascii="方正仿宋_GBK" w:hAnsi="方正仿宋_GBK" w:eastAsia="方正仿宋_GBK" w:cs="方正仿宋_GBK"/>
          <w:b/>
          <w:bCs/>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6、投标保证金缴纳凭据</w:t>
      </w:r>
    </w:p>
    <w:p>
      <w:pPr>
        <w:pStyle w:val="2"/>
        <w:numPr>
          <w:ilvl w:val="0"/>
          <w:numId w:val="0"/>
        </w:numPr>
        <w:ind w:leftChars="0"/>
        <w:rPr>
          <w:rFonts w:hint="eastAsia"/>
          <w:b w:val="0"/>
          <w:bCs w:val="0"/>
          <w:color w:val="auto"/>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eastAsia" w:ascii="方正仿宋_GBK" w:hAnsi="方正仿宋_GBK" w:eastAsia="方正仿宋_GBK" w:cs="方正仿宋_GBK"/>
          <w:b/>
          <w:bCs/>
          <w:color w:val="auto"/>
          <w:sz w:val="28"/>
          <w:szCs w:val="28"/>
          <w:highlight w:val="none"/>
        </w:rPr>
      </w:pPr>
    </w:p>
    <w:p>
      <w:pPr>
        <w:pStyle w:val="2"/>
        <w:rPr>
          <w:rFonts w:hint="eastAsia" w:ascii="方正仿宋_GBK" w:hAnsi="方正仿宋_GBK" w:eastAsia="方正仿宋_GBK" w:cs="方正仿宋_GBK"/>
          <w:b/>
          <w:bCs/>
          <w:color w:val="auto"/>
          <w:sz w:val="28"/>
          <w:szCs w:val="28"/>
          <w:highlight w:val="none"/>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7、业绩证明材料</w:t>
      </w:r>
      <w:r>
        <w:rPr>
          <w:rFonts w:hint="eastAsia" w:ascii="方正仿宋_GBK" w:hAnsi="方正仿宋_GBK" w:eastAsia="方正仿宋_GBK" w:cs="方正仿宋_GBK"/>
          <w:b/>
          <w:bCs/>
          <w:color w:val="auto"/>
          <w:kern w:val="2"/>
          <w:sz w:val="28"/>
          <w:szCs w:val="28"/>
          <w:highlight w:val="none"/>
          <w:lang w:val="en-US" w:eastAsia="zh-CN" w:bidi="ar-SA"/>
        </w:rPr>
        <w:t>（</w:t>
      </w:r>
      <w:r>
        <w:rPr>
          <w:rFonts w:hint="eastAsia" w:ascii="方正仿宋_GBK" w:hAnsi="方正仿宋_GBK" w:eastAsia="方正仿宋_GBK" w:cs="方正仿宋_GBK"/>
          <w:b w:val="0"/>
          <w:bCs w:val="0"/>
          <w:color w:val="auto"/>
          <w:kern w:val="2"/>
          <w:sz w:val="28"/>
          <w:szCs w:val="28"/>
          <w:highlight w:val="none"/>
          <w:lang w:val="en-US" w:eastAsia="zh-CN" w:bidi="ar-SA"/>
        </w:rPr>
        <w:t>不得对合同单价、总价、人数、服务面积、服务时间等关键信息遮挡）</w:t>
      </w:r>
    </w:p>
    <w:p>
      <w:pPr>
        <w:pStyle w:val="2"/>
        <w:numPr>
          <w:ilvl w:val="0"/>
          <w:numId w:val="0"/>
        </w:numPr>
        <w:ind w:leftChars="0"/>
        <w:rPr>
          <w:rFonts w:hint="eastAsia"/>
          <w:b w:val="0"/>
          <w:bCs w:val="0"/>
          <w:color w:val="auto"/>
          <w:highlight w:val="none"/>
          <w:lang w:val="en-US" w:eastAsia="zh-CN"/>
        </w:rPr>
      </w:pPr>
      <w:bookmarkStart w:id="0" w:name="OLE_LINK1"/>
      <w:r>
        <w:rPr>
          <w:rFonts w:hint="eastAsia" w:ascii="方正仿宋_GBK" w:hAnsi="方正仿宋_GBK" w:eastAsia="方正仿宋_GBK" w:cs="方正仿宋_GBK"/>
          <w:b w:val="0"/>
          <w:bCs w:val="0"/>
          <w:color w:val="auto"/>
          <w:sz w:val="28"/>
          <w:szCs w:val="28"/>
          <w:highlight w:val="none"/>
          <w:lang w:val="en-US" w:eastAsia="zh-CN"/>
        </w:rPr>
        <w:t>格式自拟</w:t>
      </w:r>
    </w:p>
    <w:bookmarkEnd w:id="0"/>
    <w:p>
      <w:pPr>
        <w:rPr>
          <w:rFonts w:hint="eastAsia" w:ascii="方正仿宋_GBK" w:hAnsi="方正仿宋_GBK" w:eastAsia="方正仿宋_GBK" w:cs="方正仿宋_GBK"/>
          <w:b/>
          <w:bCs/>
          <w:color w:val="auto"/>
          <w:sz w:val="28"/>
          <w:szCs w:val="28"/>
          <w:highlight w:val="none"/>
        </w:rPr>
      </w:pPr>
    </w:p>
    <w:p>
      <w:pPr>
        <w:rPr>
          <w:rFonts w:hint="eastAsia" w:ascii="方正仿宋_GBK" w:hAnsi="方正仿宋_GBK" w:eastAsia="方正仿宋_GBK" w:cs="方正仿宋_GBK"/>
          <w:b/>
          <w:bCs/>
          <w:color w:val="auto"/>
          <w:sz w:val="28"/>
          <w:szCs w:val="28"/>
          <w:highlight w:val="none"/>
        </w:rPr>
      </w:pPr>
    </w:p>
    <w:p>
      <w:pPr>
        <w:pStyle w:val="2"/>
        <w:rPr>
          <w:rFonts w:hint="eastAsia"/>
          <w:color w:val="auto"/>
          <w:highlight w:val="none"/>
        </w:rPr>
      </w:pPr>
    </w:p>
    <w:p>
      <w:pPr>
        <w:numPr>
          <w:ilvl w:val="0"/>
          <w:numId w:val="0"/>
        </w:numPr>
        <w:ind w:leftChars="0"/>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8、体系认证材料</w:t>
      </w:r>
    </w:p>
    <w:p>
      <w:pPr>
        <w:pStyle w:val="2"/>
        <w:numPr>
          <w:ilvl w:val="0"/>
          <w:numId w:val="0"/>
        </w:numPr>
        <w:ind w:left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eastAsia" w:ascii="方正仿宋_GBK" w:hAnsi="方正仿宋_GBK" w:eastAsia="方正仿宋_GBK" w:cs="方正仿宋_GBK"/>
          <w:b w:val="0"/>
          <w:bCs w:val="0"/>
          <w:color w:val="auto"/>
          <w:sz w:val="28"/>
          <w:szCs w:val="28"/>
          <w:highlight w:val="none"/>
          <w:lang w:val="en-US" w:eastAsia="zh-CN"/>
        </w:rPr>
      </w:pPr>
    </w:p>
    <w:p>
      <w:pPr>
        <w:pStyle w:val="2"/>
        <w:rPr>
          <w:rFonts w:hint="eastAsia" w:ascii="方正仿宋_GBK" w:hAnsi="方正仿宋_GBK" w:eastAsia="方正仿宋_GBK" w:cs="方正仿宋_GBK"/>
          <w:b w:val="0"/>
          <w:bCs w:val="0"/>
          <w:color w:val="auto"/>
          <w:sz w:val="28"/>
          <w:szCs w:val="28"/>
          <w:highlight w:val="none"/>
          <w:lang w:val="en-US" w:eastAsia="zh-CN"/>
        </w:rPr>
      </w:pPr>
    </w:p>
    <w:p>
      <w:pPr>
        <w:rPr>
          <w:rFonts w:hint="eastAsia" w:ascii="方正仿宋_GBK" w:hAnsi="方正仿宋_GBK" w:eastAsia="方正仿宋_GBK" w:cs="方正仿宋_GBK"/>
          <w:b w:val="0"/>
          <w:bCs w:val="0"/>
          <w:color w:val="auto"/>
          <w:sz w:val="28"/>
          <w:szCs w:val="28"/>
          <w:highlight w:val="none"/>
          <w:lang w:val="en-US" w:eastAsia="zh-CN"/>
        </w:rPr>
      </w:pPr>
    </w:p>
    <w:p>
      <w:pPr>
        <w:numPr>
          <w:ilvl w:val="0"/>
          <w:numId w:val="0"/>
        </w:numPr>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9、机具配置</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格式自拟</w:t>
      </w:r>
    </w:p>
    <w:p>
      <w:pPr>
        <w:rPr>
          <w:rFonts w:hint="eastAsia"/>
          <w:color w:val="auto"/>
          <w:highlight w:val="none"/>
        </w:rPr>
        <w:sectPr>
          <w:pgSz w:w="11900" w:h="16840"/>
          <w:pgMar w:top="1440" w:right="1134" w:bottom="1440" w:left="1134" w:header="920" w:footer="0" w:gutter="0"/>
          <w:pgNumType w:fmt="decimal"/>
          <w:cols w:space="720" w:num="1"/>
          <w:docGrid w:type="lines" w:linePitch="0"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二、经济文件 </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本页文字格式和内容不得删减和添加）</w:t>
      </w:r>
    </w:p>
    <w:p>
      <w:pPr>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 xml:space="preserve">格式一   </w:t>
      </w:r>
      <w:r>
        <w:rPr>
          <w:rFonts w:hint="eastAsia" w:ascii="方正小标宋_GBK" w:hAnsi="方正小标宋_GBK" w:eastAsia="方正小标宋_GBK" w:cs="方正小标宋_GBK"/>
          <w:b/>
          <w:bCs/>
          <w:color w:val="auto"/>
          <w:sz w:val="36"/>
          <w:szCs w:val="36"/>
          <w:highlight w:val="none"/>
        </w:rPr>
        <w:t>比 选 函</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重庆通邑物业管理有限公司：</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项目的比选函文件，本公司正式授权的下述签字人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（比选被邀请人名称），提交本比选函。</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（1）愿意接受比选函中提出的酬金支付方式，我司报价如下：</w:t>
      </w:r>
    </w:p>
    <w:tbl>
      <w:tblPr>
        <w:tblStyle w:val="10"/>
        <w:tblW w:w="9558" w:type="dxa"/>
        <w:tblInd w:w="93" w:type="dxa"/>
        <w:tblLayout w:type="fixed"/>
        <w:tblCellMar>
          <w:top w:w="0" w:type="dxa"/>
          <w:left w:w="108" w:type="dxa"/>
          <w:bottom w:w="0" w:type="dxa"/>
          <w:right w:w="108" w:type="dxa"/>
        </w:tblCellMar>
      </w:tblPr>
      <w:tblGrid>
        <w:gridCol w:w="2518"/>
        <w:gridCol w:w="2036"/>
        <w:gridCol w:w="1671"/>
        <w:gridCol w:w="1215"/>
        <w:gridCol w:w="2118"/>
      </w:tblGrid>
      <w:tr>
        <w:tblPrEx>
          <w:tblCellMar>
            <w:top w:w="0" w:type="dxa"/>
            <w:left w:w="108" w:type="dxa"/>
            <w:bottom w:w="0" w:type="dxa"/>
            <w:right w:w="108" w:type="dxa"/>
          </w:tblCellMar>
        </w:tblPrEx>
        <w:trPr>
          <w:trHeight w:val="660" w:hRule="atLeast"/>
        </w:trPr>
        <w:tc>
          <w:tcPr>
            <w:tcW w:w="2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服务内容</w:t>
            </w:r>
          </w:p>
        </w:tc>
        <w:tc>
          <w:tcPr>
            <w:tcW w:w="2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作业量</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bCs/>
                <w:color w:val="auto"/>
                <w:sz w:val="24"/>
                <w:highlight w:val="none"/>
                <w:lang w:eastAsia="zh-CN"/>
              </w:rPr>
            </w:pPr>
            <w:r>
              <w:rPr>
                <w:rFonts w:hint="eastAsia" w:ascii="方正仿宋_GBK" w:hAnsi="方正仿宋_GBK" w:eastAsia="方正仿宋_GBK" w:cs="方正仿宋_GBK"/>
                <w:b/>
                <w:bCs/>
                <w:color w:val="auto"/>
                <w:kern w:val="0"/>
                <w:sz w:val="24"/>
                <w:highlight w:val="none"/>
                <w:lang w:bidi="ar"/>
              </w:rPr>
              <w:t>不含税单价</w:t>
            </w:r>
            <w:r>
              <w:rPr>
                <w:rFonts w:hint="eastAsia" w:ascii="方正仿宋_GBK" w:hAnsi="方正仿宋_GBK" w:eastAsia="方正仿宋_GBK" w:cs="方正仿宋_GBK"/>
                <w:b/>
                <w:bCs/>
                <w:color w:val="auto"/>
                <w:kern w:val="0"/>
                <w:sz w:val="24"/>
                <w:highlight w:val="none"/>
                <w:lang w:val="en-US" w:eastAsia="zh-CN" w:bidi="ar"/>
              </w:rPr>
              <w:t xml:space="preserve"> </w:t>
            </w:r>
            <w:r>
              <w:rPr>
                <w:rFonts w:hint="eastAsia" w:ascii="方正仿宋_GBK" w:hAnsi="方正仿宋_GBK" w:eastAsia="方正仿宋_GBK" w:cs="方正仿宋_GBK"/>
                <w:b/>
                <w:bCs/>
                <w:color w:val="auto"/>
                <w:kern w:val="0"/>
                <w:sz w:val="24"/>
                <w:highlight w:val="none"/>
                <w:lang w:eastAsia="zh-CN" w:bidi="ar"/>
              </w:rPr>
              <w:t>（</w:t>
            </w:r>
            <w:r>
              <w:rPr>
                <w:rFonts w:hint="eastAsia" w:ascii="方正仿宋_GBK" w:hAnsi="方正仿宋_GBK" w:eastAsia="方正仿宋_GBK" w:cs="方正仿宋_GBK"/>
                <w:b/>
                <w:bCs/>
                <w:color w:val="auto"/>
                <w:kern w:val="0"/>
                <w:sz w:val="24"/>
                <w:highlight w:val="none"/>
                <w:lang w:val="en-US" w:eastAsia="zh-CN" w:bidi="ar"/>
              </w:rPr>
              <w:t>元</w:t>
            </w:r>
            <w:r>
              <w:rPr>
                <w:rFonts w:hint="eastAsia" w:ascii="方正仿宋_GBK" w:hAnsi="方正仿宋_GBK" w:eastAsia="方正仿宋_GBK" w:cs="方正仿宋_GBK"/>
                <w:b/>
                <w:bCs/>
                <w:color w:val="auto"/>
                <w:kern w:val="0"/>
                <w:sz w:val="24"/>
                <w:highlight w:val="none"/>
                <w:lang w:eastAsia="zh-CN" w:bidi="ar"/>
              </w:rPr>
              <w:t>）</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工作频次            (次/年)</w:t>
            </w:r>
          </w:p>
        </w:tc>
        <w:tc>
          <w:tcPr>
            <w:tcW w:w="2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bCs/>
                <w:color w:val="auto"/>
                <w:kern w:val="0"/>
                <w:sz w:val="24"/>
                <w:highlight w:val="none"/>
                <w:lang w:val="en-US" w:eastAsia="zh-CN" w:bidi="ar"/>
              </w:rPr>
            </w:pPr>
            <w:r>
              <w:rPr>
                <w:rFonts w:hint="eastAsia" w:ascii="方正仿宋_GBK" w:hAnsi="方正仿宋_GBK" w:eastAsia="方正仿宋_GBK" w:cs="方正仿宋_GBK"/>
                <w:b/>
                <w:bCs/>
                <w:color w:val="auto"/>
                <w:kern w:val="0"/>
                <w:sz w:val="24"/>
                <w:highlight w:val="none"/>
                <w:lang w:bidi="ar"/>
              </w:rPr>
              <w:t>不含税</w:t>
            </w:r>
            <w:r>
              <w:rPr>
                <w:rFonts w:hint="eastAsia" w:ascii="方正仿宋_GBK" w:hAnsi="方正仿宋_GBK" w:eastAsia="方正仿宋_GBK" w:cs="方正仿宋_GBK"/>
                <w:b/>
                <w:bCs/>
                <w:color w:val="auto"/>
                <w:kern w:val="0"/>
                <w:sz w:val="24"/>
                <w:highlight w:val="none"/>
                <w:lang w:val="en-US" w:eastAsia="zh-CN" w:bidi="ar"/>
              </w:rPr>
              <w:t>总价</w:t>
            </w:r>
          </w:p>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w:t>
            </w:r>
            <w:r>
              <w:rPr>
                <w:rFonts w:hint="eastAsia" w:ascii="方正仿宋_GBK" w:hAnsi="方正仿宋_GBK" w:eastAsia="方正仿宋_GBK" w:cs="方正仿宋_GBK"/>
                <w:b/>
                <w:bCs/>
                <w:color w:val="auto"/>
                <w:kern w:val="0"/>
                <w:sz w:val="24"/>
                <w:highlight w:val="none"/>
                <w:lang w:eastAsia="zh-CN" w:bidi="ar"/>
              </w:rPr>
              <w:t>元</w:t>
            </w:r>
            <w:r>
              <w:rPr>
                <w:rFonts w:hint="eastAsia" w:ascii="方正仿宋_GBK" w:hAnsi="方正仿宋_GBK" w:eastAsia="方正仿宋_GBK" w:cs="方正仿宋_GBK"/>
                <w:b/>
                <w:bCs/>
                <w:color w:val="auto"/>
                <w:kern w:val="0"/>
                <w:sz w:val="24"/>
                <w:highlight w:val="none"/>
                <w:lang w:bidi="ar"/>
              </w:rPr>
              <w:t>）</w:t>
            </w:r>
          </w:p>
        </w:tc>
      </w:tr>
      <w:tr>
        <w:tblPrEx>
          <w:tblCellMar>
            <w:top w:w="0" w:type="dxa"/>
            <w:left w:w="108" w:type="dxa"/>
            <w:bottom w:w="0" w:type="dxa"/>
            <w:right w:w="108" w:type="dxa"/>
          </w:tblCellMar>
        </w:tblPrEx>
        <w:trPr>
          <w:trHeight w:val="396" w:hRule="atLeast"/>
        </w:trPr>
        <w:tc>
          <w:tcPr>
            <w:tcW w:w="2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2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1.轨行区清掏冲洗</w:t>
            </w:r>
          </w:p>
        </w:tc>
      </w:tr>
      <w:tr>
        <w:tblPrEx>
          <w:tblCellMar>
            <w:top w:w="0" w:type="dxa"/>
            <w:left w:w="108" w:type="dxa"/>
            <w:bottom w:w="0" w:type="dxa"/>
            <w:right w:w="108" w:type="dxa"/>
          </w:tblCellMar>
        </w:tblPrEx>
        <w:trPr>
          <w:trHeight w:val="89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方正仿宋_GBK"/>
                <w:color w:val="auto"/>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车站、隧道排水沟清掏 （含轨行区地面垃圾清扫）</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133438.00m</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轨行区垃圾清运</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100.00车（10t)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548800.00㎡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高架、路基段轨行区清扫</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65535.00㎡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边坡清洁卫生及杂草清除</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3000.00㎡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2.外墙清洗</w:t>
            </w: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车站外墙清洗</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15430.00㎡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变电所外墙清洗</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1103.70㎡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3.</w:t>
            </w:r>
            <w:r>
              <w:rPr>
                <w:rFonts w:hint="eastAsia" w:ascii="方正仿宋_GBK" w:hAnsi="方正仿宋_GBK" w:eastAsia="方正仿宋_GBK" w:cs="方正仿宋_GBK"/>
                <w:b/>
                <w:bCs/>
                <w:color w:val="auto"/>
                <w:sz w:val="24"/>
                <w:highlight w:val="none"/>
                <w:lang w:eastAsia="zh-CN"/>
              </w:rPr>
              <w:t>沟渠池</w:t>
            </w:r>
            <w:r>
              <w:rPr>
                <w:rFonts w:hint="eastAsia" w:ascii="方正仿宋_GBK" w:hAnsi="方正仿宋_GBK" w:eastAsia="方正仿宋_GBK" w:cs="方正仿宋_GBK"/>
                <w:b/>
                <w:bCs/>
                <w:color w:val="auto"/>
                <w:sz w:val="24"/>
                <w:highlight w:val="none"/>
              </w:rPr>
              <w:t>清掏</w:t>
            </w: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生化池、污水井处理池、隔油池清掏</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1140.40</w:t>
            </w:r>
            <w:r>
              <w:rPr>
                <w:rFonts w:hint="eastAsia" w:ascii="宋体" w:hAnsi="宋体" w:eastAsia="宋体" w:cs="宋体"/>
                <w:i w:val="0"/>
                <w:iCs w:val="0"/>
                <w:color w:val="auto"/>
                <w:kern w:val="0"/>
                <w:sz w:val="24"/>
                <w:szCs w:val="24"/>
                <w:highlight w:val="none"/>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生化池、污水井抽排</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8.00</w:t>
            </w:r>
            <w:r>
              <w:rPr>
                <w:rFonts w:hint="eastAsia" w:ascii="宋体" w:hAnsi="宋体" w:eastAsia="宋体" w:cs="宋体"/>
                <w:i w:val="0"/>
                <w:iCs w:val="0"/>
                <w:color w:val="auto"/>
                <w:kern w:val="0"/>
                <w:sz w:val="24"/>
                <w:szCs w:val="24"/>
                <w:highlight w:val="none"/>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178</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区间隧道集水井、废水池清掏</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328.06</w:t>
            </w:r>
            <w:r>
              <w:rPr>
                <w:rFonts w:hint="eastAsia" w:ascii="宋体" w:hAnsi="宋体" w:eastAsia="宋体" w:cs="宋体"/>
                <w:i w:val="0"/>
                <w:iCs w:val="0"/>
                <w:color w:val="auto"/>
                <w:kern w:val="0"/>
                <w:sz w:val="24"/>
                <w:szCs w:val="24"/>
                <w:highlight w:val="none"/>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车站隧道集水井、废水池清掏</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2686.00</w:t>
            </w:r>
            <w:r>
              <w:rPr>
                <w:rFonts w:hint="eastAsia" w:ascii="宋体" w:hAnsi="宋体" w:eastAsia="宋体" w:cs="宋体"/>
                <w:i w:val="0"/>
                <w:iCs w:val="0"/>
                <w:color w:val="auto"/>
                <w:kern w:val="0"/>
                <w:sz w:val="24"/>
                <w:szCs w:val="24"/>
                <w:highlight w:val="none"/>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bl>
    <w:p>
      <w:pPr>
        <w:pStyle w:val="2"/>
        <w:spacing w:before="0" w:after="0" w:line="360" w:lineRule="auto"/>
        <w:rPr>
          <w:rFonts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暂定</w:t>
      </w:r>
      <w:r>
        <w:rPr>
          <w:rFonts w:hint="eastAsia" w:ascii="方正仿宋_GBK" w:hAnsi="方正仿宋_GBK" w:eastAsia="方正仿宋_GBK" w:cs="方正仿宋_GBK"/>
          <w:b w:val="0"/>
          <w:bCs w:val="0"/>
          <w:color w:val="auto"/>
          <w:sz w:val="28"/>
          <w:szCs w:val="28"/>
          <w:highlight w:val="none"/>
        </w:rPr>
        <w:t>不含税总价：</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，（大写：人民币</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w:t>
      </w:r>
    </w:p>
    <w:p>
      <w:pPr>
        <w:pStyle w:val="2"/>
        <w:spacing w:before="0" w:after="0" w:line="360" w:lineRule="auto"/>
        <w:rPr>
          <w:color w:val="auto"/>
          <w:highlight w:val="none"/>
        </w:rPr>
      </w:pPr>
      <w:r>
        <w:rPr>
          <w:rFonts w:hint="eastAsia" w:ascii="方正仿宋_GBK" w:hAnsi="方正仿宋_GBK" w:eastAsia="方正仿宋_GBK" w:cs="方正仿宋_GBK"/>
          <w:b w:val="0"/>
          <w:bCs w:val="0"/>
          <w:color w:val="auto"/>
          <w:sz w:val="28"/>
          <w:szCs w:val="28"/>
          <w:highlight w:val="none"/>
          <w:lang w:val="en-US" w:eastAsia="zh-CN"/>
        </w:rPr>
        <w:t>暂定</w:t>
      </w:r>
      <w:r>
        <w:rPr>
          <w:rFonts w:hint="eastAsia" w:ascii="方正仿宋_GBK" w:hAnsi="方正仿宋_GBK" w:eastAsia="方正仿宋_GBK" w:cs="方正仿宋_GBK"/>
          <w:b w:val="0"/>
          <w:bCs w:val="0"/>
          <w:color w:val="auto"/>
          <w:sz w:val="28"/>
          <w:szCs w:val="28"/>
          <w:highlight w:val="none"/>
        </w:rPr>
        <w:t>含税总价：</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，（大写：人民币</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），税率</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w:t>
      </w:r>
    </w:p>
    <w:p>
      <w:pPr>
        <w:pStyle w:val="2"/>
        <w:spacing w:before="0" w:after="0"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val="en-US" w:eastAsia="zh-CN"/>
        </w:rPr>
        <w:t>①</w:t>
      </w:r>
      <w:r>
        <w:rPr>
          <w:rFonts w:hint="eastAsia" w:ascii="方正仿宋_GBK" w:hAnsi="方正仿宋_GBK" w:eastAsia="方正仿宋_GBK" w:cs="方正仿宋_GBK"/>
          <w:b w:val="0"/>
          <w:bCs w:val="0"/>
          <w:color w:val="auto"/>
          <w:sz w:val="28"/>
          <w:szCs w:val="28"/>
          <w:highlight w:val="none"/>
          <w:lang w:eastAsia="zh-CN"/>
        </w:rPr>
        <w:t>表格中作业量和作业频次均为预估，实际作业量和作业频次以现场实际需求为准。</w:t>
      </w:r>
      <w:r>
        <w:rPr>
          <w:rFonts w:hint="eastAsia" w:ascii="方正仿宋_GBK" w:hAnsi="方正仿宋_GBK" w:eastAsia="方正仿宋_GBK" w:cs="方正仿宋_GBK"/>
          <w:b w:val="0"/>
          <w:bCs w:val="0"/>
          <w:color w:val="auto"/>
          <w:sz w:val="28"/>
          <w:szCs w:val="28"/>
          <w:highlight w:val="none"/>
          <w:lang w:val="en-US" w:eastAsia="zh-CN"/>
        </w:rPr>
        <w:t>②表格中不含税单价</w:t>
      </w:r>
      <w:r>
        <w:rPr>
          <w:rFonts w:hint="eastAsia" w:ascii="方正仿宋_GBK" w:hAnsi="方正仿宋_GBK" w:eastAsia="方正仿宋_GBK" w:cs="方正仿宋_GBK"/>
          <w:b w:val="0"/>
          <w:bCs w:val="0"/>
          <w:color w:val="auto"/>
          <w:sz w:val="28"/>
          <w:szCs w:val="28"/>
          <w:highlight w:val="none"/>
        </w:rPr>
        <w:t>须保留至小数点后</w:t>
      </w:r>
      <w:r>
        <w:rPr>
          <w:rFonts w:hint="eastAsia" w:ascii="方正仿宋_GBK" w:hAnsi="方正仿宋_GBK" w:eastAsia="方正仿宋_GBK" w:cs="方正仿宋_GBK"/>
          <w:b w:val="0"/>
          <w:bCs w:val="0"/>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表格中不含税总价=作业量*不含税单价*工作频次，且须保留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表格下方的暂定不含税总价为表格中单项不含税总价的累计数值，且须保留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表格下方的暂定含税总价=暂定不含税总价+税费，且须保留至小数点后2位；</w:t>
      </w:r>
      <w:r>
        <w:rPr>
          <w:rFonts w:hint="eastAsia" w:ascii="方正仿宋_GBK" w:hAnsi="方正仿宋_GBK" w:eastAsia="方正仿宋_GBK" w:cs="方正仿宋_GBK"/>
          <w:b w:val="0"/>
          <w:bCs w:val="0"/>
          <w:color w:val="auto"/>
          <w:sz w:val="28"/>
          <w:szCs w:val="28"/>
          <w:highlight w:val="none"/>
        </w:rPr>
        <w:t>小数点后无数字时填写0</w:t>
      </w:r>
      <w:r>
        <w:rPr>
          <w:rFonts w:hint="eastAsia" w:ascii="方正仿宋_GBK" w:hAnsi="方正仿宋_GBK" w:eastAsia="方正仿宋_GBK" w:cs="方正仿宋_GBK"/>
          <w:b w:val="0"/>
          <w:bCs w:val="0"/>
          <w:color w:val="auto"/>
          <w:sz w:val="28"/>
          <w:szCs w:val="28"/>
          <w:highlight w:val="none"/>
          <w:lang w:eastAsia="zh-CN"/>
        </w:rPr>
        <w:t>。）</w:t>
      </w:r>
    </w:p>
    <w:p>
      <w:pPr>
        <w:numPr>
          <w:ilvl w:val="0"/>
          <w:numId w:val="7"/>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我们已详细阅读了比选函全部内容，我们知道必须放弃提出含糊不清或误解的问题的权利。</w:t>
      </w:r>
    </w:p>
    <w:p>
      <w:pPr>
        <w:numPr>
          <w:ilvl w:val="0"/>
          <w:numId w:val="7"/>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我们保证根据规定履行合同责任和义务。</w:t>
      </w:r>
    </w:p>
    <w:p>
      <w:pPr>
        <w:numPr>
          <w:ilvl w:val="0"/>
          <w:numId w:val="7"/>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本比选函自开启之日起至项目全部完成之内有效。</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比选单位全称（公章）：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电话、传真：</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报价人法定代表人或授权代理人签字：</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日期：   年 月 日</w:t>
      </w:r>
    </w:p>
    <w:p>
      <w:pPr>
        <w:rPr>
          <w:rFonts w:ascii="方正仿宋_GBK" w:hAnsi="方正仿宋_GBK" w:eastAsia="方正仿宋_GBK" w:cs="方正仿宋_GBK"/>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三、技术文件</w:t>
      </w:r>
    </w:p>
    <w:p>
      <w:pPr>
        <w:pStyle w:val="2"/>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整体服务方案</w:t>
      </w:r>
    </w:p>
    <w:p>
      <w:pPr>
        <w:pStyle w:val="2"/>
        <w:numPr>
          <w:ilvl w:val="0"/>
          <w:numId w:val="0"/>
        </w:numPr>
        <w:ind w:left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pStyle w:val="2"/>
        <w:rPr>
          <w:rFonts w:hint="eastAsia" w:ascii="方正仿宋_GBK" w:hAnsi="方正仿宋_GBK" w:eastAsia="方正仿宋_GBK" w:cs="方正仿宋_GBK"/>
          <w:color w:val="auto"/>
          <w:sz w:val="28"/>
          <w:szCs w:val="36"/>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2、分项服务方案</w:t>
      </w:r>
      <w:r>
        <w:rPr>
          <w:rFonts w:hint="eastAsia" w:ascii="方正仿宋_GBK" w:hAnsi="方正仿宋_GBK" w:eastAsia="方正仿宋_GBK" w:cs="方正仿宋_GBK"/>
          <w:b w:val="0"/>
          <w:bCs w:val="0"/>
          <w:color w:val="auto"/>
          <w:sz w:val="36"/>
          <w:szCs w:val="44"/>
          <w:highlight w:val="none"/>
          <w:lang w:val="en-US" w:eastAsia="zh-CN"/>
        </w:rPr>
        <w:t>（</w:t>
      </w:r>
      <w:r>
        <w:rPr>
          <w:rFonts w:hint="eastAsia" w:ascii="方正仿宋_GBK" w:hAnsi="方正仿宋_GBK" w:eastAsia="方正仿宋_GBK" w:cs="方正仿宋_GBK"/>
          <w:b w:val="0"/>
          <w:bCs w:val="0"/>
          <w:color w:val="auto"/>
          <w:sz w:val="28"/>
          <w:szCs w:val="36"/>
          <w:highlight w:val="none"/>
          <w:lang w:val="en-US" w:eastAsia="zh-CN"/>
        </w:rPr>
        <w:t>包括</w:t>
      </w:r>
      <w:r>
        <w:rPr>
          <w:rFonts w:hint="eastAsia" w:ascii="方正仿宋_GBK" w:hAnsi="方正仿宋_GBK" w:eastAsia="方正仿宋_GBK" w:cs="方正仿宋_GBK"/>
          <w:b w:val="0"/>
          <w:bCs w:val="0"/>
          <w:color w:val="auto"/>
          <w:sz w:val="28"/>
          <w:szCs w:val="28"/>
          <w:highlight w:val="none"/>
          <w:lang w:val="en-US" w:eastAsia="zh-CN"/>
        </w:rPr>
        <w:t>轨行区清掏冲洗、</w:t>
      </w:r>
      <w:r>
        <w:rPr>
          <w:rFonts w:hint="eastAsia" w:ascii="方正仿宋_GBK" w:hAnsi="方正仿宋_GBK" w:eastAsia="方正仿宋_GBK" w:cs="方正仿宋_GBK"/>
          <w:b w:val="0"/>
          <w:bCs w:val="0"/>
          <w:color w:val="auto"/>
          <w:sz w:val="28"/>
          <w:szCs w:val="36"/>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lang w:val="en-US" w:eastAsia="zh-CN"/>
        </w:rPr>
        <w:t>外墙清洗和沟渠池清掏服务方案</w:t>
      </w:r>
      <w:r>
        <w:rPr>
          <w:rFonts w:hint="eastAsia" w:ascii="方正仿宋_GBK" w:hAnsi="方正仿宋_GBK" w:eastAsia="方正仿宋_GBK" w:cs="方正仿宋_GBK"/>
          <w:b w:val="0"/>
          <w:bCs w:val="0"/>
          <w:color w:val="auto"/>
          <w:sz w:val="28"/>
          <w:szCs w:val="36"/>
          <w:highlight w:val="none"/>
          <w:lang w:val="en-US" w:eastAsia="zh-CN"/>
        </w:rPr>
        <w:t>）</w:t>
      </w:r>
    </w:p>
    <w:p>
      <w:pPr>
        <w:pStyle w:val="2"/>
        <w:numPr>
          <w:ilvl w:val="0"/>
          <w:numId w:val="0"/>
        </w:numPr>
        <w:ind w:left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eastAsia"/>
          <w:color w:val="auto"/>
          <w:highlight w:val="none"/>
          <w:lang w:val="en-US" w:eastAsia="zh-CN"/>
        </w:rPr>
      </w:pPr>
    </w:p>
    <w:p>
      <w:pPr>
        <w:numPr>
          <w:ilvl w:val="0"/>
          <w:numId w:val="0"/>
        </w:numPr>
        <w:ind w:leftChars="0"/>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3、人员配置方案</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格式自拟</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管理制度及人员培训方案</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格式自拟</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bCs/>
          <w:color w:val="auto"/>
          <w:sz w:val="36"/>
          <w:szCs w:val="44"/>
          <w:highlight w:val="none"/>
          <w:lang w:val="en-US" w:eastAsia="zh-CN"/>
        </w:rPr>
      </w:pPr>
    </w:p>
    <w:p>
      <w:pPr>
        <w:numPr>
          <w:ilvl w:val="0"/>
          <w:numId w:val="8"/>
        </w:numPr>
        <w:ind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安全保障</w:t>
      </w:r>
      <w:r>
        <w:rPr>
          <w:rFonts w:hint="eastAsia" w:ascii="方正仿宋_GBK" w:hAnsi="方正仿宋_GBK" w:eastAsia="方正仿宋_GBK" w:cs="方正仿宋_GBK"/>
          <w:b/>
          <w:bCs/>
          <w:color w:val="auto"/>
          <w:sz w:val="32"/>
          <w:szCs w:val="32"/>
          <w:highlight w:val="none"/>
          <w:lang w:val="en-US" w:eastAsia="zh-CN"/>
        </w:rPr>
        <w:t>方案</w:t>
      </w:r>
    </w:p>
    <w:p>
      <w:pPr>
        <w:numPr>
          <w:ilvl w:val="0"/>
          <w:numId w:val="0"/>
        </w:numPr>
        <w:rPr>
          <w:rFonts w:hint="eastAsia" w:ascii="方正仿宋_GBK" w:hAnsi="方正仿宋_GBK" w:eastAsia="方正仿宋_GBK" w:cs="方正仿宋_GBK"/>
          <w:b w:val="0"/>
          <w:bCs w:val="0"/>
          <w:color w:val="auto"/>
          <w:sz w:val="28"/>
          <w:szCs w:val="28"/>
          <w:highlight w:val="none"/>
          <w:lang w:val="en-US" w:eastAsia="zh-CN"/>
        </w:rPr>
      </w:pPr>
    </w:p>
    <w:p>
      <w:pPr>
        <w:numPr>
          <w:ilvl w:val="0"/>
          <w:numId w:val="0"/>
        </w:numPr>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pStyle w:val="2"/>
        <w:numPr>
          <w:ilvl w:val="0"/>
          <w:numId w:val="0"/>
        </w:numPr>
        <w:ind w:leftChars="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应急预案</w:t>
      </w:r>
    </w:p>
    <w:p>
      <w:pPr>
        <w:pStyle w:val="2"/>
        <w:numPr>
          <w:ilvl w:val="0"/>
          <w:numId w:val="0"/>
        </w:numPr>
        <w:ind w:leftChars="0"/>
        <w:rPr>
          <w:rFonts w:hint="eastAsia"/>
          <w:color w:val="auto"/>
          <w:highlight w:val="none"/>
        </w:rPr>
      </w:pPr>
      <w:r>
        <w:rPr>
          <w:rFonts w:hint="eastAsia" w:ascii="方正仿宋_GBK" w:hAnsi="方正仿宋_GBK" w:eastAsia="方正仿宋_GBK" w:cs="方正仿宋_GBK"/>
          <w:b w:val="0"/>
          <w:bCs w:val="0"/>
          <w:color w:val="auto"/>
          <w:sz w:val="28"/>
          <w:szCs w:val="28"/>
          <w:highlight w:val="none"/>
          <w:lang w:val="en-US" w:eastAsia="zh-CN"/>
        </w:rPr>
        <w:t>格式自拟</w:t>
      </w:r>
    </w:p>
    <w:p>
      <w:pPr>
        <w:pStyle w:val="2"/>
        <w:numPr>
          <w:ilvl w:val="0"/>
          <w:numId w:val="0"/>
        </w:numPr>
        <w:ind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7、</w:t>
      </w:r>
      <w:r>
        <w:rPr>
          <w:rFonts w:hint="eastAsia" w:ascii="方正仿宋_GBK" w:hAnsi="方正仿宋_GBK" w:eastAsia="方正仿宋_GBK" w:cs="方正仿宋_GBK"/>
          <w:b/>
          <w:bCs/>
          <w:color w:val="auto"/>
          <w:sz w:val="32"/>
          <w:szCs w:val="32"/>
          <w:highlight w:val="none"/>
        </w:rPr>
        <w:t>根据比选项目情况认为需要添加的其他资料</w:t>
      </w:r>
    </w:p>
    <w:p>
      <w:pPr>
        <w:pStyle w:val="2"/>
        <w:numPr>
          <w:ilvl w:val="0"/>
          <w:numId w:val="0"/>
        </w:numPr>
        <w:ind w:leftChars="0"/>
        <w:rPr>
          <w:rFonts w:hint="eastAsia"/>
          <w:color w:val="auto"/>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default"/>
          <w:color w:val="auto"/>
          <w:highlight w:val="none"/>
          <w:lang w:val="en-US" w:eastAsia="zh-CN"/>
        </w:rPr>
        <w:sectPr>
          <w:pgSz w:w="11900" w:h="16840"/>
          <w:pgMar w:top="1440" w:right="1134" w:bottom="1440" w:left="1134" w:header="920" w:footer="0" w:gutter="0"/>
          <w:pgNumType w:fmt="decimal"/>
          <w:cols w:space="720" w:num="1"/>
          <w:docGrid w:type="lines" w:linePitch="0" w:charSpace="0"/>
        </w:sectPr>
      </w:pPr>
    </w:p>
    <w:p>
      <w:pPr>
        <w:widowControl/>
        <w:spacing w:before="100" w:beforeAutospacing="1" w:after="100" w:afterAutospacing="1" w:line="252" w:lineRule="atLeast"/>
        <w:jc w:val="left"/>
        <w:rPr>
          <w:rFonts w:hint="eastAsia" w:ascii="方正仿宋_GBK" w:hAnsi="方正仿宋_GBK" w:eastAsia="方正小标宋_GBK" w:cs="方正仿宋_GBK"/>
          <w:b w:val="0"/>
          <w:bCs w:val="0"/>
          <w:color w:val="auto"/>
          <w:kern w:val="0"/>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四、</w:t>
      </w:r>
      <w:r>
        <w:rPr>
          <w:rFonts w:hint="eastAsia" w:ascii="方正小标宋_GBK" w:hAnsi="方正小标宋_GBK" w:eastAsia="方正小标宋_GBK" w:cs="方正小标宋_GBK"/>
          <w:b w:val="0"/>
          <w:bCs w:val="0"/>
          <w:color w:val="auto"/>
          <w:sz w:val="32"/>
          <w:szCs w:val="32"/>
          <w:highlight w:val="none"/>
        </w:rPr>
        <w:t>合同</w:t>
      </w:r>
      <w:r>
        <w:rPr>
          <w:rFonts w:hint="eastAsia" w:ascii="方正小标宋_GBK" w:hAnsi="方正小标宋_GBK" w:eastAsia="方正小标宋_GBK" w:cs="方正小标宋_GBK"/>
          <w:b w:val="0"/>
          <w:bCs w:val="0"/>
          <w:color w:val="auto"/>
          <w:sz w:val="32"/>
          <w:szCs w:val="32"/>
          <w:highlight w:val="none"/>
          <w:lang w:val="en-US" w:eastAsia="zh-CN"/>
        </w:rPr>
        <w:t>文件</w:t>
      </w:r>
    </w:p>
    <w:p>
      <w:pPr>
        <w:rPr>
          <w:rFonts w:ascii="方正仿宋_GBK" w:hAnsi="方正仿宋_GBK" w:eastAsia="方正仿宋_GBK" w:cs="方正仿宋_GBK"/>
          <w:color w:val="auto"/>
          <w:sz w:val="28"/>
          <w:szCs w:val="28"/>
          <w:highlight w:val="none"/>
        </w:rPr>
      </w:pPr>
    </w:p>
    <w:p>
      <w:pPr>
        <w:spacing w:line="541" w:lineRule="exact"/>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重庆通邑物业管理有限公司2022-2023年度轨道</w:t>
      </w:r>
      <w:r>
        <w:rPr>
          <w:rFonts w:hint="eastAsia" w:ascii="方正仿宋_GBK" w:hAnsi="方正仿宋_GBK" w:eastAsia="方正仿宋_GBK" w:cs="方正仿宋_GBK"/>
          <w:b/>
          <w:bCs/>
          <w:color w:val="auto"/>
          <w:sz w:val="32"/>
          <w:szCs w:val="32"/>
          <w:highlight w:val="none"/>
          <w:lang w:val="en-US" w:eastAsia="zh-CN"/>
        </w:rPr>
        <w:t>10</w:t>
      </w:r>
      <w:r>
        <w:rPr>
          <w:rFonts w:hint="eastAsia" w:ascii="方正仿宋_GBK" w:hAnsi="方正仿宋_GBK" w:eastAsia="方正仿宋_GBK" w:cs="方正仿宋_GBK"/>
          <w:b/>
          <w:bCs/>
          <w:color w:val="auto"/>
          <w:sz w:val="32"/>
          <w:szCs w:val="32"/>
          <w:highlight w:val="none"/>
        </w:rPr>
        <w:t>号线</w:t>
      </w:r>
    </w:p>
    <w:p>
      <w:pPr>
        <w:spacing w:line="541" w:lineRule="exact"/>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轨行区清掏冲洗、外墙清洗、</w:t>
      </w:r>
      <w:r>
        <w:rPr>
          <w:rFonts w:hint="eastAsia" w:ascii="方正仿宋_GBK" w:hAnsi="方正仿宋_GBK" w:eastAsia="方正仿宋_GBK" w:cs="方正仿宋_GBK"/>
          <w:b/>
          <w:bCs/>
          <w:color w:val="auto"/>
          <w:sz w:val="32"/>
          <w:szCs w:val="32"/>
          <w:highlight w:val="none"/>
          <w:lang w:eastAsia="zh-CN"/>
        </w:rPr>
        <w:t>沟渠池</w:t>
      </w:r>
      <w:r>
        <w:rPr>
          <w:rFonts w:hint="eastAsia" w:ascii="方正仿宋_GBK" w:hAnsi="方正仿宋_GBK" w:eastAsia="方正仿宋_GBK" w:cs="方正仿宋_GBK"/>
          <w:b/>
          <w:bCs/>
          <w:color w:val="auto"/>
          <w:sz w:val="32"/>
          <w:szCs w:val="32"/>
          <w:highlight w:val="none"/>
        </w:rPr>
        <w:t>清掏服务合同</w:t>
      </w:r>
    </w:p>
    <w:p>
      <w:pPr>
        <w:spacing w:line="540" w:lineRule="exact"/>
        <w:jc w:val="right"/>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pacing w:val="20"/>
          <w:sz w:val="28"/>
          <w:szCs w:val="28"/>
          <w:highlight w:val="none"/>
        </w:rPr>
        <w:t>【合</w:t>
      </w:r>
      <w:r>
        <w:rPr>
          <w:rFonts w:hint="eastAsia" w:ascii="方正仿宋_GBK" w:hAnsi="方正仿宋_GBK" w:eastAsia="方正仿宋_GBK" w:cs="方正仿宋_GBK"/>
          <w:b/>
          <w:bCs/>
          <w:color w:val="auto"/>
          <w:sz w:val="28"/>
          <w:szCs w:val="28"/>
          <w:highlight w:val="none"/>
        </w:rPr>
        <w:t xml:space="preserve">同编号：       </w:t>
      </w:r>
      <w:r>
        <w:rPr>
          <w:rFonts w:hint="eastAsia" w:ascii="方正仿宋_GBK" w:hAnsi="方正仿宋_GBK" w:eastAsia="方正仿宋_GBK" w:cs="方正仿宋_GBK"/>
          <w:b/>
          <w:bCs/>
          <w:color w:val="auto"/>
          <w:spacing w:val="20"/>
          <w:sz w:val="28"/>
          <w:szCs w:val="28"/>
          <w:highlight w:val="none"/>
        </w:rPr>
        <w:t>】</w:t>
      </w:r>
    </w:p>
    <w:p>
      <w:pPr>
        <w:spacing w:line="560" w:lineRule="exact"/>
        <w:ind w:firstLine="560" w:firstLineChars="200"/>
        <w:rPr>
          <w:rFonts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甲 方：</w:t>
      </w:r>
      <w:r>
        <w:rPr>
          <w:rFonts w:hint="eastAsia" w:ascii="方正仿宋_GBK" w:hAnsi="方正仿宋_GBK" w:eastAsia="方正仿宋_GBK" w:cs="方正仿宋_GBK"/>
          <w:b/>
          <w:color w:val="auto"/>
          <w:sz w:val="28"/>
          <w:szCs w:val="28"/>
          <w:highlight w:val="none"/>
          <w:u w:val="single"/>
        </w:rPr>
        <w:t>重庆通邑物业管理有限公司</w:t>
      </w:r>
    </w:p>
    <w:p>
      <w:pPr>
        <w:spacing w:line="360" w:lineRule="auto"/>
        <w:rPr>
          <w:rFonts w:ascii="方正仿宋_GBK" w:hAnsi="方正仿宋_GBK" w:eastAsia="方正仿宋_GBK" w:cs="方正仿宋_GBK"/>
          <w:b/>
          <w:color w:val="auto"/>
          <w:sz w:val="28"/>
          <w:szCs w:val="28"/>
          <w:highlight w:val="none"/>
          <w:u w:val="single"/>
        </w:rPr>
      </w:pPr>
      <w:r>
        <w:rPr>
          <w:rFonts w:hint="eastAsia" w:ascii="方正仿宋_GBK" w:hAnsi="方正仿宋_GBK" w:eastAsia="方正仿宋_GBK" w:cs="方正仿宋_GBK"/>
          <w:b/>
          <w:color w:val="auto"/>
          <w:sz w:val="28"/>
          <w:szCs w:val="28"/>
          <w:highlight w:val="none"/>
        </w:rPr>
        <w:t>地 址：</w:t>
      </w:r>
      <w:r>
        <w:rPr>
          <w:rFonts w:hint="eastAsia" w:ascii="方正仿宋_GBK" w:hAnsi="方正仿宋_GBK" w:eastAsia="方正仿宋_GBK" w:cs="方正仿宋_GBK"/>
          <w:b/>
          <w:color w:val="auto"/>
          <w:sz w:val="28"/>
          <w:szCs w:val="28"/>
          <w:highlight w:val="none"/>
          <w:u w:val="single"/>
        </w:rPr>
        <w:t xml:space="preserve">                        </w:t>
      </w:r>
    </w:p>
    <w:p>
      <w:pPr>
        <w:spacing w:line="360" w:lineRule="auto"/>
        <w:rPr>
          <w:rFonts w:ascii="方正仿宋_GBK" w:hAnsi="方正仿宋_GBK" w:eastAsia="方正仿宋_GBK" w:cs="方正仿宋_GBK"/>
          <w:b/>
          <w:color w:val="auto"/>
          <w:sz w:val="28"/>
          <w:szCs w:val="28"/>
          <w:highlight w:val="none"/>
        </w:rPr>
      </w:pPr>
    </w:p>
    <w:p>
      <w:pPr>
        <w:spacing w:line="360" w:lineRule="auto"/>
        <w:rPr>
          <w:rFonts w:ascii="宋体" w:hAnsi="宋体" w:cs="宋体"/>
          <w:color w:val="auto"/>
          <w:sz w:val="28"/>
          <w:szCs w:val="28"/>
          <w:highlight w:val="none"/>
        </w:rPr>
      </w:pPr>
      <w:r>
        <w:rPr>
          <w:rFonts w:hint="eastAsia" w:ascii="方正仿宋_GBK" w:hAnsi="方正仿宋_GBK" w:eastAsia="方正仿宋_GBK" w:cs="方正仿宋_GBK"/>
          <w:b/>
          <w:color w:val="auto"/>
          <w:sz w:val="28"/>
          <w:szCs w:val="28"/>
          <w:highlight w:val="none"/>
        </w:rPr>
        <w:t>乙 方：</w:t>
      </w:r>
      <w:r>
        <w:rPr>
          <w:rFonts w:hint="eastAsia" w:ascii="方正仿宋_GBK" w:hAnsi="方正仿宋_GBK" w:eastAsia="方正仿宋_GBK" w:cs="方正仿宋_GBK"/>
          <w:b/>
          <w:color w:val="auto"/>
          <w:sz w:val="28"/>
          <w:szCs w:val="28"/>
          <w:highlight w:val="none"/>
          <w:u w:val="single"/>
        </w:rPr>
        <w:t xml:space="preserve">                        </w:t>
      </w:r>
    </w:p>
    <w:p>
      <w:pPr>
        <w:spacing w:line="360" w:lineRule="auto"/>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地 址：</w:t>
      </w:r>
      <w:r>
        <w:rPr>
          <w:rFonts w:hint="eastAsia" w:ascii="方正仿宋_GBK" w:hAnsi="方正仿宋_GBK" w:eastAsia="方正仿宋_GBK" w:cs="方正仿宋_GBK"/>
          <w:b/>
          <w:color w:val="auto"/>
          <w:sz w:val="28"/>
          <w:szCs w:val="28"/>
          <w:highlight w:val="none"/>
          <w:u w:val="single"/>
        </w:rPr>
        <w:t xml:space="preserve">                        </w:t>
      </w:r>
    </w:p>
    <w:p>
      <w:pPr>
        <w:spacing w:line="560" w:lineRule="exact"/>
        <w:ind w:firstLine="560" w:firstLineChars="200"/>
        <w:rPr>
          <w:rFonts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根据《中华人民共和国民法典》等有关法律、法规的规定，</w:t>
      </w:r>
      <w:r>
        <w:rPr>
          <w:rFonts w:hint="eastAsia" w:ascii="方正仿宋_GBK" w:hAnsi="方正仿宋_GBK" w:eastAsia="方正仿宋_GBK" w:cs="方正仿宋_GBK"/>
          <w:bCs/>
          <w:color w:val="auto"/>
          <w:sz w:val="28"/>
          <w:szCs w:val="28"/>
          <w:highlight w:val="none"/>
        </w:rPr>
        <w:t>甲乙双方</w:t>
      </w:r>
      <w:r>
        <w:rPr>
          <w:rFonts w:hint="eastAsia" w:ascii="方正仿宋_GBK" w:hAnsi="方正仿宋_GBK" w:eastAsia="方正仿宋_GBK" w:cs="方正仿宋_GBK"/>
          <w:color w:val="auto"/>
          <w:sz w:val="28"/>
          <w:szCs w:val="28"/>
          <w:highlight w:val="none"/>
        </w:rPr>
        <w:t>在公平、自愿、平等的基础上，就</w:t>
      </w:r>
      <w:r>
        <w:rPr>
          <w:rFonts w:hint="eastAsia" w:ascii="方正仿宋_GBK" w:hAnsi="方正仿宋_GBK" w:eastAsia="方正仿宋_GBK" w:cs="方正仿宋_GBK"/>
          <w:color w:val="auto"/>
          <w:sz w:val="28"/>
          <w:szCs w:val="28"/>
          <w:highlight w:val="none"/>
          <w:u w:val="single"/>
        </w:rPr>
        <w:t>2022-2023年度轨道</w:t>
      </w:r>
      <w:r>
        <w:rPr>
          <w:rFonts w:hint="eastAsia" w:ascii="方正仿宋_GBK" w:hAnsi="方正仿宋_GBK" w:eastAsia="方正仿宋_GBK" w:cs="方正仿宋_GBK"/>
          <w:color w:val="auto"/>
          <w:sz w:val="28"/>
          <w:szCs w:val="28"/>
          <w:highlight w:val="none"/>
          <w:u w:val="single"/>
          <w:lang w:val="en-US" w:eastAsia="zh-CN"/>
        </w:rPr>
        <w:t>10</w:t>
      </w:r>
      <w:r>
        <w:rPr>
          <w:rFonts w:hint="eastAsia" w:ascii="方正仿宋_GBK" w:hAnsi="方正仿宋_GBK" w:eastAsia="方正仿宋_GBK" w:cs="方正仿宋_GBK"/>
          <w:color w:val="auto"/>
          <w:sz w:val="28"/>
          <w:szCs w:val="28"/>
          <w:highlight w:val="none"/>
          <w:u w:val="single"/>
        </w:rPr>
        <w:t>号线轨行区清掏冲洗、外墙清洗、</w:t>
      </w:r>
      <w:r>
        <w:rPr>
          <w:rFonts w:hint="eastAsia" w:ascii="方正仿宋_GBK" w:hAnsi="方正仿宋_GBK" w:eastAsia="方正仿宋_GBK" w:cs="方正仿宋_GBK"/>
          <w:color w:val="auto"/>
          <w:sz w:val="28"/>
          <w:szCs w:val="28"/>
          <w:highlight w:val="none"/>
          <w:u w:val="single"/>
          <w:lang w:eastAsia="zh-CN"/>
        </w:rPr>
        <w:t>沟渠池</w:t>
      </w:r>
      <w:r>
        <w:rPr>
          <w:rFonts w:hint="eastAsia" w:ascii="方正仿宋_GBK" w:hAnsi="方正仿宋_GBK" w:eastAsia="方正仿宋_GBK" w:cs="方正仿宋_GBK"/>
          <w:color w:val="auto"/>
          <w:sz w:val="28"/>
          <w:szCs w:val="28"/>
          <w:highlight w:val="none"/>
          <w:u w:val="single"/>
        </w:rPr>
        <w:t>清掏服务友</w:t>
      </w:r>
      <w:r>
        <w:rPr>
          <w:rFonts w:hint="eastAsia" w:ascii="方正仿宋_GBK" w:hAnsi="方正仿宋_GBK" w:eastAsia="方正仿宋_GBK" w:cs="方正仿宋_GBK"/>
          <w:color w:val="auto"/>
          <w:sz w:val="28"/>
          <w:szCs w:val="28"/>
          <w:highlight w:val="none"/>
        </w:rPr>
        <w:t>好协商，</w:t>
      </w:r>
      <w:r>
        <w:rPr>
          <w:rFonts w:hint="eastAsia" w:ascii="方正仿宋_GBK" w:hAnsi="方正仿宋_GBK" w:eastAsia="方正仿宋_GBK" w:cs="方正仿宋_GBK"/>
          <w:bCs/>
          <w:color w:val="auto"/>
          <w:sz w:val="28"/>
          <w:szCs w:val="28"/>
          <w:highlight w:val="none"/>
        </w:rPr>
        <w:t>达成如下共识，以资信守。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第一条 服务范围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轨道</w:t>
      </w: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号线轨行区清掏冲洗、外墙清洗、</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w:t>
      </w:r>
      <w:r>
        <w:rPr>
          <w:rFonts w:hint="eastAsia" w:ascii="方正仿宋_GBK" w:hAnsi="方正仿宋_GBK" w:eastAsia="方正仿宋_GBK" w:cs="方正仿宋_GBK"/>
          <w:color w:val="auto"/>
          <w:sz w:val="28"/>
          <w:szCs w:val="28"/>
          <w:highlight w:val="none"/>
          <w:lang w:val="en-US" w:eastAsia="zh-CN"/>
        </w:rPr>
        <w:t>服务</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第二条 服务内容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轨行区清掏冲洗：10号线一期沿线区间隧道（上下行，含辅助线、出入段线）内道床、水沟、疏散平台、疏散平台以下的隧道壁的冲洗；隧道沿线排水沟、车场轨行区排水沟、线路沿线边/仰坡截水沟及排水沟、减振浮置板道床排水暗沟、泵房暗管等排水设施的清掏、疏通、清掏物和路基及高架区段的清扫、人工转运（转运距离平均约1公里）；边坡清洁卫生及杂草清理；区间隧道排水设施清掏物通过装袋后，需10t的渣车二次转运至符合规定的渣场处理；减振浮置板道床排水暗沟及泵房暗管疏通；区间二次转运及处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外墙清洗：</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座车站（</w:t>
      </w:r>
      <w:r>
        <w:rPr>
          <w:rFonts w:hint="eastAsia" w:ascii="方正仿宋_GBK" w:hAnsi="方正仿宋_GBK" w:eastAsia="方正仿宋_GBK" w:cs="方正仿宋_GBK"/>
          <w:color w:val="auto"/>
          <w:sz w:val="28"/>
          <w:szCs w:val="28"/>
          <w:highlight w:val="none"/>
          <w:lang w:eastAsia="zh-CN"/>
        </w:rPr>
        <w:t>长河</w:t>
      </w:r>
      <w:r>
        <w:rPr>
          <w:rFonts w:hint="eastAsia" w:ascii="方正仿宋_GBK" w:hAnsi="方正仿宋_GBK" w:eastAsia="方正仿宋_GBK" w:cs="方正仿宋_GBK"/>
          <w:color w:val="auto"/>
          <w:sz w:val="28"/>
          <w:szCs w:val="28"/>
          <w:highlight w:val="none"/>
        </w:rPr>
        <w:t>站）外墙清洗及屋顶排水沟清理（</w:t>
      </w:r>
      <w:r>
        <w:rPr>
          <w:rFonts w:hint="eastAsia" w:ascii="方正仿宋_GBK" w:hAnsi="方正仿宋_GBK" w:eastAsia="方正仿宋_GBK" w:cs="方正仿宋_GBK"/>
          <w:color w:val="auto"/>
          <w:sz w:val="28"/>
          <w:szCs w:val="28"/>
          <w:highlight w:val="none"/>
          <w:lang w:eastAsia="zh-CN"/>
        </w:rPr>
        <w:t>暂定</w:t>
      </w:r>
      <w:r>
        <w:rPr>
          <w:rFonts w:hint="eastAsia" w:ascii="方正仿宋_GBK" w:hAnsi="方正仿宋_GBK" w:eastAsia="方正仿宋_GBK" w:cs="方正仿宋_GBK"/>
          <w:color w:val="auto"/>
          <w:sz w:val="28"/>
          <w:szCs w:val="28"/>
          <w:highlight w:val="none"/>
        </w:rPr>
        <w:t>每季度清洗一次）；变电所外墙清洗及屋顶排水沟</w:t>
      </w:r>
      <w:r>
        <w:rPr>
          <w:rFonts w:hint="eastAsia" w:ascii="方正仿宋_GBK" w:hAnsi="方正仿宋_GBK" w:eastAsia="方正仿宋_GBK" w:cs="方正仿宋_GBK"/>
          <w:color w:val="auto"/>
          <w:sz w:val="28"/>
          <w:szCs w:val="28"/>
          <w:highlight w:val="none"/>
          <w:lang w:eastAsia="zh-CN"/>
        </w:rPr>
        <w:t>清掏</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大坝寺</w:t>
      </w:r>
      <w:r>
        <w:rPr>
          <w:rFonts w:hint="eastAsia" w:ascii="方正仿宋_GBK" w:hAnsi="方正仿宋_GBK" w:eastAsia="方正仿宋_GBK" w:cs="方正仿宋_GBK"/>
          <w:color w:val="auto"/>
          <w:sz w:val="28"/>
          <w:szCs w:val="28"/>
          <w:highlight w:val="none"/>
        </w:rPr>
        <w:t>主变电所、长河牵引外挂所、长</w:t>
      </w:r>
      <w:r>
        <w:rPr>
          <w:rFonts w:hint="eastAsia" w:ascii="方正仿宋_GBK" w:hAnsi="方正仿宋_GBK" w:eastAsia="方正仿宋_GBK" w:cs="方正仿宋_GBK"/>
          <w:color w:val="auto"/>
          <w:sz w:val="28"/>
          <w:szCs w:val="28"/>
          <w:highlight w:val="none"/>
          <w:lang w:val="en-US" w:eastAsia="zh-CN"/>
        </w:rPr>
        <w:t>航</w:t>
      </w:r>
      <w:r>
        <w:rPr>
          <w:rFonts w:hint="eastAsia" w:ascii="方正仿宋_GBK" w:hAnsi="方正仿宋_GBK" w:eastAsia="方正仿宋_GBK" w:cs="方正仿宋_GBK"/>
          <w:color w:val="auto"/>
          <w:sz w:val="28"/>
          <w:szCs w:val="28"/>
          <w:highlight w:val="none"/>
        </w:rPr>
        <w:t>牵引外挂所</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一年暂定一次）。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10号线19座车站鲤鱼池站至王家庄站（含重庆北站南广场站）所属车站、变电所包括但不限于：污水池、生化池清掏；未接入市政管网的生化池临时抽排；集水井清掏；废水池清掏。包含但不限于揭板、清掏、疏通、检查、维护及清掏物外运至符合规定的渣场处理、弃倒及盖板复原等；每月</w:t>
      </w:r>
      <w:r>
        <w:rPr>
          <w:rFonts w:hint="eastAsia" w:ascii="方正仿宋_GBK" w:hAnsi="方正仿宋_GBK" w:eastAsia="方正仿宋_GBK" w:cs="方正仿宋_GBK"/>
          <w:color w:val="auto"/>
          <w:sz w:val="28"/>
          <w:szCs w:val="28"/>
          <w:highlight w:val="none"/>
          <w:lang w:eastAsia="zh-CN"/>
        </w:rPr>
        <w:t>中选单位</w:t>
      </w:r>
      <w:r>
        <w:rPr>
          <w:rFonts w:hint="eastAsia" w:ascii="方正仿宋_GBK" w:hAnsi="方正仿宋_GBK" w:eastAsia="方正仿宋_GBK" w:cs="方正仿宋_GBK"/>
          <w:color w:val="auto"/>
          <w:sz w:val="28"/>
          <w:szCs w:val="28"/>
          <w:highlight w:val="none"/>
        </w:rPr>
        <w:t>应对沿线车站、变电所生化池、污水池气体浓度检测一次，当月末前将数据报</w:t>
      </w:r>
      <w:r>
        <w:rPr>
          <w:rFonts w:hint="eastAsia" w:ascii="方正仿宋_GBK" w:hAnsi="方正仿宋_GBK" w:eastAsia="方正仿宋_GBK" w:cs="方正仿宋_GBK"/>
          <w:color w:val="auto"/>
          <w:sz w:val="28"/>
          <w:szCs w:val="28"/>
          <w:highlight w:val="none"/>
          <w:lang w:eastAsia="zh-CN"/>
        </w:rPr>
        <w:t>项目负责人</w:t>
      </w:r>
      <w:r>
        <w:rPr>
          <w:rFonts w:hint="eastAsia" w:ascii="方正仿宋_GBK" w:hAnsi="方正仿宋_GBK" w:eastAsia="方正仿宋_GBK" w:cs="方正仿宋_GBK"/>
          <w:color w:val="auto"/>
          <w:sz w:val="28"/>
          <w:szCs w:val="28"/>
          <w:highlight w:val="none"/>
        </w:rPr>
        <w:t>；所有的人员、机具、车辆运输、二次转运、污水处理等均由</w:t>
      </w:r>
      <w:r>
        <w:rPr>
          <w:rFonts w:hint="eastAsia" w:ascii="方正仿宋_GBK" w:hAnsi="方正仿宋_GBK" w:eastAsia="方正仿宋_GBK" w:cs="方正仿宋_GBK"/>
          <w:color w:val="auto"/>
          <w:sz w:val="28"/>
          <w:szCs w:val="28"/>
          <w:highlight w:val="none"/>
          <w:lang w:eastAsia="zh-CN"/>
        </w:rPr>
        <w:t>中选单位</w:t>
      </w:r>
      <w:r>
        <w:rPr>
          <w:rFonts w:hint="eastAsia" w:ascii="方正仿宋_GBK" w:hAnsi="方正仿宋_GBK" w:eastAsia="方正仿宋_GBK" w:cs="方正仿宋_GBK"/>
          <w:color w:val="auto"/>
          <w:sz w:val="28"/>
          <w:szCs w:val="28"/>
          <w:highlight w:val="none"/>
        </w:rPr>
        <w:t>自行组织予以实施，施工中必须做好防毒安全措施，人员下池必须检测有毒气体、易燃易爆气体浓度，在施工中应加强通风、防毒，防止人员中毒，按时、按量、按要求完成清掏、疏通、检查等工作。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4、作业量和作业频次</w:t>
      </w:r>
    </w:p>
    <w:tbl>
      <w:tblPr>
        <w:tblStyle w:val="10"/>
        <w:tblW w:w="9558" w:type="dxa"/>
        <w:tblInd w:w="93" w:type="dxa"/>
        <w:tblLayout w:type="fixed"/>
        <w:tblCellMar>
          <w:top w:w="0" w:type="dxa"/>
          <w:left w:w="108" w:type="dxa"/>
          <w:bottom w:w="0" w:type="dxa"/>
          <w:right w:w="108" w:type="dxa"/>
        </w:tblCellMar>
      </w:tblPr>
      <w:tblGrid>
        <w:gridCol w:w="4134"/>
        <w:gridCol w:w="2820"/>
        <w:gridCol w:w="2604"/>
      </w:tblGrid>
      <w:tr>
        <w:tblPrEx>
          <w:tblCellMar>
            <w:top w:w="0" w:type="dxa"/>
            <w:left w:w="108" w:type="dxa"/>
            <w:bottom w:w="0" w:type="dxa"/>
            <w:right w:w="108" w:type="dxa"/>
          </w:tblCellMar>
        </w:tblPrEx>
        <w:trPr>
          <w:trHeight w:val="660" w:hRule="atLeast"/>
        </w:trPr>
        <w:tc>
          <w:tcPr>
            <w:tcW w:w="4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服务内容</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作业量</w:t>
            </w:r>
          </w:p>
        </w:tc>
        <w:tc>
          <w:tcPr>
            <w:tcW w:w="2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工作频次            (次/年)</w:t>
            </w:r>
          </w:p>
        </w:tc>
      </w:tr>
      <w:tr>
        <w:tblPrEx>
          <w:tblCellMar>
            <w:top w:w="0" w:type="dxa"/>
            <w:left w:w="108" w:type="dxa"/>
            <w:bottom w:w="0" w:type="dxa"/>
            <w:right w:w="108" w:type="dxa"/>
          </w:tblCellMar>
        </w:tblPrEx>
        <w:trPr>
          <w:trHeight w:val="396" w:hRule="atLeast"/>
        </w:trPr>
        <w:tc>
          <w:tcPr>
            <w:tcW w:w="4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9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1.轨行区清掏冲洗</w:t>
            </w:r>
          </w:p>
        </w:tc>
      </w:tr>
      <w:tr>
        <w:tblPrEx>
          <w:tblCellMar>
            <w:top w:w="0" w:type="dxa"/>
            <w:left w:w="108" w:type="dxa"/>
            <w:bottom w:w="0" w:type="dxa"/>
            <w:right w:w="108" w:type="dxa"/>
          </w:tblCellMar>
        </w:tblPrEx>
        <w:trPr>
          <w:trHeight w:val="894" w:hRule="atLeast"/>
        </w:trPr>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方正仿宋_GBK"/>
                <w:color w:val="auto"/>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车站、隧道排水沟清掏 （含轨行区地面垃圾清扫）</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133438.00m</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CellMar>
            <w:top w:w="0" w:type="dxa"/>
            <w:left w:w="108" w:type="dxa"/>
            <w:bottom w:w="0" w:type="dxa"/>
            <w:right w:w="108" w:type="dxa"/>
          </w:tblCellMar>
        </w:tblPrEx>
        <w:trPr>
          <w:trHeight w:val="397" w:hRule="atLeast"/>
        </w:trPr>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轨行区垃圾清运</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100.00车（10t)</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397" w:hRule="atLeast"/>
        </w:trPr>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548800.00㎡</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CellMar>
            <w:top w:w="0" w:type="dxa"/>
            <w:left w:w="108" w:type="dxa"/>
            <w:bottom w:w="0" w:type="dxa"/>
            <w:right w:w="108" w:type="dxa"/>
          </w:tblCellMar>
        </w:tblPrEx>
        <w:trPr>
          <w:trHeight w:val="90" w:hRule="atLeast"/>
        </w:trPr>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高架、路基段轨行区清扫</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65535.00㎡</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CellMar>
            <w:top w:w="0" w:type="dxa"/>
            <w:left w:w="108" w:type="dxa"/>
            <w:bottom w:w="0" w:type="dxa"/>
            <w:right w:w="108" w:type="dxa"/>
          </w:tblCellMar>
        </w:tblPrEx>
        <w:trPr>
          <w:trHeight w:val="397" w:hRule="atLeast"/>
        </w:trPr>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边坡清洁卫生及杂草清除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3000.00㎡</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CellMar>
            <w:top w:w="0" w:type="dxa"/>
            <w:left w:w="108" w:type="dxa"/>
            <w:bottom w:w="0" w:type="dxa"/>
            <w:right w:w="108" w:type="dxa"/>
          </w:tblCellMar>
        </w:tblPrEx>
        <w:trPr>
          <w:trHeight w:val="397" w:hRule="atLeast"/>
        </w:trPr>
        <w:tc>
          <w:tcPr>
            <w:tcW w:w="9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2.外墙清洗</w:t>
            </w:r>
          </w:p>
        </w:tc>
      </w:tr>
      <w:tr>
        <w:tblPrEx>
          <w:tblCellMar>
            <w:top w:w="0" w:type="dxa"/>
            <w:left w:w="108" w:type="dxa"/>
            <w:bottom w:w="0" w:type="dxa"/>
            <w:right w:w="108" w:type="dxa"/>
          </w:tblCellMar>
        </w:tblPrEx>
        <w:trPr>
          <w:trHeight w:val="397" w:hRule="atLeast"/>
        </w:trPr>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车站外墙清洗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15430.00㎡</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CellMar>
            <w:top w:w="0" w:type="dxa"/>
            <w:left w:w="108" w:type="dxa"/>
            <w:bottom w:w="0" w:type="dxa"/>
            <w:right w:w="108" w:type="dxa"/>
          </w:tblCellMar>
        </w:tblPrEx>
        <w:trPr>
          <w:trHeight w:val="90" w:hRule="atLeast"/>
        </w:trPr>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变电所外墙清洗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1103.70㎡</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397" w:hRule="atLeast"/>
        </w:trPr>
        <w:tc>
          <w:tcPr>
            <w:tcW w:w="9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3.</w:t>
            </w:r>
            <w:r>
              <w:rPr>
                <w:rFonts w:hint="eastAsia" w:ascii="方正仿宋_GBK" w:hAnsi="方正仿宋_GBK" w:eastAsia="方正仿宋_GBK" w:cs="方正仿宋_GBK"/>
                <w:b/>
                <w:bCs/>
                <w:color w:val="auto"/>
                <w:sz w:val="24"/>
                <w:highlight w:val="none"/>
                <w:lang w:eastAsia="zh-CN"/>
              </w:rPr>
              <w:t>沟渠池</w:t>
            </w:r>
            <w:r>
              <w:rPr>
                <w:rFonts w:hint="eastAsia" w:ascii="方正仿宋_GBK" w:hAnsi="方正仿宋_GBK" w:eastAsia="方正仿宋_GBK" w:cs="方正仿宋_GBK"/>
                <w:b/>
                <w:bCs/>
                <w:color w:val="auto"/>
                <w:sz w:val="24"/>
                <w:highlight w:val="none"/>
              </w:rPr>
              <w:t>清掏</w:t>
            </w:r>
          </w:p>
        </w:tc>
      </w:tr>
      <w:tr>
        <w:tblPrEx>
          <w:tblCellMar>
            <w:top w:w="0" w:type="dxa"/>
            <w:left w:w="108" w:type="dxa"/>
            <w:bottom w:w="0" w:type="dxa"/>
            <w:right w:w="108" w:type="dxa"/>
          </w:tblCellMar>
        </w:tblPrEx>
        <w:trPr>
          <w:trHeight w:val="397" w:hRule="atLeast"/>
        </w:trPr>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生化池、污水井处理池、隔油池清掏</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1140.40</w:t>
            </w:r>
            <w:r>
              <w:rPr>
                <w:rFonts w:hint="eastAsia" w:ascii="宋体" w:hAnsi="宋体" w:eastAsia="宋体" w:cs="宋体"/>
                <w:i w:val="0"/>
                <w:iCs w:val="0"/>
                <w:color w:val="auto"/>
                <w:kern w:val="0"/>
                <w:sz w:val="24"/>
                <w:szCs w:val="24"/>
                <w:highlight w:val="none"/>
                <w:u w:val="none"/>
                <w:lang w:val="en-US" w:eastAsia="zh-CN" w:bidi="ar"/>
              </w:rPr>
              <w:t>㎥</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CellMar>
            <w:top w:w="0" w:type="dxa"/>
            <w:left w:w="108" w:type="dxa"/>
            <w:bottom w:w="0" w:type="dxa"/>
            <w:right w:w="108" w:type="dxa"/>
          </w:tblCellMar>
        </w:tblPrEx>
        <w:trPr>
          <w:trHeight w:val="397" w:hRule="atLeast"/>
        </w:trPr>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生化池、污水井抽排</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8.00</w:t>
            </w:r>
            <w:r>
              <w:rPr>
                <w:rFonts w:hint="eastAsia" w:ascii="宋体" w:hAnsi="宋体" w:eastAsia="宋体" w:cs="宋体"/>
                <w:i w:val="0"/>
                <w:iCs w:val="0"/>
                <w:color w:val="auto"/>
                <w:kern w:val="0"/>
                <w:sz w:val="24"/>
                <w:szCs w:val="24"/>
                <w:highlight w:val="none"/>
                <w:u w:val="none"/>
                <w:lang w:val="en-US" w:eastAsia="zh-CN" w:bidi="ar"/>
              </w:rPr>
              <w:t>㎥</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178</w:t>
            </w:r>
          </w:p>
        </w:tc>
      </w:tr>
      <w:tr>
        <w:tblPrEx>
          <w:tblCellMar>
            <w:top w:w="0" w:type="dxa"/>
            <w:left w:w="108" w:type="dxa"/>
            <w:bottom w:w="0" w:type="dxa"/>
            <w:right w:w="108" w:type="dxa"/>
          </w:tblCellMar>
        </w:tblPrEx>
        <w:trPr>
          <w:trHeight w:val="397" w:hRule="atLeast"/>
        </w:trPr>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区间隧道集水井、废水池清掏</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328.06</w:t>
            </w:r>
            <w:r>
              <w:rPr>
                <w:rFonts w:hint="eastAsia" w:ascii="宋体" w:hAnsi="宋体" w:eastAsia="宋体" w:cs="宋体"/>
                <w:i w:val="0"/>
                <w:iCs w:val="0"/>
                <w:color w:val="auto"/>
                <w:kern w:val="0"/>
                <w:sz w:val="24"/>
                <w:szCs w:val="24"/>
                <w:highlight w:val="none"/>
                <w:u w:val="none"/>
                <w:lang w:val="en-US" w:eastAsia="zh-CN" w:bidi="ar"/>
              </w:rPr>
              <w:t>㎥</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CellMar>
            <w:top w:w="0" w:type="dxa"/>
            <w:left w:w="108" w:type="dxa"/>
            <w:bottom w:w="0" w:type="dxa"/>
            <w:right w:w="108" w:type="dxa"/>
          </w:tblCellMar>
        </w:tblPrEx>
        <w:trPr>
          <w:trHeight w:val="397" w:hRule="atLeast"/>
        </w:trPr>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车站隧道集水井、废水池清掏</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2686.00</w:t>
            </w:r>
            <w:r>
              <w:rPr>
                <w:rFonts w:hint="eastAsia" w:ascii="宋体" w:hAnsi="宋体" w:eastAsia="宋体" w:cs="宋体"/>
                <w:i w:val="0"/>
                <w:iCs w:val="0"/>
                <w:color w:val="auto"/>
                <w:kern w:val="0"/>
                <w:sz w:val="24"/>
                <w:szCs w:val="24"/>
                <w:highlight w:val="none"/>
                <w:u w:val="none"/>
                <w:lang w:val="en-US" w:eastAsia="zh-CN" w:bidi="ar"/>
              </w:rPr>
              <w:t>㎥</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bl>
    <w:p>
      <w:pPr>
        <w:pStyle w:val="2"/>
        <w:spacing w:before="0" w:after="0" w:line="440" w:lineRule="exact"/>
        <w:ind w:firstLine="560" w:firstLineChars="200"/>
        <w:rPr>
          <w:rFonts w:hint="eastAsia" w:ascii="方正仿宋_GBK" w:hAnsi="方正仿宋_GBK" w:eastAsia="方正仿宋_GBK" w:cs="方正仿宋_GBK"/>
          <w:b w:val="0"/>
          <w:bCs w:val="0"/>
          <w:color w:val="auto"/>
          <w:sz w:val="28"/>
          <w:szCs w:val="28"/>
          <w:highlight w:val="none"/>
          <w:lang w:eastAsia="zh-CN"/>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eastAsia="zh-CN"/>
        </w:rPr>
        <w:t>表格中作业量和作业频次均为预估，实际作业量和作业频次以现场实际需求为准。）</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第三条 服务要求</w:t>
      </w:r>
    </w:p>
    <w:p>
      <w:pPr>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1、乙方作业后质量应满足</w:t>
      </w:r>
      <w:r>
        <w:rPr>
          <w:rFonts w:hint="eastAsia" w:ascii="方正仿宋_GBK" w:hAnsi="方正仿宋_GBK" w:eastAsia="方正仿宋_GBK" w:cs="方正仿宋_GBK"/>
          <w:color w:val="auto"/>
          <w:sz w:val="28"/>
          <w:szCs w:val="28"/>
          <w:highlight w:val="none"/>
          <w:lang w:val="en-US" w:eastAsia="zh-CN"/>
        </w:rPr>
        <w:t>以下</w:t>
      </w:r>
      <w:r>
        <w:rPr>
          <w:rFonts w:hint="eastAsia" w:ascii="方正仿宋_GBK" w:hAnsi="方正仿宋_GBK" w:eastAsia="方正仿宋_GBK" w:cs="方正仿宋_GBK"/>
          <w:color w:val="auto"/>
          <w:sz w:val="28"/>
          <w:szCs w:val="28"/>
          <w:highlight w:val="none"/>
        </w:rPr>
        <w:t>要求</w:t>
      </w:r>
      <w:r>
        <w:rPr>
          <w:rFonts w:hint="eastAsia" w:ascii="方正仿宋_GBK" w:hAnsi="方正仿宋_GBK" w:eastAsia="方正仿宋_GBK" w:cs="方正仿宋_GBK"/>
          <w:color w:val="auto"/>
          <w:sz w:val="28"/>
          <w:szCs w:val="28"/>
          <w:highlight w:val="none"/>
          <w:lang w:eastAsia="zh-CN"/>
        </w:rPr>
        <w:t>：</w:t>
      </w:r>
    </w:p>
    <w:p>
      <w:pPr>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轨行区清掏冲洗要求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①车站、隧道</w:t>
      </w:r>
      <w:r>
        <w:rPr>
          <w:rFonts w:hint="eastAsia" w:ascii="方正仿宋_GBK" w:hAnsi="方正仿宋_GBK" w:eastAsia="方正仿宋_GBK" w:cs="方正仿宋_GBK"/>
          <w:color w:val="auto"/>
          <w:sz w:val="28"/>
          <w:szCs w:val="28"/>
          <w:highlight w:val="none"/>
        </w:rPr>
        <w:t>排水沟清掏</w:t>
      </w:r>
      <w:r>
        <w:rPr>
          <w:rFonts w:hint="eastAsia" w:ascii="方正仿宋_GBK" w:hAnsi="方正仿宋_GBK" w:eastAsia="方正仿宋_GBK" w:cs="方正仿宋_GBK"/>
          <w:color w:val="auto"/>
          <w:sz w:val="28"/>
          <w:szCs w:val="28"/>
          <w:highlight w:val="none"/>
          <w:lang w:val="en-US" w:eastAsia="zh-CN"/>
        </w:rPr>
        <w:t>要求</w:t>
      </w:r>
      <w:r>
        <w:rPr>
          <w:rFonts w:hint="eastAsia" w:ascii="方正仿宋_GBK" w:hAnsi="方正仿宋_GBK" w:eastAsia="方正仿宋_GBK" w:cs="方正仿宋_GBK"/>
          <w:color w:val="auto"/>
          <w:sz w:val="28"/>
          <w:szCs w:val="28"/>
          <w:highlight w:val="none"/>
        </w:rPr>
        <w:t>：确保线路设施设备处于完好技术状态；排水沟横截沟不应有大块硬物、塑料制品，泥沙或钙化物淤积厚度不高于</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厘米，排水正常无堵塞现象。</w:t>
      </w:r>
    </w:p>
    <w:p>
      <w:pPr>
        <w:pStyle w:val="4"/>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②区间隧道泵房清掏要求:泵房内无淤泥、泥沙和大块硬物，排水正常无堵塞。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③轨行区垃圾清扫及清运要求：</w:t>
      </w:r>
      <w:r>
        <w:rPr>
          <w:rFonts w:hint="eastAsia" w:ascii="方正仿宋_GBK" w:hAnsi="方正仿宋_GBK" w:eastAsia="方正仿宋_GBK" w:cs="方正仿宋_GBK"/>
          <w:color w:val="auto"/>
          <w:sz w:val="28"/>
          <w:szCs w:val="28"/>
          <w:highlight w:val="none"/>
        </w:rPr>
        <w:t>清扫后的区域无明显垃圾</w:t>
      </w:r>
      <w:r>
        <w:rPr>
          <w:rFonts w:hint="eastAsia" w:ascii="方正仿宋_GBK" w:hAnsi="方正仿宋_GBK" w:eastAsia="方正仿宋_GBK" w:cs="方正仿宋_GBK"/>
          <w:color w:val="auto"/>
          <w:sz w:val="28"/>
          <w:szCs w:val="28"/>
          <w:highlight w:val="none"/>
          <w:lang w:val="en-US" w:eastAsia="zh-CN"/>
        </w:rPr>
        <w:t>和</w:t>
      </w:r>
      <w:r>
        <w:rPr>
          <w:rFonts w:hint="eastAsia" w:ascii="方正仿宋_GBK" w:hAnsi="方正仿宋_GBK" w:eastAsia="方正仿宋_GBK" w:cs="方正仿宋_GBK"/>
          <w:color w:val="auto"/>
          <w:sz w:val="28"/>
          <w:szCs w:val="28"/>
          <w:highlight w:val="none"/>
        </w:rPr>
        <w:t>易燃物</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不得因垃圾堆积出现火情、异味等情况，影响车站的正常运营及甲方的对外形象</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清掏出的垃圾用编织袋装好封口，及时将编织袋转移至</w:t>
      </w:r>
      <w:r>
        <w:rPr>
          <w:rFonts w:hint="eastAsia" w:ascii="方正仿宋_GBK" w:hAnsi="方正仿宋_GBK" w:eastAsia="方正仿宋_GBK" w:cs="方正仿宋_GBK"/>
          <w:color w:val="auto"/>
          <w:sz w:val="28"/>
          <w:szCs w:val="28"/>
          <w:highlight w:val="none"/>
          <w:lang w:val="en-US" w:eastAsia="zh-CN"/>
        </w:rPr>
        <w:t>甲方指定的</w:t>
      </w:r>
      <w:r>
        <w:rPr>
          <w:rFonts w:hint="eastAsia" w:ascii="方正仿宋_GBK" w:hAnsi="方正仿宋_GBK" w:eastAsia="方正仿宋_GBK" w:cs="方正仿宋_GBK"/>
          <w:color w:val="auto"/>
          <w:sz w:val="28"/>
          <w:szCs w:val="28"/>
          <w:highlight w:val="none"/>
        </w:rPr>
        <w:t>安全区域堆放，采取措施对编织袋进行固定，确保堆放后的编织袋不影响列车的正常运行</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2"/>
          <w:sz w:val="28"/>
          <w:szCs w:val="28"/>
          <w:highlight w:val="none"/>
          <w:lang w:val="en-US" w:eastAsia="zh-CN" w:bidi="ar-SA"/>
        </w:rPr>
        <w:t>④</w:t>
      </w:r>
      <w:r>
        <w:rPr>
          <w:rFonts w:hint="eastAsia" w:ascii="方正仿宋_GBK" w:hAnsi="方正仿宋_GBK" w:eastAsia="方正仿宋_GBK" w:cs="方正仿宋_GBK"/>
          <w:color w:val="auto"/>
          <w:sz w:val="28"/>
          <w:szCs w:val="28"/>
          <w:highlight w:val="none"/>
        </w:rPr>
        <w:t>隧道冲洗</w:t>
      </w:r>
      <w:r>
        <w:rPr>
          <w:rFonts w:hint="eastAsia" w:ascii="方正仿宋_GBK" w:hAnsi="方正仿宋_GBK" w:eastAsia="方正仿宋_GBK" w:cs="方正仿宋_GBK"/>
          <w:color w:val="auto"/>
          <w:kern w:val="2"/>
          <w:sz w:val="28"/>
          <w:szCs w:val="28"/>
          <w:highlight w:val="none"/>
          <w:lang w:val="en-US" w:eastAsia="zh-CN" w:bidi="ar-SA"/>
        </w:rPr>
        <w:t>要求</w:t>
      </w:r>
      <w:r>
        <w:rPr>
          <w:rFonts w:hint="eastAsia" w:ascii="方正仿宋_GBK" w:hAnsi="方正仿宋_GBK" w:eastAsia="方正仿宋_GBK" w:cs="方正仿宋_GBK"/>
          <w:color w:val="auto"/>
          <w:sz w:val="28"/>
          <w:szCs w:val="28"/>
          <w:highlight w:val="none"/>
        </w:rPr>
        <w:t>：将道床内灰尘、淤泥、石子冲洗干净，不得残留任何杂物；冲洗完成后保证隧道壁无明显污渍，列车通行时无明显扬尘。</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eastAsia" w:eastAsia="方正仿宋_GBK"/>
          <w:color w:val="auto"/>
          <w:highlight w:val="none"/>
          <w:lang w:eastAsia="zh-CN"/>
        </w:rPr>
      </w:pPr>
      <w:r>
        <w:rPr>
          <w:rFonts w:hint="eastAsia" w:ascii="方正仿宋_GBK" w:hAnsi="方正仿宋_GBK" w:eastAsia="方正仿宋_GBK" w:cs="方正仿宋_GBK"/>
          <w:color w:val="auto"/>
          <w:sz w:val="28"/>
          <w:szCs w:val="28"/>
          <w:highlight w:val="none"/>
          <w:lang w:val="en-US" w:eastAsia="zh-CN"/>
        </w:rPr>
        <w:t>⑤</w:t>
      </w:r>
      <w:r>
        <w:rPr>
          <w:rFonts w:hint="eastAsia" w:ascii="方正仿宋_GBK" w:hAnsi="方正仿宋_GBK" w:eastAsia="方正仿宋_GBK" w:cs="方正仿宋_GBK"/>
          <w:color w:val="auto"/>
          <w:sz w:val="28"/>
          <w:szCs w:val="28"/>
          <w:highlight w:val="none"/>
        </w:rPr>
        <w:t>清掏</w:t>
      </w:r>
      <w:r>
        <w:rPr>
          <w:rFonts w:hint="eastAsia" w:ascii="方正仿宋_GBK" w:hAnsi="方正仿宋_GBK" w:eastAsia="方正仿宋_GBK" w:cs="方正仿宋_GBK"/>
          <w:color w:val="auto"/>
          <w:sz w:val="28"/>
          <w:szCs w:val="28"/>
          <w:highlight w:val="none"/>
          <w:lang w:val="en-US" w:eastAsia="zh-CN"/>
        </w:rPr>
        <w:t>物（垃圾）</w:t>
      </w:r>
      <w:r>
        <w:rPr>
          <w:rFonts w:hint="eastAsia" w:ascii="方正仿宋_GBK" w:hAnsi="方正仿宋_GBK" w:eastAsia="方正仿宋_GBK" w:cs="方正仿宋_GBK"/>
          <w:color w:val="auto"/>
          <w:sz w:val="28"/>
          <w:szCs w:val="28"/>
          <w:highlight w:val="none"/>
        </w:rPr>
        <w:t>二次转运</w:t>
      </w:r>
      <w:r>
        <w:rPr>
          <w:rFonts w:hint="eastAsia" w:ascii="方正仿宋_GBK" w:hAnsi="方正仿宋_GBK" w:eastAsia="方正仿宋_GBK" w:cs="方正仿宋_GBK"/>
          <w:color w:val="auto"/>
          <w:sz w:val="28"/>
          <w:szCs w:val="28"/>
          <w:highlight w:val="none"/>
          <w:lang w:val="en-US" w:eastAsia="zh-CN"/>
        </w:rPr>
        <w:t>及处置要求：</w:t>
      </w:r>
      <w:r>
        <w:rPr>
          <w:rFonts w:hint="eastAsia" w:ascii="方正仿宋_GBK" w:hAnsi="方正仿宋_GBK" w:eastAsia="方正仿宋_GBK" w:cs="方正仿宋_GBK"/>
          <w:color w:val="auto"/>
          <w:sz w:val="28"/>
          <w:szCs w:val="28"/>
          <w:highlight w:val="none"/>
        </w:rPr>
        <w:t>隧道内堆放的清掏垃圾不得超过1个月，清掏</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垃圾</w:t>
      </w:r>
      <w:r>
        <w:rPr>
          <w:rFonts w:hint="default" w:ascii="方正仿宋_GBK" w:hAnsi="方正仿宋_GBK" w:eastAsia="方正仿宋_GBK" w:cs="方正仿宋_GBK"/>
          <w:color w:val="auto"/>
          <w:sz w:val="28"/>
          <w:szCs w:val="28"/>
          <w:highlight w:val="none"/>
          <w:lang w:val="en-US" w:eastAsia="zh-CN"/>
        </w:rPr>
        <w:t>采用10吨级大型渣车（由</w:t>
      </w:r>
      <w:r>
        <w:rPr>
          <w:rFonts w:hint="eastAsia" w:ascii="方正仿宋_GBK" w:hAnsi="方正仿宋_GBK" w:eastAsia="方正仿宋_GBK" w:cs="方正仿宋_GBK"/>
          <w:color w:val="auto"/>
          <w:sz w:val="28"/>
          <w:szCs w:val="28"/>
          <w:highlight w:val="none"/>
          <w:lang w:val="en-US" w:eastAsia="zh-CN"/>
        </w:rPr>
        <w:t>乙方</w:t>
      </w:r>
      <w:r>
        <w:rPr>
          <w:rFonts w:hint="default" w:ascii="方正仿宋_GBK" w:hAnsi="方正仿宋_GBK" w:eastAsia="方正仿宋_GBK" w:cs="方正仿宋_GBK"/>
          <w:color w:val="auto"/>
          <w:sz w:val="28"/>
          <w:szCs w:val="28"/>
          <w:highlight w:val="none"/>
          <w:lang w:val="en-US" w:eastAsia="zh-CN"/>
        </w:rPr>
        <w:t>自行提供）转运至专门的垃圾处置场地</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由</w:t>
      </w:r>
      <w:r>
        <w:rPr>
          <w:rFonts w:hint="eastAsia" w:ascii="方正仿宋_GBK" w:hAnsi="方正仿宋_GBK" w:eastAsia="方正仿宋_GBK" w:cs="方正仿宋_GBK"/>
          <w:color w:val="auto"/>
          <w:sz w:val="28"/>
          <w:szCs w:val="28"/>
          <w:highlight w:val="none"/>
          <w:lang w:val="en-US" w:eastAsia="zh-CN"/>
        </w:rPr>
        <w:t>乙方</w:t>
      </w:r>
      <w:r>
        <w:rPr>
          <w:rFonts w:hint="default" w:ascii="方正仿宋_GBK" w:hAnsi="方正仿宋_GBK" w:eastAsia="方正仿宋_GBK" w:cs="方正仿宋_GBK"/>
          <w:color w:val="auto"/>
          <w:sz w:val="28"/>
          <w:szCs w:val="28"/>
          <w:highlight w:val="none"/>
          <w:lang w:val="en-US" w:eastAsia="zh-CN"/>
        </w:rPr>
        <w:t>自行确定</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，转运处置费用为包干费用</w:t>
      </w:r>
      <w:r>
        <w:rPr>
          <w:rFonts w:hint="eastAsia" w:ascii="方正仿宋_GBK" w:hAnsi="方正仿宋_GBK" w:eastAsia="方正仿宋_GBK" w:cs="方正仿宋_GBK"/>
          <w:color w:val="auto"/>
          <w:sz w:val="28"/>
          <w:szCs w:val="28"/>
          <w:highlight w:val="none"/>
          <w:lang w:val="en-US" w:eastAsia="zh-CN"/>
        </w:rPr>
        <w:t>。</w:t>
      </w:r>
    </w:p>
    <w:p>
      <w:pPr>
        <w:pStyle w:val="4"/>
        <w:keepNext w:val="0"/>
        <w:keepLines w:val="0"/>
        <w:pageBreakBefore w:val="0"/>
        <w:numPr>
          <w:ilvl w:val="0"/>
          <w:numId w:val="9"/>
        </w:numPr>
        <w:kinsoku/>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外墙清洗要求</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default"/>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外墙的表面清洁明亮、无污垢、无浮尘、无水渍和无印迹。</w:t>
      </w:r>
    </w:p>
    <w:p>
      <w:pPr>
        <w:keepNext w:val="0"/>
        <w:keepLines w:val="0"/>
        <w:pageBreakBefore w:val="0"/>
        <w:widowControl/>
        <w:numPr>
          <w:ilvl w:val="0"/>
          <w:numId w:val="9"/>
        </w:numPr>
        <w:suppressLineNumbers w:val="0"/>
        <w:kinsoku/>
        <w:overflowPunct/>
        <w:topLinePunct w:val="0"/>
        <w:autoSpaceDE/>
        <w:autoSpaceDN/>
        <w:bidi w:val="0"/>
        <w:adjustRightInd/>
        <w:snapToGrid/>
        <w:spacing w:line="560" w:lineRule="exact"/>
        <w:ind w:left="0" w:leftChars="0" w:firstLine="560" w:firstLineChars="200"/>
        <w:jc w:val="lef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沟渠池清掏要求</w:t>
      </w:r>
    </w:p>
    <w:p>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作业中必须做好防毒安全措施，人员下池必须检测沼气浓度。在作业中应加强 通风、防毒，防止人员中毒，按要求完成清掏、疏通、检查等工作。</w:t>
      </w:r>
    </w:p>
    <w:p>
      <w:pPr>
        <w:pageBreakBefore w:val="0"/>
        <w:widowControl w:val="0"/>
        <w:numPr>
          <w:ilvl w:val="0"/>
          <w:numId w:val="10"/>
        </w:numPr>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乙方</w:t>
      </w:r>
      <w:r>
        <w:rPr>
          <w:rFonts w:hint="eastAsia" w:ascii="方正仿宋_GBK" w:hAnsi="方正仿宋_GBK" w:eastAsia="方正仿宋_GBK" w:cs="方正仿宋_GBK"/>
          <w:color w:val="auto"/>
          <w:sz w:val="28"/>
          <w:szCs w:val="28"/>
          <w:highlight w:val="none"/>
        </w:rPr>
        <w:t>按要求完成轨行区清掏冲洗、外墙清洗、</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w:t>
      </w:r>
      <w:r>
        <w:rPr>
          <w:rFonts w:hint="eastAsia" w:ascii="方正仿宋_GBK" w:hAnsi="方正仿宋_GBK" w:eastAsia="方正仿宋_GBK" w:cs="方正仿宋_GBK"/>
          <w:color w:val="auto"/>
          <w:sz w:val="28"/>
          <w:szCs w:val="28"/>
          <w:highlight w:val="none"/>
          <w:lang w:val="en-US" w:eastAsia="zh-CN"/>
        </w:rPr>
        <w:t>和参与</w:t>
      </w:r>
      <w:r>
        <w:rPr>
          <w:rFonts w:hint="eastAsia" w:ascii="方正仿宋_GBK" w:hAnsi="方正仿宋_GBK" w:eastAsia="方正仿宋_GBK" w:cs="方正仿宋_GBK"/>
          <w:color w:val="auto"/>
          <w:sz w:val="28"/>
          <w:szCs w:val="28"/>
          <w:highlight w:val="none"/>
        </w:rPr>
        <w:t>排水设施相关的应急抢险</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工作</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工作期间所有的作业</w:t>
      </w:r>
      <w:r>
        <w:rPr>
          <w:rFonts w:hint="eastAsia" w:ascii="方正仿宋_GBK" w:hAnsi="方正仿宋_GBK" w:eastAsia="方正仿宋_GBK" w:cs="方正仿宋_GBK"/>
          <w:color w:val="auto"/>
          <w:sz w:val="28"/>
          <w:szCs w:val="28"/>
          <w:highlight w:val="none"/>
        </w:rPr>
        <w:t>人员、</w:t>
      </w:r>
      <w:r>
        <w:rPr>
          <w:rFonts w:hint="eastAsia" w:ascii="方正仿宋_GBK" w:hAnsi="方正仿宋_GBK" w:eastAsia="方正仿宋_GBK" w:cs="方正仿宋_GBK"/>
          <w:color w:val="auto"/>
          <w:sz w:val="28"/>
          <w:szCs w:val="28"/>
          <w:highlight w:val="none"/>
          <w:lang w:val="en-US" w:eastAsia="zh-CN"/>
        </w:rPr>
        <w:t>作业</w:t>
      </w:r>
      <w:r>
        <w:rPr>
          <w:rFonts w:hint="eastAsia" w:ascii="方正仿宋_GBK" w:hAnsi="方正仿宋_GBK" w:eastAsia="方正仿宋_GBK" w:cs="方正仿宋_GBK"/>
          <w:color w:val="auto"/>
          <w:sz w:val="28"/>
          <w:szCs w:val="28"/>
          <w:highlight w:val="none"/>
        </w:rPr>
        <w:t>机具、车辆运输、二次转运</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污水处理</w:t>
      </w:r>
      <w:r>
        <w:rPr>
          <w:rFonts w:hint="eastAsia" w:ascii="方正仿宋_GBK" w:hAnsi="方正仿宋_GBK" w:eastAsia="方正仿宋_GBK" w:cs="方正仿宋_GBK"/>
          <w:color w:val="auto"/>
          <w:sz w:val="28"/>
          <w:szCs w:val="28"/>
          <w:highlight w:val="none"/>
        </w:rPr>
        <w:t>事项均由乙方组织，作业中必须做好安全防护措施。</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3、乙方作业时应遵守甲方的相关规定，不得影响轨道交通的正常运营，工作完成后及时清理现场，确保作业现场的清洁卫生。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乙方应于作业完成后提供完善的验收报告，甲方在验收单据上签字确认；作业中必须做好安全防护措施，应按要求完成合同约定工作，作业过程中应严格按照甲方的相关规定执行，不得影响甲方的正常运营及生产秩序。</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第四条 服务期限</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color w:val="auto"/>
          <w:highlight w:val="none"/>
        </w:rPr>
      </w:pPr>
      <w:r>
        <w:rPr>
          <w:rFonts w:hint="eastAsia" w:ascii="方正仿宋_GBK" w:hAnsi="方正仿宋_GBK" w:eastAsia="方正仿宋_GBK" w:cs="方正仿宋_GBK"/>
          <w:color w:val="auto"/>
          <w:sz w:val="28"/>
          <w:szCs w:val="28"/>
          <w:highlight w:val="none"/>
          <w:lang w:val="en-US" w:eastAsia="zh-CN"/>
        </w:rPr>
        <w:t>从</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2023</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1</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1</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日起至</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2024</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1</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31 </w:t>
      </w:r>
      <w:r>
        <w:rPr>
          <w:rFonts w:hint="eastAsia" w:ascii="方正仿宋_GBK" w:hAnsi="方正仿宋_GBK" w:eastAsia="方正仿宋_GBK" w:cs="方正仿宋_GBK"/>
          <w:color w:val="auto"/>
          <w:sz w:val="28"/>
          <w:szCs w:val="28"/>
          <w:highlight w:val="none"/>
        </w:rPr>
        <w:t>日止。</w:t>
      </w:r>
      <w:r>
        <w:rPr>
          <w:rFonts w:hint="eastAsia" w:ascii="方正仿宋_GBK" w:hAnsi="方正仿宋_GBK" w:eastAsia="方正仿宋_GBK" w:cs="方正仿宋_GBK"/>
          <w:color w:val="auto"/>
          <w:sz w:val="28"/>
          <w:szCs w:val="28"/>
          <w:highlight w:val="none"/>
          <w:lang w:val="en-US" w:eastAsia="zh-CN"/>
        </w:rPr>
        <w:t>（开始时间根据合同签订时间可作调整，结束时间不变）</w:t>
      </w:r>
    </w:p>
    <w:p>
      <w:pPr>
        <w:pageBreakBefore w:val="0"/>
        <w:widowControl w:val="0"/>
        <w:numPr>
          <w:ilvl w:val="0"/>
          <w:numId w:val="11"/>
        </w:numPr>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服务费用及支付方式</w:t>
      </w:r>
    </w:p>
    <w:p>
      <w:pPr>
        <w:pStyle w:val="4"/>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1、服务费用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（1）单价：</w:t>
      </w:r>
    </w:p>
    <w:tbl>
      <w:tblPr>
        <w:tblStyle w:val="10"/>
        <w:tblW w:w="9558" w:type="dxa"/>
        <w:tblInd w:w="93" w:type="dxa"/>
        <w:tblLayout w:type="fixed"/>
        <w:tblCellMar>
          <w:top w:w="0" w:type="dxa"/>
          <w:left w:w="108" w:type="dxa"/>
          <w:bottom w:w="0" w:type="dxa"/>
          <w:right w:w="108" w:type="dxa"/>
        </w:tblCellMar>
      </w:tblPr>
      <w:tblGrid>
        <w:gridCol w:w="2518"/>
        <w:gridCol w:w="2036"/>
        <w:gridCol w:w="1671"/>
        <w:gridCol w:w="1614"/>
        <w:gridCol w:w="1719"/>
      </w:tblGrid>
      <w:tr>
        <w:tblPrEx>
          <w:tblCellMar>
            <w:top w:w="0" w:type="dxa"/>
            <w:left w:w="108" w:type="dxa"/>
            <w:bottom w:w="0" w:type="dxa"/>
            <w:right w:w="108" w:type="dxa"/>
          </w:tblCellMar>
        </w:tblPrEx>
        <w:trPr>
          <w:trHeight w:val="660" w:hRule="atLeast"/>
        </w:trPr>
        <w:tc>
          <w:tcPr>
            <w:tcW w:w="2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服务内容</w:t>
            </w:r>
          </w:p>
        </w:tc>
        <w:tc>
          <w:tcPr>
            <w:tcW w:w="2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bCs/>
                <w:color w:val="auto"/>
                <w:sz w:val="24"/>
                <w:highlight w:val="none"/>
                <w:lang w:val="en-US" w:eastAsia="zh-CN"/>
              </w:rPr>
            </w:pPr>
            <w:r>
              <w:rPr>
                <w:rFonts w:hint="eastAsia" w:ascii="方正仿宋_GBK" w:hAnsi="方正仿宋_GBK" w:eastAsia="方正仿宋_GBK" w:cs="方正仿宋_GBK"/>
                <w:b/>
                <w:bCs/>
                <w:color w:val="auto"/>
                <w:kern w:val="0"/>
                <w:sz w:val="24"/>
                <w:highlight w:val="none"/>
                <w:lang w:bidi="ar"/>
              </w:rPr>
              <w:t>作业量</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auto"/>
                <w:highlight w:val="none"/>
                <w:lang w:eastAsia="zh-CN"/>
              </w:rPr>
            </w:pPr>
            <w:r>
              <w:rPr>
                <w:rFonts w:hint="eastAsia" w:ascii="方正仿宋_GBK" w:hAnsi="方正仿宋_GBK" w:eastAsia="方正仿宋_GBK" w:cs="方正仿宋_GBK"/>
                <w:b/>
                <w:bCs/>
                <w:color w:val="auto"/>
                <w:kern w:val="0"/>
                <w:sz w:val="24"/>
                <w:highlight w:val="none"/>
                <w:lang w:bidi="ar"/>
              </w:rPr>
              <w:t>不含税单</w:t>
            </w:r>
            <w:r>
              <w:rPr>
                <w:rFonts w:hint="eastAsia" w:ascii="方正仿宋_GBK" w:hAnsi="方正仿宋_GBK" w:eastAsia="方正仿宋_GBK" w:cs="方正仿宋_GBK"/>
                <w:b/>
                <w:bCs/>
                <w:color w:val="auto"/>
                <w:kern w:val="0"/>
                <w:sz w:val="24"/>
                <w:highlight w:val="none"/>
                <w:lang w:eastAsia="zh-CN" w:bidi="ar"/>
              </w:rPr>
              <w:t>（</w:t>
            </w:r>
            <w:r>
              <w:rPr>
                <w:rFonts w:hint="eastAsia" w:ascii="方正仿宋_GBK" w:hAnsi="方正仿宋_GBK" w:eastAsia="方正仿宋_GBK" w:cs="方正仿宋_GBK"/>
                <w:b/>
                <w:bCs/>
                <w:color w:val="auto"/>
                <w:kern w:val="0"/>
                <w:sz w:val="24"/>
                <w:highlight w:val="none"/>
                <w:lang w:val="en-US" w:eastAsia="zh-CN" w:bidi="ar"/>
              </w:rPr>
              <w:t>元</w:t>
            </w:r>
            <w:r>
              <w:rPr>
                <w:rFonts w:hint="eastAsia" w:ascii="方正仿宋_GBK" w:hAnsi="方正仿宋_GBK" w:eastAsia="方正仿宋_GBK" w:cs="方正仿宋_GBK"/>
                <w:b/>
                <w:bCs/>
                <w:color w:val="auto"/>
                <w:kern w:val="0"/>
                <w:sz w:val="24"/>
                <w:highlight w:val="none"/>
                <w:lang w:eastAsia="zh-CN" w:bidi="ar"/>
              </w:rPr>
              <w:t>）</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方正仿宋_GBK"/>
                <w:color w:val="auto"/>
                <w:highlight w:val="none"/>
                <w:lang w:eastAsia="zh-CN"/>
              </w:rPr>
            </w:pPr>
            <w:r>
              <w:rPr>
                <w:rFonts w:hint="eastAsia" w:ascii="方正仿宋_GBK" w:hAnsi="方正仿宋_GBK" w:eastAsia="方正仿宋_GBK" w:cs="方正仿宋_GBK"/>
                <w:b/>
                <w:bCs/>
                <w:color w:val="auto"/>
                <w:kern w:val="0"/>
                <w:sz w:val="24"/>
                <w:highlight w:val="none"/>
                <w:lang w:bidi="ar"/>
              </w:rPr>
              <w:t>工作频次    (次/年)</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方正仿宋_GBK"/>
                <w:color w:val="auto"/>
                <w:highlight w:val="none"/>
                <w:lang w:val="en-US" w:eastAsia="zh-CN"/>
              </w:rPr>
            </w:pPr>
            <w:r>
              <w:rPr>
                <w:rFonts w:hint="eastAsia" w:ascii="方正仿宋_GBK" w:hAnsi="方正仿宋_GBK" w:eastAsia="方正仿宋_GBK" w:cs="方正仿宋_GBK"/>
                <w:b/>
                <w:bCs/>
                <w:color w:val="auto"/>
                <w:kern w:val="0"/>
                <w:sz w:val="24"/>
                <w:highlight w:val="none"/>
                <w:lang w:bidi="ar"/>
              </w:rPr>
              <w:t>不含税</w:t>
            </w:r>
            <w:r>
              <w:rPr>
                <w:rFonts w:hint="eastAsia" w:ascii="方正仿宋_GBK" w:hAnsi="方正仿宋_GBK" w:eastAsia="方正仿宋_GBK" w:cs="方正仿宋_GBK"/>
                <w:b/>
                <w:bCs/>
                <w:color w:val="auto"/>
                <w:kern w:val="0"/>
                <w:sz w:val="24"/>
                <w:highlight w:val="none"/>
                <w:lang w:val="en-US" w:eastAsia="zh-CN" w:bidi="ar"/>
              </w:rPr>
              <w:t>总</w:t>
            </w:r>
            <w:r>
              <w:rPr>
                <w:rFonts w:hint="eastAsia" w:ascii="方正仿宋_GBK" w:hAnsi="方正仿宋_GBK" w:eastAsia="方正仿宋_GBK" w:cs="方正仿宋_GBK"/>
                <w:b/>
                <w:bCs/>
                <w:color w:val="auto"/>
                <w:kern w:val="0"/>
                <w:sz w:val="24"/>
                <w:highlight w:val="none"/>
                <w:lang w:bidi="ar"/>
              </w:rPr>
              <w:t>（</w:t>
            </w:r>
            <w:r>
              <w:rPr>
                <w:rFonts w:hint="eastAsia" w:ascii="方正仿宋_GBK" w:hAnsi="方正仿宋_GBK" w:eastAsia="方正仿宋_GBK" w:cs="方正仿宋_GBK"/>
                <w:b/>
                <w:bCs/>
                <w:color w:val="auto"/>
                <w:kern w:val="0"/>
                <w:sz w:val="24"/>
                <w:highlight w:val="none"/>
                <w:lang w:eastAsia="zh-CN" w:bidi="ar"/>
              </w:rPr>
              <w:t>元</w:t>
            </w:r>
            <w:r>
              <w:rPr>
                <w:rFonts w:hint="eastAsia" w:ascii="方正仿宋_GBK" w:hAnsi="方正仿宋_GBK" w:eastAsia="方正仿宋_GBK" w:cs="方正仿宋_GBK"/>
                <w:b/>
                <w:bCs/>
                <w:color w:val="auto"/>
                <w:kern w:val="0"/>
                <w:sz w:val="24"/>
                <w:highlight w:val="none"/>
                <w:lang w:bidi="ar"/>
              </w:rPr>
              <w:t>）</w:t>
            </w:r>
          </w:p>
        </w:tc>
      </w:tr>
      <w:tr>
        <w:tblPrEx>
          <w:tblCellMar>
            <w:top w:w="0" w:type="dxa"/>
            <w:left w:w="108" w:type="dxa"/>
            <w:bottom w:w="0" w:type="dxa"/>
            <w:right w:w="108" w:type="dxa"/>
          </w:tblCellMar>
        </w:tblPrEx>
        <w:trPr>
          <w:trHeight w:val="396" w:hRule="atLeast"/>
        </w:trPr>
        <w:tc>
          <w:tcPr>
            <w:tcW w:w="2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1.轨行区清掏冲洗</w:t>
            </w:r>
          </w:p>
        </w:tc>
      </w:tr>
      <w:tr>
        <w:tblPrEx>
          <w:tblCellMar>
            <w:top w:w="0" w:type="dxa"/>
            <w:left w:w="108" w:type="dxa"/>
            <w:bottom w:w="0" w:type="dxa"/>
            <w:right w:w="108" w:type="dxa"/>
          </w:tblCellMar>
        </w:tblPrEx>
        <w:trPr>
          <w:trHeight w:val="89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方正仿宋_GBK"/>
                <w:color w:val="auto"/>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车站、隧道排水沟清掏 （含轨行区地面垃圾清扫）</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133438.00m</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轨行区垃圾清运</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100.00车（10t)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548800.00㎡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高架、路基段轨行区清扫</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65535.00㎡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边坡清洁卫生及杂草清除</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3000.00㎡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2.外墙清洗</w:t>
            </w: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车站外墙清洗</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15430.00㎡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变电所外墙清洗</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1103.70㎡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3.</w:t>
            </w:r>
            <w:r>
              <w:rPr>
                <w:rFonts w:hint="eastAsia" w:ascii="方正仿宋_GBK" w:hAnsi="方正仿宋_GBK" w:eastAsia="方正仿宋_GBK" w:cs="方正仿宋_GBK"/>
                <w:b/>
                <w:bCs/>
                <w:color w:val="auto"/>
                <w:sz w:val="24"/>
                <w:highlight w:val="none"/>
                <w:lang w:eastAsia="zh-CN"/>
              </w:rPr>
              <w:t>沟渠池</w:t>
            </w:r>
            <w:r>
              <w:rPr>
                <w:rFonts w:hint="eastAsia" w:ascii="方正仿宋_GBK" w:hAnsi="方正仿宋_GBK" w:eastAsia="方正仿宋_GBK" w:cs="方正仿宋_GBK"/>
                <w:b/>
                <w:bCs/>
                <w:color w:val="auto"/>
                <w:sz w:val="24"/>
                <w:highlight w:val="none"/>
              </w:rPr>
              <w:t>清掏</w:t>
            </w: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生化池、污水井处理池、隔油池清掏</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1140.40</w:t>
            </w:r>
            <w:r>
              <w:rPr>
                <w:rFonts w:hint="eastAsia" w:ascii="宋体" w:hAnsi="宋体" w:eastAsia="宋体" w:cs="宋体"/>
                <w:i w:val="0"/>
                <w:iCs w:val="0"/>
                <w:color w:val="auto"/>
                <w:kern w:val="0"/>
                <w:sz w:val="24"/>
                <w:szCs w:val="24"/>
                <w:highlight w:val="none"/>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生化池、污水井抽排</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8.00</w:t>
            </w:r>
            <w:r>
              <w:rPr>
                <w:rFonts w:hint="eastAsia" w:ascii="宋体" w:hAnsi="宋体" w:eastAsia="宋体" w:cs="宋体"/>
                <w:i w:val="0"/>
                <w:iCs w:val="0"/>
                <w:color w:val="auto"/>
                <w:kern w:val="0"/>
                <w:sz w:val="24"/>
                <w:szCs w:val="24"/>
                <w:highlight w:val="none"/>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178</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区间隧道集水井、废水池清掏</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328.06</w:t>
            </w:r>
            <w:r>
              <w:rPr>
                <w:rFonts w:hint="eastAsia" w:ascii="宋体" w:hAnsi="宋体" w:eastAsia="宋体" w:cs="宋体"/>
                <w:i w:val="0"/>
                <w:iCs w:val="0"/>
                <w:color w:val="auto"/>
                <w:kern w:val="0"/>
                <w:sz w:val="24"/>
                <w:szCs w:val="24"/>
                <w:highlight w:val="none"/>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车站隧道集水井、废水池清掏</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2686.00</w:t>
            </w:r>
            <w:r>
              <w:rPr>
                <w:rFonts w:hint="eastAsia" w:ascii="宋体" w:hAnsi="宋体" w:eastAsia="宋体" w:cs="宋体"/>
                <w:i w:val="0"/>
                <w:iCs w:val="0"/>
                <w:color w:val="auto"/>
                <w:kern w:val="0"/>
                <w:sz w:val="24"/>
                <w:szCs w:val="24"/>
                <w:highlight w:val="none"/>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bl>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（2）暂定合同</w:t>
      </w:r>
      <w:r>
        <w:rPr>
          <w:rFonts w:hint="eastAsia" w:ascii="方正仿宋_GBK" w:hAnsi="方正仿宋_GBK" w:eastAsia="方正仿宋_GBK" w:cs="方正仿宋_GBK"/>
          <w:color w:val="auto"/>
          <w:sz w:val="28"/>
          <w:szCs w:val="28"/>
          <w:highlight w:val="none"/>
        </w:rPr>
        <w:t>不含税总价</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rPr>
        <w:t>，（大写：人民币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b w:val="0"/>
          <w:bCs w:val="0"/>
          <w:color w:val="auto"/>
          <w:kern w:val="2"/>
          <w:sz w:val="28"/>
          <w:szCs w:val="28"/>
          <w:highlight w:val="none"/>
          <w:lang w:val="en-US" w:eastAsia="zh-CN" w:bidi="ar-SA"/>
        </w:rPr>
        <w:t>（3）暂定合同含</w:t>
      </w:r>
      <w:r>
        <w:rPr>
          <w:rFonts w:hint="eastAsia" w:ascii="方正仿宋_GBK" w:hAnsi="方正仿宋_GBK" w:eastAsia="方正仿宋_GBK" w:cs="方正仿宋_GBK"/>
          <w:b w:val="0"/>
          <w:bCs w:val="0"/>
          <w:color w:val="auto"/>
          <w:sz w:val="28"/>
          <w:szCs w:val="28"/>
          <w:highlight w:val="none"/>
        </w:rPr>
        <w:t>税总价：</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，（大写：人民币</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需开具</w:t>
      </w:r>
      <w:r>
        <w:rPr>
          <w:rFonts w:hint="eastAsia" w:ascii="方正仿宋_GBK" w:hAnsi="方正仿宋_GBK" w:eastAsia="方正仿宋_GBK" w:cs="方正仿宋_GBK"/>
          <w:color w:val="auto"/>
          <w:sz w:val="28"/>
          <w:szCs w:val="28"/>
          <w:highlight w:val="none"/>
          <w:lang w:eastAsia="zh-CN"/>
        </w:rPr>
        <w:t>增值税专用发票，</w:t>
      </w:r>
      <w:r>
        <w:rPr>
          <w:rFonts w:hint="eastAsia" w:ascii="方正仿宋_GBK" w:hAnsi="方正仿宋_GBK" w:eastAsia="方正仿宋_GBK" w:cs="方正仿宋_GBK"/>
          <w:color w:val="auto"/>
          <w:sz w:val="28"/>
          <w:szCs w:val="28"/>
          <w:highlight w:val="none"/>
        </w:rPr>
        <w:t>税率为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color w:val="auto"/>
          <w:highlight w:val="none"/>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val="en-US" w:eastAsia="zh-CN"/>
        </w:rPr>
        <w:t>①</w:t>
      </w:r>
      <w:r>
        <w:rPr>
          <w:rFonts w:hint="eastAsia" w:ascii="方正仿宋_GBK" w:hAnsi="方正仿宋_GBK" w:eastAsia="方正仿宋_GBK" w:cs="方正仿宋_GBK"/>
          <w:b w:val="0"/>
          <w:bCs w:val="0"/>
          <w:color w:val="auto"/>
          <w:sz w:val="28"/>
          <w:szCs w:val="28"/>
          <w:highlight w:val="none"/>
        </w:rPr>
        <w:t>表格</w:t>
      </w:r>
      <w:r>
        <w:rPr>
          <w:rFonts w:hint="eastAsia" w:ascii="方正仿宋_GBK" w:hAnsi="方正仿宋_GBK" w:eastAsia="方正仿宋_GBK" w:cs="方正仿宋_GBK"/>
          <w:b w:val="0"/>
          <w:bCs w:val="0"/>
          <w:color w:val="auto"/>
          <w:sz w:val="28"/>
          <w:szCs w:val="28"/>
          <w:highlight w:val="none"/>
          <w:lang w:val="en-US" w:eastAsia="zh-CN"/>
        </w:rPr>
        <w:t>中</w:t>
      </w:r>
      <w:r>
        <w:rPr>
          <w:rFonts w:hint="eastAsia" w:ascii="方正仿宋_GBK" w:hAnsi="方正仿宋_GBK" w:eastAsia="方正仿宋_GBK" w:cs="方正仿宋_GBK"/>
          <w:b w:val="0"/>
          <w:bCs w:val="0"/>
          <w:color w:val="auto"/>
          <w:sz w:val="28"/>
          <w:szCs w:val="28"/>
          <w:highlight w:val="none"/>
        </w:rPr>
        <w:t>作业量</w:t>
      </w:r>
      <w:r>
        <w:rPr>
          <w:rFonts w:hint="eastAsia" w:ascii="方正仿宋_GBK" w:hAnsi="方正仿宋_GBK" w:eastAsia="方正仿宋_GBK" w:cs="方正仿宋_GBK"/>
          <w:b w:val="0"/>
          <w:bCs w:val="0"/>
          <w:color w:val="auto"/>
          <w:sz w:val="28"/>
          <w:szCs w:val="28"/>
          <w:highlight w:val="none"/>
          <w:lang w:val="en-US" w:eastAsia="zh-CN"/>
        </w:rPr>
        <w:t>和作业频次</w:t>
      </w:r>
      <w:r>
        <w:rPr>
          <w:rFonts w:hint="eastAsia" w:ascii="方正仿宋_GBK" w:hAnsi="方正仿宋_GBK" w:eastAsia="方正仿宋_GBK" w:cs="方正仿宋_GBK"/>
          <w:b w:val="0"/>
          <w:bCs w:val="0"/>
          <w:color w:val="auto"/>
          <w:sz w:val="28"/>
          <w:szCs w:val="28"/>
          <w:highlight w:val="none"/>
        </w:rPr>
        <w:t>均为预估，具体作业量</w:t>
      </w:r>
      <w:r>
        <w:rPr>
          <w:rFonts w:hint="eastAsia" w:ascii="方正仿宋_GBK" w:hAnsi="方正仿宋_GBK" w:eastAsia="方正仿宋_GBK" w:cs="方正仿宋_GBK"/>
          <w:b w:val="0"/>
          <w:bCs w:val="0"/>
          <w:color w:val="auto"/>
          <w:sz w:val="28"/>
          <w:szCs w:val="28"/>
          <w:highlight w:val="none"/>
          <w:lang w:val="en-US" w:eastAsia="zh-CN"/>
        </w:rPr>
        <w:t>和作业频次</w:t>
      </w:r>
      <w:r>
        <w:rPr>
          <w:rFonts w:hint="eastAsia" w:ascii="方正仿宋_GBK" w:hAnsi="方正仿宋_GBK" w:eastAsia="方正仿宋_GBK" w:cs="方正仿宋_GBK"/>
          <w:b w:val="0"/>
          <w:bCs w:val="0"/>
          <w:color w:val="auto"/>
          <w:sz w:val="28"/>
          <w:szCs w:val="28"/>
          <w:highlight w:val="none"/>
        </w:rPr>
        <w:t>以现场实际发生且确认的为准</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②表格中不含税单价</w:t>
      </w:r>
      <w:r>
        <w:rPr>
          <w:rFonts w:hint="eastAsia" w:ascii="方正仿宋_GBK" w:hAnsi="方正仿宋_GBK" w:eastAsia="方正仿宋_GBK" w:cs="方正仿宋_GBK"/>
          <w:b w:val="0"/>
          <w:bCs w:val="0"/>
          <w:color w:val="auto"/>
          <w:sz w:val="28"/>
          <w:szCs w:val="28"/>
          <w:highlight w:val="none"/>
        </w:rPr>
        <w:t>须保留至小数点后</w:t>
      </w:r>
      <w:r>
        <w:rPr>
          <w:rFonts w:hint="eastAsia" w:ascii="方正仿宋_GBK" w:hAnsi="方正仿宋_GBK" w:eastAsia="方正仿宋_GBK" w:cs="方正仿宋_GBK"/>
          <w:b w:val="0"/>
          <w:bCs w:val="0"/>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表格中不含税总价=作业量*不含税单价*工作频次，且须保留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表格下方的暂定不含税总价为表格中单项不含税总价的累计数值，且须保留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表格下方的暂定含税总价=暂定不含税总价+税费，且须保留至小数点后2位；</w:t>
      </w:r>
      <w:r>
        <w:rPr>
          <w:rFonts w:hint="eastAsia" w:ascii="方正仿宋_GBK" w:hAnsi="方正仿宋_GBK" w:eastAsia="方正仿宋_GBK" w:cs="方正仿宋_GBK"/>
          <w:b w:val="0"/>
          <w:bCs w:val="0"/>
          <w:color w:val="auto"/>
          <w:sz w:val="28"/>
          <w:szCs w:val="28"/>
          <w:highlight w:val="none"/>
        </w:rPr>
        <w:t>小数点后无数字时填写0</w:t>
      </w:r>
      <w:r>
        <w:rPr>
          <w:rFonts w:hint="eastAsia" w:ascii="方正仿宋_GBK" w:hAnsi="方正仿宋_GBK" w:eastAsia="方正仿宋_GBK" w:cs="方正仿宋_GBK"/>
          <w:b w:val="0"/>
          <w:bCs w:val="0"/>
          <w:color w:val="auto"/>
          <w:sz w:val="28"/>
          <w:szCs w:val="28"/>
          <w:highlight w:val="none"/>
          <w:lang w:eastAsia="zh-CN"/>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 xml:space="preserve"> 2、</w:t>
      </w:r>
      <w:r>
        <w:rPr>
          <w:rFonts w:hint="eastAsia" w:ascii="方正仿宋_GBK" w:hAnsi="方正仿宋_GBK" w:eastAsia="方正仿宋_GBK" w:cs="方正仿宋_GBK"/>
          <w:color w:val="auto"/>
          <w:sz w:val="28"/>
          <w:szCs w:val="28"/>
          <w:highlight w:val="none"/>
          <w:lang w:val="en-US" w:eastAsia="zh-CN"/>
        </w:rPr>
        <w:t>计算方式</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（1）轨行区清掏冲洗</w:t>
      </w:r>
    </w:p>
    <w:p>
      <w:pPr>
        <w:pStyle w:val="4"/>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服务费按</w:t>
      </w:r>
      <w:r>
        <w:rPr>
          <w:rFonts w:hint="eastAsia" w:ascii="方正仿宋_GBK" w:hAnsi="方正仿宋_GBK" w:eastAsia="方正仿宋_GBK" w:cs="方正仿宋_GBK"/>
          <w:color w:val="auto"/>
          <w:kern w:val="2"/>
          <w:sz w:val="28"/>
          <w:szCs w:val="28"/>
          <w:highlight w:val="none"/>
          <w:lang w:eastAsia="zh-CN"/>
        </w:rPr>
        <w:t>次</w:t>
      </w:r>
      <w:r>
        <w:rPr>
          <w:rFonts w:hint="eastAsia" w:ascii="方正仿宋_GBK" w:hAnsi="方正仿宋_GBK" w:eastAsia="方正仿宋_GBK" w:cs="方正仿宋_GBK"/>
          <w:color w:val="auto"/>
          <w:kern w:val="2"/>
          <w:sz w:val="28"/>
          <w:szCs w:val="28"/>
          <w:highlight w:val="none"/>
        </w:rPr>
        <w:t>为单位，每一季度进行结算，采用“单价×实际</w:t>
      </w:r>
      <w:r>
        <w:rPr>
          <w:rFonts w:hint="eastAsia" w:ascii="方正仿宋_GBK" w:hAnsi="方正仿宋_GBK" w:eastAsia="方正仿宋_GBK" w:cs="方正仿宋_GBK"/>
          <w:color w:val="auto"/>
          <w:kern w:val="2"/>
          <w:sz w:val="28"/>
          <w:szCs w:val="28"/>
          <w:highlight w:val="none"/>
          <w:lang w:val="en-US" w:eastAsia="zh-CN"/>
        </w:rPr>
        <w:t>作业</w:t>
      </w:r>
      <w:r>
        <w:rPr>
          <w:rFonts w:hint="eastAsia" w:ascii="方正仿宋_GBK" w:hAnsi="方正仿宋_GBK" w:eastAsia="方正仿宋_GBK" w:cs="方正仿宋_GBK"/>
          <w:color w:val="auto"/>
          <w:kern w:val="2"/>
          <w:sz w:val="28"/>
          <w:szCs w:val="28"/>
          <w:highlight w:val="none"/>
        </w:rPr>
        <w:t>量×</w:t>
      </w:r>
      <w:r>
        <w:rPr>
          <w:rFonts w:hint="eastAsia" w:ascii="方正仿宋_GBK" w:hAnsi="方正仿宋_GBK" w:eastAsia="方正仿宋_GBK" w:cs="方正仿宋_GBK"/>
          <w:color w:val="auto"/>
          <w:kern w:val="2"/>
          <w:sz w:val="28"/>
          <w:szCs w:val="28"/>
          <w:highlight w:val="none"/>
          <w:lang w:val="en-US" w:eastAsia="zh-CN"/>
        </w:rPr>
        <w:t>频次</w:t>
      </w:r>
      <w:r>
        <w:rPr>
          <w:rFonts w:hint="eastAsia" w:ascii="方正仿宋_GBK" w:hAnsi="方正仿宋_GBK" w:eastAsia="方正仿宋_GBK" w:cs="方正仿宋_GBK"/>
          <w:color w:val="auto"/>
          <w:kern w:val="2"/>
          <w:sz w:val="28"/>
          <w:szCs w:val="28"/>
          <w:highlight w:val="none"/>
        </w:rPr>
        <w:t>-考核费用”的公式</w:t>
      </w:r>
      <w:r>
        <w:rPr>
          <w:rFonts w:hint="eastAsia" w:ascii="方正仿宋_GBK" w:hAnsi="方正仿宋_GBK" w:eastAsia="方正仿宋_GBK" w:cs="方正仿宋_GBK"/>
          <w:color w:val="auto"/>
          <w:sz w:val="28"/>
          <w:szCs w:val="28"/>
          <w:highlight w:val="none"/>
        </w:rPr>
        <w:t>据实结算</w:t>
      </w:r>
      <w:r>
        <w:rPr>
          <w:rFonts w:hint="eastAsia" w:ascii="方正仿宋_GBK" w:hAnsi="方正仿宋_GBK" w:eastAsia="方正仿宋_GBK" w:cs="方正仿宋_GBK"/>
          <w:color w:val="auto"/>
          <w:kern w:val="2"/>
          <w:sz w:val="28"/>
          <w:szCs w:val="28"/>
          <w:highlight w:val="none"/>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8"/>
          <w:szCs w:val="28"/>
          <w:highlight w:val="none"/>
        </w:rPr>
        <w:t>（2）外墙清洗</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服务费按次为单位，每一季度按次进行结算，采用“单价×实际清洗面积×清洗次数-考核费用”的公式据实结算。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服务费按次为单位，</w:t>
      </w:r>
      <w:r>
        <w:rPr>
          <w:rFonts w:hint="eastAsia" w:ascii="方正仿宋_GBK" w:hAnsi="方正仿宋_GBK" w:eastAsia="方正仿宋_GBK" w:cs="方正仿宋_GBK"/>
          <w:color w:val="auto"/>
          <w:sz w:val="28"/>
          <w:szCs w:val="28"/>
          <w:highlight w:val="none"/>
        </w:rPr>
        <w:t>每一季度按次进行结算</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采用“单价×实际清掏量×清掏次数-考核费用”的公式据实结算</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①</w:t>
      </w:r>
      <w:r>
        <w:rPr>
          <w:rFonts w:hint="eastAsia" w:ascii="方正仿宋_GBK" w:hAnsi="方正仿宋_GBK" w:eastAsia="方正仿宋_GBK" w:cs="方正仿宋_GBK"/>
          <w:color w:val="auto"/>
          <w:sz w:val="28"/>
          <w:szCs w:val="28"/>
          <w:highlight w:val="none"/>
        </w:rPr>
        <w:t>以上所有单价的计算原则为综合计算，包括人员、工时、设施设备、机具、材料及管理费用等一切乙方为完成本服务发生的费用。</w:t>
      </w:r>
    </w:p>
    <w:p>
      <w:pPr>
        <w:pStyle w:val="2"/>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default"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②考核费用包括《服务质量检查评分表》的评分扣款、《服务质量检查考核表》的考核扣款以及违约扣款等，直接从乙方服务费用扣除。检查评分标准和检查考核标准详见附件三《服务质量检查评分表》和附件四《服务质量检查考核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3、支付方式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甲方</w:t>
      </w:r>
      <w:r>
        <w:rPr>
          <w:rFonts w:hint="eastAsia" w:ascii="方正仿宋_GBK" w:hAnsi="方正仿宋_GBK" w:eastAsia="方正仿宋_GBK" w:cs="方正仿宋_GBK"/>
          <w:color w:val="auto"/>
          <w:sz w:val="28"/>
          <w:szCs w:val="28"/>
          <w:highlight w:val="none"/>
          <w:lang w:val="en-US" w:eastAsia="zh-CN"/>
        </w:rPr>
        <w:t>对乙方的</w:t>
      </w:r>
      <w:r>
        <w:rPr>
          <w:rFonts w:hint="eastAsia" w:ascii="方正仿宋_GBK" w:hAnsi="方正仿宋_GBK" w:eastAsia="方正仿宋_GBK" w:cs="方正仿宋_GBK"/>
          <w:color w:val="auto"/>
          <w:sz w:val="28"/>
          <w:szCs w:val="28"/>
          <w:highlight w:val="none"/>
        </w:rPr>
        <w:t>服务质量进行评估</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双方就</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合同费用结算明细表</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、《服务</w:t>
      </w:r>
      <w:r>
        <w:rPr>
          <w:rFonts w:hint="eastAsia" w:ascii="方正仿宋_GBK" w:hAnsi="方正仿宋_GBK" w:eastAsia="方正仿宋_GBK" w:cs="方正仿宋_GBK"/>
          <w:color w:val="auto"/>
          <w:sz w:val="28"/>
          <w:szCs w:val="28"/>
          <w:highlight w:val="none"/>
          <w:lang w:val="en-US" w:eastAsia="zh-CN"/>
        </w:rPr>
        <w:t>质量检查评分表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和《服务质量检查考核表》等签字确认后，</w:t>
      </w:r>
      <w:r>
        <w:rPr>
          <w:rFonts w:hint="eastAsia" w:ascii="方正仿宋_GBK" w:hAnsi="方正仿宋_GBK" w:eastAsia="方正仿宋_GBK" w:cs="方正仿宋_GBK"/>
          <w:color w:val="auto"/>
          <w:sz w:val="28"/>
          <w:szCs w:val="28"/>
          <w:highlight w:val="none"/>
        </w:rPr>
        <w:t>乙方向甲方开具</w:t>
      </w:r>
      <w:r>
        <w:rPr>
          <w:rFonts w:hint="eastAsia" w:ascii="方正仿宋_GBK" w:hAnsi="方正仿宋_GBK" w:eastAsia="方正仿宋_GBK" w:cs="方正仿宋_GBK"/>
          <w:color w:val="auto"/>
          <w:sz w:val="28"/>
          <w:szCs w:val="28"/>
          <w:highlight w:val="none"/>
          <w:lang w:val="en-US" w:eastAsia="zh-CN"/>
        </w:rPr>
        <w:t>税率为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的增值税专用发票</w:t>
      </w:r>
      <w:r>
        <w:rPr>
          <w:rFonts w:hint="eastAsia" w:ascii="方正仿宋_GBK" w:hAnsi="方正仿宋_GBK" w:eastAsia="方正仿宋_GBK" w:cs="方正仿宋_GBK"/>
          <w:color w:val="auto"/>
          <w:sz w:val="28"/>
          <w:szCs w:val="28"/>
          <w:highlight w:val="none"/>
        </w:rPr>
        <w:t>，在收到发票后20个工作日内，甲方向乙方支付费用。若未按要求提供增值税专用发票，甲方有权拒绝支付相应款项，且不承担违约责任。本合同执行过程中，所有的考核、记录表单、事件处理书面文书须经双方代表签字认可，作为款项结算支付的依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b/>
          <w:bCs/>
          <w:color w:val="auto"/>
          <w:highlight w:val="none"/>
        </w:rPr>
      </w:pPr>
      <w:r>
        <w:rPr>
          <w:rFonts w:hint="eastAsia" w:ascii="方正仿宋_GBK" w:hAnsi="方正仿宋_GBK" w:eastAsia="方正仿宋_GBK" w:cs="方正仿宋_GBK"/>
          <w:b/>
          <w:bCs/>
          <w:color w:val="auto"/>
          <w:sz w:val="28"/>
          <w:szCs w:val="28"/>
          <w:highlight w:val="none"/>
        </w:rPr>
        <w:t>第六条 账户信息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1、甲方开票信息及账户：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公司名称：重庆通邑物业管理有限公司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社会信用代码：915000003460632872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银行账号：695138171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开户银行：民生银行南坪支行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公司地址及电话：重庆市南岸区腾龙大道58号，023-61751773</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2、乙方指定收款账户：</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公司名称：</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社会信用代码：</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银行账号：</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开户银行： </w:t>
      </w:r>
    </w:p>
    <w:p>
      <w:pPr>
        <w:spacing w:line="560" w:lineRule="exact"/>
        <w:ind w:firstLine="560" w:firstLineChars="20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公司地址及电话：</w:t>
      </w:r>
    </w:p>
    <w:p>
      <w:pPr>
        <w:numPr>
          <w:ilvl w:val="0"/>
          <w:numId w:val="0"/>
        </w:numPr>
        <w:spacing w:line="560" w:lineRule="exact"/>
        <w:ind w:left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 xml:space="preserve">第七条  </w:t>
      </w:r>
      <w:r>
        <w:rPr>
          <w:rFonts w:hint="eastAsia" w:ascii="方正仿宋_GBK" w:hAnsi="方正仿宋_GBK" w:eastAsia="方正仿宋_GBK" w:cs="方正仿宋_GBK"/>
          <w:b/>
          <w:bCs/>
          <w:color w:val="auto"/>
          <w:sz w:val="28"/>
          <w:szCs w:val="28"/>
          <w:highlight w:val="none"/>
        </w:rPr>
        <w:t>履约担保</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val="0"/>
          <w:bCs w:val="0"/>
          <w:color w:val="auto"/>
          <w:kern w:val="2"/>
          <w:sz w:val="28"/>
          <w:szCs w:val="28"/>
          <w:highlight w:val="none"/>
          <w:lang w:val="en-US" w:eastAsia="zh-CN" w:bidi="ar-SA"/>
        </w:rPr>
        <w:t>1、</w:t>
      </w:r>
      <w:r>
        <w:rPr>
          <w:rFonts w:hint="eastAsia" w:ascii="方正仿宋_GBK" w:hAnsi="方正仿宋_GBK" w:eastAsia="方正仿宋_GBK" w:cs="方正仿宋_GBK"/>
          <w:sz w:val="28"/>
          <w:szCs w:val="28"/>
          <w:highlight w:val="none"/>
          <w:lang w:val="en-US" w:eastAsia="zh-CN"/>
        </w:rPr>
        <w:t>乙方</w:t>
      </w:r>
      <w:r>
        <w:rPr>
          <w:rFonts w:hint="eastAsia" w:ascii="方正仿宋_GBK" w:hAnsi="方正仿宋_GBK" w:eastAsia="方正仿宋_GBK" w:cs="方正仿宋_GBK"/>
          <w:sz w:val="28"/>
          <w:szCs w:val="28"/>
          <w:highlight w:val="none"/>
        </w:rPr>
        <w:t>比选保证金</w:t>
      </w:r>
      <w:r>
        <w:rPr>
          <w:rFonts w:hint="eastAsia" w:ascii="方正仿宋_GBK" w:hAnsi="方正仿宋_GBK" w:eastAsia="方正仿宋_GBK" w:cs="方正仿宋_GBK"/>
          <w:b w:val="0"/>
          <w:bCs w:val="0"/>
          <w:color w:val="auto"/>
          <w:kern w:val="2"/>
          <w:sz w:val="28"/>
          <w:szCs w:val="28"/>
          <w:highlight w:val="none"/>
          <w:u w:val="single"/>
          <w:lang w:val="en-US" w:eastAsia="zh-CN" w:bidi="ar-SA"/>
        </w:rPr>
        <w:t>￥50000</w:t>
      </w:r>
      <w:r>
        <w:rPr>
          <w:rFonts w:hint="eastAsia" w:ascii="方正仿宋_GBK" w:hAnsi="方正仿宋_GBK" w:eastAsia="方正仿宋_GBK" w:cs="方正仿宋_GBK"/>
          <w:b w:val="0"/>
          <w:bCs w:val="0"/>
          <w:color w:val="auto"/>
          <w:kern w:val="2"/>
          <w:sz w:val="28"/>
          <w:szCs w:val="28"/>
          <w:highlight w:val="none"/>
          <w:lang w:val="en-US" w:eastAsia="zh-CN" w:bidi="ar-SA"/>
        </w:rPr>
        <w:t>元（大写：人民币伍万元整）</w:t>
      </w:r>
      <w:r>
        <w:rPr>
          <w:rFonts w:hint="eastAsia" w:ascii="方正仿宋_GBK" w:hAnsi="方正仿宋_GBK" w:eastAsia="方正仿宋_GBK" w:cs="方正仿宋_GBK"/>
          <w:sz w:val="28"/>
          <w:szCs w:val="28"/>
          <w:highlight w:val="none"/>
        </w:rPr>
        <w:t>转为履约保证金，履约保证金在合同期满，经甲方确认乙方无违约欠款或其他应付未付款项，甲方收到乙方的履约保证金缴纳收据原件后15个工作日内无息退还。 乙方逾期未支付的，视为乙方已以实际行为表明不再向甲方提供本合同项下的全部服务，甲方有权解除合同并将本合同项下全部服务发包给任何第三方，并且乙方应赔偿因此而给甲方造成的一切损失。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如甲方应付乙方的服务费不足抵扣乙方应当支付给甲方的违约金或乙方依照本合同应向甲方支付的任何赔偿金或费用的，甲方有权直接从履约保证金中扣除该等违约金、赔偿金或费用，如仍不足以抵扣的，乙方应按照甲方书面通知规定的时间及金额即时给付甲方。同时，乙方须于甲方发出通知之日起7天内一次性补足履约保证金，乙方逾期补足的，每逾期一日，乙方以逾期未补足金额0.5‰的标准向甲方支付滞纳金。</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第八条 甲方权利义务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1、甲方有权要求乙方按相关作业时间段进行作业。</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2、甲方有权督促乙方按要求完成轨行区清掏冲洗、外墙清洗、</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清掏等工作。</w:t>
      </w:r>
    </w:p>
    <w:p>
      <w:pPr>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3、甲方</w:t>
      </w:r>
      <w:r>
        <w:rPr>
          <w:rFonts w:hint="eastAsia" w:ascii="方正仿宋_GBK" w:hAnsi="方正仿宋_GBK" w:eastAsia="方正仿宋_GBK" w:cs="方正仿宋_GBK"/>
          <w:color w:val="auto"/>
          <w:sz w:val="28"/>
          <w:szCs w:val="28"/>
          <w:highlight w:val="none"/>
          <w:lang w:val="en-US" w:eastAsia="zh-CN"/>
        </w:rPr>
        <w:t>根据《</w:t>
      </w:r>
      <w:r>
        <w:rPr>
          <w:rFonts w:hint="eastAsia" w:ascii="方正仿宋_GBK" w:hAnsi="方正仿宋_GBK" w:eastAsia="方正仿宋_GBK" w:cs="方正仿宋_GBK"/>
          <w:color w:val="auto"/>
          <w:sz w:val="28"/>
          <w:szCs w:val="28"/>
          <w:highlight w:val="none"/>
        </w:rPr>
        <w:t>服务质量检查评分表</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服务质量检查</w:t>
      </w:r>
      <w:r>
        <w:rPr>
          <w:rFonts w:hint="eastAsia" w:ascii="方正仿宋_GBK" w:hAnsi="方正仿宋_GBK" w:eastAsia="方正仿宋_GBK" w:cs="方正仿宋_GBK"/>
          <w:color w:val="auto"/>
          <w:sz w:val="28"/>
          <w:szCs w:val="28"/>
          <w:highlight w:val="none"/>
          <w:lang w:val="en-US" w:eastAsia="zh-CN"/>
        </w:rPr>
        <w:t>考核</w:t>
      </w:r>
      <w:r>
        <w:rPr>
          <w:rFonts w:hint="eastAsia" w:ascii="方正仿宋_GBK" w:hAnsi="方正仿宋_GBK" w:eastAsia="方正仿宋_GBK" w:cs="方正仿宋_GBK"/>
          <w:color w:val="auto"/>
          <w:sz w:val="28"/>
          <w:szCs w:val="28"/>
          <w:highlight w:val="none"/>
        </w:rPr>
        <w:t>表</w:t>
      </w:r>
      <w:r>
        <w:rPr>
          <w:rFonts w:hint="eastAsia" w:ascii="方正仿宋_GBK" w:hAnsi="方正仿宋_GBK" w:eastAsia="方正仿宋_GBK" w:cs="方正仿宋_GBK"/>
          <w:color w:val="auto"/>
          <w:sz w:val="28"/>
          <w:szCs w:val="28"/>
          <w:highlight w:val="none"/>
          <w:lang w:val="en-US" w:eastAsia="zh-CN"/>
        </w:rPr>
        <w:t>》对乙方提供的服务质量进行检查评分和检查考核，由双方确认人签字确认。</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、乙方未满足甲方规定的作业要求，经甲方提出整改，乙方拒绝整改或整改后乙方仍未达到作业要求时甲方有权终止协议不予支付相关费用。</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、甲方应当按合同要求支付约定的费用。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、甲方应将本方的相关规章制度告知乙方，有权要求乙方严格遵守，并不定时的对乙方外墙清洗施工的工作人员进行安全、质量监督。</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、每个项目甲方应选派一名主管环境的工作人员协助乙方开展工作，特别是做好甲方内部各部门之间的协调配合，监督乙方安全区域围挡工作；特殊材质遮挡、保护工作，草坪、绿化植物遮挡、保护工作。</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、如果甲方因故欲更改、取消已商定的服务时间，甲方应提前24小时通知，并另行商定服务时间。</w:t>
      </w:r>
    </w:p>
    <w:p>
      <w:pPr>
        <w:spacing w:line="560" w:lineRule="exact"/>
        <w:ind w:firstLine="560" w:firstLineChars="20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法律法规规定的其他权利与义务。</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第九条 乙方权利义务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1、乙方有权按合同要求收取本协议约定的费用。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3、乙方的清洗程序：根据现场情况，选择清洗器械、清洁剂种类、浓度、清洁方法；保护人员、设备和其它物品的安全。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乙方应使用国家有关部门批准的化学清洁药剂，不得使用假冒或“三无”产品，并随时接受甲方的监督。</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、乙方在工作中，负责承担合同规定的作业内容，所有工作人员、机具、材料、车辆运输、二次转运等均由乙方自行组织予以实施。</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、乙方应提前做好作业准备，按要求达到作业质量标准，确保甲方的正常工作。</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、乙方在作业中必须接受甲方的检查。</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、乙方在作业中必须做好周边环境的清洁工作，确保无污物遗留，作业完成后及时清理现场，确保作业现场的清洁卫生。</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乙方为甲方进行外墙清洗服务之前应将工作人员的身份证、高空作业证件、参保信息等资料交付给甲方核对。乙方隐瞒、伪造相关资料信息，一经发现，甲方有权解除合同，乙方因隐瞒、伪造相关资料信息导致乙方作业人员、第三方人身损害、财产损失的，由乙方承担全部赔偿责任，给甲方造成损失的，乙方应赔偿甲方损失。</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、乙方在本合同服务期限内，应当免费为甲方相关人员组织高空作业培训，甲方应遵照培训内容予以必要的配合，使服务顺利实施。</w:t>
      </w:r>
    </w:p>
    <w:p>
      <w:pPr>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w:t>
      </w:r>
      <w:r>
        <w:rPr>
          <w:rFonts w:hint="eastAsia" w:ascii="方正仿宋_GBK" w:hAnsi="方正仿宋_GBK" w:eastAsia="方正仿宋_GBK" w:cs="方正仿宋_GBK"/>
          <w:color w:val="auto"/>
          <w:sz w:val="28"/>
          <w:szCs w:val="28"/>
          <w:highlight w:val="none"/>
        </w:rPr>
        <w:t>、乙方将对其在本协议项下提供的现场操作（包括清洁剂和设施、设备、工具使用）、可能造成的人身伤亡或财产的损失，投保责任保险。保险不足赔偿部分或乙方未投保的，由乙方对相关损失进行赔偿，甲方无需承担任何责任。</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12</w:t>
      </w:r>
      <w:r>
        <w:rPr>
          <w:rFonts w:hint="eastAsia" w:ascii="方正仿宋_GBK" w:hAnsi="方正仿宋_GBK" w:eastAsia="方正仿宋_GBK" w:cs="方正仿宋_GBK"/>
          <w:color w:val="auto"/>
          <w:sz w:val="28"/>
          <w:szCs w:val="28"/>
          <w:highlight w:val="none"/>
        </w:rPr>
        <w:t>、法律法规规定的其他权利与义务。</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w:t>
      </w:r>
      <w:r>
        <w:rPr>
          <w:rFonts w:hint="eastAsia" w:ascii="方正仿宋_GBK" w:hAnsi="方正仿宋_GBK" w:eastAsia="方正仿宋_GBK" w:cs="方正仿宋_GBK"/>
          <w:b/>
          <w:bCs/>
          <w:color w:val="auto"/>
          <w:sz w:val="28"/>
          <w:szCs w:val="28"/>
          <w:highlight w:val="none"/>
          <w:lang w:val="en-US" w:eastAsia="zh-CN"/>
        </w:rPr>
        <w:t>十</w:t>
      </w:r>
      <w:r>
        <w:rPr>
          <w:rFonts w:hint="eastAsia" w:ascii="方正仿宋_GBK" w:hAnsi="方正仿宋_GBK" w:eastAsia="方正仿宋_GBK" w:cs="方正仿宋_GBK"/>
          <w:b/>
          <w:bCs/>
          <w:color w:val="auto"/>
          <w:sz w:val="28"/>
          <w:szCs w:val="28"/>
          <w:highlight w:val="none"/>
        </w:rPr>
        <w:t>条 违约责任</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1、如发生因乙方本身及其所属员工失职、乙方劳务用工纠纷、乙方劳动争议、群体罢工等相关问题而造成重大事件或被新闻媒体曝光而造成较大社会负面影响事件的以及给甲方引起纠纷的，经甲方查证为乙方责任的,乙方应向甲方支付违约金1000—5000元/件，特别严重情形，甲方有权解除合同并向乙方要求支付违约金为一年暂定合同总价（</w:t>
      </w:r>
      <w:r>
        <w:rPr>
          <w:rFonts w:hint="eastAsia" w:ascii="方正仿宋_GBK" w:hAnsi="方正仿宋_GBK" w:eastAsia="方正仿宋_GBK" w:cs="方正仿宋_GBK"/>
          <w:b w:val="0"/>
          <w:bCs/>
          <w:color w:val="auto"/>
          <w:sz w:val="28"/>
          <w:szCs w:val="28"/>
          <w:highlight w:val="none"/>
          <w:u w:val="single"/>
          <w:lang w:val="en-US" w:eastAsia="zh-CN"/>
        </w:rPr>
        <w:t xml:space="preserve">           </w:t>
      </w:r>
      <w:r>
        <w:rPr>
          <w:rFonts w:hint="eastAsia" w:ascii="方正仿宋_GBK" w:hAnsi="方正仿宋_GBK" w:eastAsia="方正仿宋_GBK" w:cs="方正仿宋_GBK"/>
          <w:bCs/>
          <w:color w:val="auto"/>
          <w:sz w:val="28"/>
          <w:szCs w:val="28"/>
          <w:highlight w:val="none"/>
          <w:lang w:val="en-US" w:eastAsia="zh-CN"/>
        </w:rPr>
        <w:t xml:space="preserve">元）的20%。 </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 xml:space="preserve">2、乙方发生重大安全责任事故，造成重大人员伤亡或重大财产损失的，乙方应负责处理并赔偿，并向甲方支付违约金5000元/件，特别严重情形，甲方有权解除合同。 </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 xml:space="preserve">3、乙方违反劳动法等国家法律法规，引起员工（个人或群体）上访事件的，乙方应向甲方支付违约金1000—5000元/件；拒不整改或整改不到位的，甲方有权解除合同。 </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4、乙方对有关涉及安全操作的工作，须提交工作计划明确安全保障措施，甲方检查发现乙方未按计划做好安全保障措施的，或者乙方因安全措施不到位发生安全事故的，乙方无条件接受甲方按1000—5000元/件处罚，乙方损失自负并赔偿甲方损失。</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5、若乙方未按本合同约定全面履行义务或履行义务不符合本合同约定或甲方要求，乙方向甲方支付1000-5000元违约金，同时，甲方有权要求乙方限期进行整改或解除本合同，对甲方造成的损失，乙方应承担赔偿责任。但本合同另有约定除外。</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6、乙方不得擅自将本合同涉及全部或部分服务委托、转包、分包或发包给第三方，一经发现，甲方有权解除本合同，没收履约保证金，并要求乙方支付20000元违约金，给甲方造成损失的，还应承担赔偿责任。</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7、因乙方违约产生的违约金、赔偿金等，甲方有权从应付款项及履约保证金中予以扣除，不足以抵扣的，甲方有权就不足部分向乙方追偿。</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eastAsia="zh-CN"/>
        </w:rPr>
        <w:t>一</w:t>
      </w:r>
      <w:r>
        <w:rPr>
          <w:rFonts w:hint="eastAsia" w:ascii="方正仿宋_GBK" w:hAnsi="方正仿宋_GBK" w:eastAsia="方正仿宋_GBK" w:cs="方正仿宋_GBK"/>
          <w:b/>
          <w:bCs w:val="0"/>
          <w:color w:val="auto"/>
          <w:sz w:val="28"/>
          <w:szCs w:val="28"/>
          <w:highlight w:val="none"/>
        </w:rPr>
        <w:t>条 争议解决方式</w:t>
      </w:r>
    </w:p>
    <w:p>
      <w:pPr>
        <w:spacing w:line="560" w:lineRule="exact"/>
        <w:ind w:firstLine="560" w:firstLineChars="200"/>
        <w:rPr>
          <w:highlight w:val="none"/>
        </w:rPr>
      </w:pPr>
      <w:r>
        <w:rPr>
          <w:rFonts w:hint="eastAsia" w:ascii="方正仿宋_GBK" w:hAnsi="方正仿宋_GBK" w:eastAsia="方正仿宋_GBK" w:cs="方正仿宋_GBK"/>
          <w:bCs/>
          <w:color w:val="auto"/>
          <w:sz w:val="28"/>
          <w:szCs w:val="28"/>
          <w:highlight w:val="none"/>
        </w:rPr>
        <w:t>本合同在签订、履行及解释过程中产生分歧或争议，甲乙双方应友好协商解决，协商不成，应向甲方所在地有管辖权的人民法院提起诉讼。</w:t>
      </w:r>
      <w:r>
        <w:rPr>
          <w:rFonts w:hint="eastAsia" w:ascii="方正仿宋_GBK" w:hAnsi="方正仿宋_GBK" w:eastAsia="方正仿宋_GBK" w:cs="方正仿宋_GBK"/>
          <w:bCs/>
          <w:sz w:val="28"/>
          <w:szCs w:val="28"/>
          <w:highlight w:val="none"/>
        </w:rPr>
        <w:t>（因合同争议发生的律师费、调查费、诉讼费、公告催告费、保全担保费等维权费用均由违约方承担。）</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二</w:t>
      </w:r>
      <w:r>
        <w:rPr>
          <w:rFonts w:hint="eastAsia" w:ascii="方正仿宋_GBK" w:hAnsi="方正仿宋_GBK" w:eastAsia="方正仿宋_GBK" w:cs="方正仿宋_GBK"/>
          <w:b/>
          <w:bCs w:val="0"/>
          <w:color w:val="auto"/>
          <w:sz w:val="28"/>
          <w:szCs w:val="28"/>
          <w:highlight w:val="none"/>
        </w:rPr>
        <w:t>条 不可抗力</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1、不可抗力是指各方在履行合同时不可能预见并且其发生和后果是无法防止和无法克服的任何情况，包括但不限于地震、水灾、台风、战争、交通管制、传染性病毒、罢工等。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2、由于不可抗力的发生，直接影响本合同的履行或者不能按约定的条件履行时，遭遇不可抗力一方，应立即将事故情况通知对方，提供事故详情及有效证明文件，并尽力减轻不可抗力的影响。</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3、根据不可抗力对履行本合同所造成的影响，各方协商决定是否终止本合同，或者免除履行本合同的义务，或者延期履行本合同。</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三</w:t>
      </w:r>
      <w:r>
        <w:rPr>
          <w:rFonts w:hint="eastAsia" w:ascii="方正仿宋_GBK" w:hAnsi="方正仿宋_GBK" w:eastAsia="方正仿宋_GBK" w:cs="方正仿宋_GBK"/>
          <w:b/>
          <w:bCs w:val="0"/>
          <w:color w:val="auto"/>
          <w:sz w:val="28"/>
          <w:szCs w:val="28"/>
          <w:highlight w:val="none"/>
        </w:rPr>
        <w:t>条  反商业贿赂</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（一）基本定义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本条所指的商业贿赂是指：乙方为获取与甲方（含甲方关联公司及机构，下文中“甲方”均指此范围）的合作及合作的利益，乙方或乙方工作人员给予甲方工作人员或其指定关系人的一切直接或间接的不正当利益。</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2、其中不正当利益是指：乙方或乙方工作人员以乙方或个人名义向甲方工作人员或其指定关系人直接或间接赠送礼金、物品、有价证券或采取其他变相手段提供不正当利益，包括但不限于：</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1）促销费、宣传费、赞助费、科研费、劳务费、咨询费、佣金或报销各种费用、含有金额的会员卡、代币卡（劵）、旅游、考察、房屋装修等；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2）借款、融资担保、商品赊销、回扣、购物折扣、置业、礼品（如纪念品、节日礼品等）、馈赠、娱乐、招待等；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3）提供或介绍就业、就学、参股或参与经营机会等；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4）通过分包、转包等形式对甲方工作人员或其指定关系人进行利益输送。</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（二）协助义务与违约责任</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1、乙方理解并同意，甲方任何工作人员、部门不得以任何名义向乙方或乙方工作人员索取或收受商业贿赂；乙方或乙方工作人员不得以任何名义向甲方工作人员或其指定关系人进行商业贿赂。</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乙方理解并同意，如违反约定向甲方工作人员或其指定关系人提供商业贿赂的，将构成乙方根本违约，无论是否造成损害结果，甲方有权采取下列一项或多项措施：1）立即解除双方签订的合作协议，终止合作；2）冻结应付款项、履约保证金等直至甲方相关案件调查结束，且无需承担任何违约责任；3）要求乙方向甲方支付5万元违约金或者支付所涉合同金额的20%作为违约金，以两者中较高者为准。同时，乙方应于甲方发现违约行为之日起5个工作日内支付违约金，如未及时支付，甲方有权从合同款项或履约保证金中直接扣除。</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四</w:t>
      </w:r>
      <w:r>
        <w:rPr>
          <w:rFonts w:hint="eastAsia" w:ascii="方正仿宋_GBK" w:hAnsi="方正仿宋_GBK" w:eastAsia="方正仿宋_GBK" w:cs="方正仿宋_GBK"/>
          <w:b/>
          <w:bCs w:val="0"/>
          <w:color w:val="auto"/>
          <w:sz w:val="28"/>
          <w:szCs w:val="28"/>
          <w:highlight w:val="none"/>
        </w:rPr>
        <w:t>条 其他事项</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1、本合同未尽事宜</w:t>
      </w:r>
      <w:r>
        <w:rPr>
          <w:rFonts w:hint="eastAsia" w:ascii="方正仿宋_GBK" w:hAnsi="方正仿宋_GBK" w:eastAsia="方正仿宋_GBK" w:cs="方正仿宋_GBK"/>
          <w:bCs/>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双方可对本合同的条款进行补充，以书面形式签订补充协议</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补充协议与本合同具有同等法律效力。</w:t>
      </w:r>
    </w:p>
    <w:p>
      <w:pPr>
        <w:spacing w:line="560" w:lineRule="exact"/>
        <w:ind w:firstLine="560" w:firstLineChars="200"/>
        <w:rPr>
          <w:color w:val="auto"/>
          <w:highlight w:val="none"/>
        </w:rPr>
      </w:pPr>
      <w:r>
        <w:rPr>
          <w:rFonts w:hint="eastAsia" w:ascii="方正仿宋_GBK" w:hAnsi="方正仿宋_GBK" w:eastAsia="方正仿宋_GBK" w:cs="方正仿宋_GBK"/>
          <w:bCs/>
          <w:color w:val="auto"/>
          <w:sz w:val="28"/>
          <w:szCs w:val="28"/>
          <w:highlight w:val="none"/>
          <w:lang w:val="en-US" w:eastAsia="zh-CN"/>
        </w:rPr>
        <w:t>2</w:t>
      </w:r>
      <w:r>
        <w:rPr>
          <w:rFonts w:hint="eastAsia" w:ascii="方正仿宋_GBK" w:hAnsi="方正仿宋_GBK" w:eastAsia="方正仿宋_GBK" w:cs="方正仿宋_GBK"/>
          <w:bCs/>
          <w:color w:val="auto"/>
          <w:sz w:val="28"/>
          <w:szCs w:val="28"/>
          <w:highlight w:val="none"/>
        </w:rPr>
        <w:t>、本合同附件及因履行本合同形成的所有书面材料，均为本合同不可分割的一部分，与本合同具有同等法律效力。</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3</w:t>
      </w:r>
      <w:r>
        <w:rPr>
          <w:rFonts w:hint="eastAsia" w:ascii="方正仿宋_GBK" w:hAnsi="方正仿宋_GBK" w:eastAsia="方正仿宋_GBK" w:cs="方正仿宋_GBK"/>
          <w:bCs/>
          <w:color w:val="auto"/>
          <w:sz w:val="28"/>
          <w:szCs w:val="28"/>
          <w:highlight w:val="none"/>
        </w:rPr>
        <w:t>、甲方根据经营需要，有权单方解除本合同，甲方解除通知到达乙方时本合同即解除，且甲方不承担任何违约责任。</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4</w:t>
      </w:r>
      <w:r>
        <w:rPr>
          <w:rFonts w:hint="eastAsia" w:ascii="方正仿宋_GBK" w:hAnsi="方正仿宋_GBK" w:eastAsia="方正仿宋_GBK" w:cs="方正仿宋_GBK"/>
          <w:bCs/>
          <w:color w:val="auto"/>
          <w:sz w:val="28"/>
          <w:szCs w:val="28"/>
          <w:highlight w:val="none"/>
        </w:rPr>
        <w:t>、本合同项下甲方的损失包括但不限于甲方的直接损失及甲方主张权利产生的诉讼费、律师费、差旅费、保全费、公证费、鉴定费、执行费等相关费用。</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5、本合同经双方法定代表人或授权代理人签字或盖章之日起生效。</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6</w:t>
      </w:r>
      <w:r>
        <w:rPr>
          <w:rFonts w:hint="eastAsia" w:ascii="方正仿宋_GBK" w:hAnsi="方正仿宋_GBK" w:eastAsia="方正仿宋_GBK" w:cs="方正仿宋_GBK"/>
          <w:bCs/>
          <w:color w:val="auto"/>
          <w:sz w:val="28"/>
          <w:szCs w:val="28"/>
          <w:highlight w:val="none"/>
        </w:rPr>
        <w:t>、本合同一式</w:t>
      </w:r>
      <w:r>
        <w:rPr>
          <w:rFonts w:hint="eastAsia" w:ascii="方正仿宋_GBK" w:hAnsi="方正仿宋_GBK" w:eastAsia="方正仿宋_GBK" w:cs="方正仿宋_GBK"/>
          <w:bCs/>
          <w:color w:val="auto"/>
          <w:sz w:val="28"/>
          <w:szCs w:val="28"/>
          <w:highlight w:val="none"/>
          <w:u w:val="single"/>
        </w:rPr>
        <w:t>陆</w:t>
      </w:r>
      <w:r>
        <w:rPr>
          <w:rFonts w:hint="eastAsia" w:ascii="方正仿宋_GBK" w:hAnsi="方正仿宋_GBK" w:eastAsia="方正仿宋_GBK" w:cs="方正仿宋_GBK"/>
          <w:bCs/>
          <w:color w:val="auto"/>
          <w:sz w:val="28"/>
          <w:szCs w:val="28"/>
          <w:highlight w:val="none"/>
        </w:rPr>
        <w:t>份，甲方</w:t>
      </w:r>
      <w:r>
        <w:rPr>
          <w:rFonts w:hint="eastAsia" w:ascii="方正仿宋_GBK" w:hAnsi="方正仿宋_GBK" w:eastAsia="方正仿宋_GBK" w:cs="方正仿宋_GBK"/>
          <w:bCs/>
          <w:color w:val="auto"/>
          <w:sz w:val="28"/>
          <w:szCs w:val="28"/>
          <w:highlight w:val="none"/>
          <w:u w:val="single"/>
          <w:lang w:val="en-US" w:eastAsia="zh-CN"/>
        </w:rPr>
        <w:t>伍</w:t>
      </w:r>
      <w:r>
        <w:rPr>
          <w:rFonts w:hint="eastAsia" w:ascii="方正仿宋_GBK" w:hAnsi="方正仿宋_GBK" w:eastAsia="方正仿宋_GBK" w:cs="方正仿宋_GBK"/>
          <w:bCs/>
          <w:color w:val="auto"/>
          <w:sz w:val="28"/>
          <w:szCs w:val="28"/>
          <w:highlight w:val="none"/>
        </w:rPr>
        <w:t>份，乙方</w:t>
      </w:r>
      <w:r>
        <w:rPr>
          <w:rFonts w:hint="eastAsia" w:ascii="方正仿宋_GBK" w:hAnsi="方正仿宋_GBK" w:eastAsia="方正仿宋_GBK" w:cs="方正仿宋_GBK"/>
          <w:bCs/>
          <w:color w:val="auto"/>
          <w:sz w:val="28"/>
          <w:szCs w:val="28"/>
          <w:highlight w:val="none"/>
          <w:u w:val="single"/>
          <w:lang w:val="en-US" w:eastAsia="zh-CN"/>
        </w:rPr>
        <w:t>壹</w:t>
      </w:r>
      <w:r>
        <w:rPr>
          <w:rFonts w:hint="eastAsia" w:ascii="方正仿宋_GBK" w:hAnsi="方正仿宋_GBK" w:eastAsia="方正仿宋_GBK" w:cs="方正仿宋_GBK"/>
          <w:bCs/>
          <w:color w:val="auto"/>
          <w:sz w:val="28"/>
          <w:szCs w:val="28"/>
          <w:highlight w:val="none"/>
        </w:rPr>
        <w:t>份，具有同等法律效力。</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7</w:t>
      </w:r>
      <w:r>
        <w:rPr>
          <w:rFonts w:hint="eastAsia" w:ascii="方正仿宋_GBK" w:hAnsi="方正仿宋_GBK" w:eastAsia="方正仿宋_GBK" w:cs="方正仿宋_GBK"/>
          <w:bCs/>
          <w:color w:val="auto"/>
          <w:sz w:val="28"/>
          <w:szCs w:val="28"/>
          <w:highlight w:val="none"/>
        </w:rPr>
        <w:t>、本合同记载的联系地址及方式作为双方工作联系往来及发生争议时人民法院送达法律文书（包括但不限于传票、通知书、告知书、裁定书、调解书、判决书）的地址及方式，一方未书面变更前按照该地址及方式送达的视为有效送达。</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附件</w:t>
      </w: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rPr>
        <w:t>：外委单位安全管理协议(含外委单位安全交底书)</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附件</w:t>
      </w:r>
      <w:r>
        <w:rPr>
          <w:rFonts w:hint="eastAsia" w:ascii="方正仿宋_GBK" w:hAnsi="方正仿宋_GBK" w:eastAsia="方正仿宋_GBK" w:cs="方正仿宋_GBK"/>
          <w:bCs/>
          <w:color w:val="auto"/>
          <w:sz w:val="28"/>
          <w:szCs w:val="28"/>
          <w:highlight w:val="none"/>
          <w:lang w:val="en-US" w:eastAsia="zh-CN"/>
        </w:rPr>
        <w:t>2</w:t>
      </w: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val="en-US" w:eastAsia="zh-CN"/>
        </w:rPr>
        <w:t>合同</w:t>
      </w:r>
      <w:r>
        <w:rPr>
          <w:rFonts w:hint="eastAsia" w:ascii="方正仿宋_GBK" w:hAnsi="方正仿宋_GBK" w:eastAsia="方正仿宋_GBK" w:cs="方正仿宋_GBK"/>
          <w:bCs/>
          <w:color w:val="auto"/>
          <w:sz w:val="28"/>
          <w:szCs w:val="28"/>
          <w:highlight w:val="none"/>
        </w:rPr>
        <w:t>费用</w:t>
      </w:r>
      <w:r>
        <w:rPr>
          <w:rFonts w:hint="eastAsia" w:ascii="方正仿宋_GBK" w:hAnsi="方正仿宋_GBK" w:eastAsia="方正仿宋_GBK" w:cs="方正仿宋_GBK"/>
          <w:bCs/>
          <w:color w:val="auto"/>
          <w:sz w:val="28"/>
          <w:szCs w:val="28"/>
          <w:highlight w:val="none"/>
          <w:lang w:val="en-US" w:eastAsia="zh-CN"/>
        </w:rPr>
        <w:t>结算明细</w:t>
      </w:r>
      <w:r>
        <w:rPr>
          <w:rFonts w:hint="eastAsia" w:ascii="方正仿宋_GBK" w:hAnsi="方正仿宋_GBK" w:eastAsia="方正仿宋_GBK" w:cs="方正仿宋_GBK"/>
          <w:bCs/>
          <w:color w:val="auto"/>
          <w:sz w:val="28"/>
          <w:szCs w:val="28"/>
          <w:highlight w:val="none"/>
        </w:rPr>
        <w:t>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：服务质量检查评分表</w:t>
      </w:r>
    </w:p>
    <w:p>
      <w:pPr>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附件4：服务质量检查考核表</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附件5：疫情防控承诺书</w:t>
      </w:r>
    </w:p>
    <w:p>
      <w:pPr>
        <w:spacing w:line="560" w:lineRule="exact"/>
        <w:ind w:firstLine="560" w:firstLineChars="200"/>
        <w:rPr>
          <w:rFonts w:hint="default"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附件6：作业清单</w:t>
      </w: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ascii="方正仿宋_GBK" w:hAnsi="方正仿宋_GBK" w:eastAsia="方正仿宋_GBK" w:cs="方正仿宋_GBK"/>
          <w:b w:val="0"/>
          <w:sz w:val="28"/>
          <w:szCs w:val="28"/>
          <w:highlight w:val="none"/>
        </w:rPr>
      </w:pPr>
      <w:r>
        <w:rPr>
          <w:rFonts w:hint="eastAsia" w:ascii="方正仿宋_GBK" w:hAnsi="方正仿宋_GBK" w:eastAsia="方正仿宋_GBK" w:cs="方正仿宋_GBK"/>
          <w:b w:val="0"/>
          <w:sz w:val="28"/>
          <w:szCs w:val="28"/>
          <w:highlight w:val="none"/>
        </w:rPr>
        <w:t>（合同签署页）</w:t>
      </w:r>
    </w:p>
    <w:p>
      <w:pPr>
        <w:pStyle w:val="2"/>
        <w:rPr>
          <w:rFonts w:hint="eastAsia"/>
          <w:color w:val="auto"/>
          <w:highlight w:val="none"/>
          <w:lang w:val="en-US" w:eastAsia="zh-CN"/>
        </w:rPr>
      </w:pPr>
    </w:p>
    <w:p>
      <w:pPr>
        <w:rPr>
          <w:rFonts w:hint="eastAsia"/>
          <w:highlight w:val="none"/>
          <w:lang w:val="en-US" w:eastAsia="zh-CN"/>
        </w:rPr>
      </w:pP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甲 方（盖章）：                    </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经办人：      </w:t>
      </w: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sz w:val="28"/>
          <w:szCs w:val="28"/>
          <w:highlight w:val="none"/>
        </w:rPr>
        <w:t>联系地址：</w:t>
      </w:r>
      <w:r>
        <w:rPr>
          <w:rFonts w:hint="eastAsia" w:ascii="方正仿宋_GBK" w:hAnsi="方正仿宋_GBK" w:eastAsia="方正仿宋_GBK" w:cs="方正仿宋_GBK"/>
          <w:bCs/>
          <w:color w:val="auto"/>
          <w:sz w:val="28"/>
          <w:szCs w:val="28"/>
          <w:highlight w:val="none"/>
        </w:rPr>
        <w:t xml:space="preserve">                      </w:t>
      </w: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联系方式：                           </w:t>
      </w: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签署时间：  年   月   日             </w:t>
      </w:r>
    </w:p>
    <w:p>
      <w:pPr>
        <w:spacing w:line="440" w:lineRule="exact"/>
        <w:ind w:firstLine="840" w:firstLineChars="300"/>
        <w:rPr>
          <w:rFonts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乙 方（盖章）：</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经办人：</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联系地址：</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联系方式：</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签署时间： 年   月   日</w:t>
      </w:r>
    </w:p>
    <w:p>
      <w:pPr>
        <w:rPr>
          <w:rFonts w:ascii="方正仿宋_GBK" w:hAnsi="方正仿宋_GBK" w:eastAsia="方正仿宋_GBK" w:cs="方正仿宋_GBK"/>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spacing w:line="397"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附件 </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w:t>
      </w:r>
    </w:p>
    <w:p>
      <w:pPr>
        <w:spacing w:line="5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外委单位安全管理协议</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kern w:val="2"/>
          <w:sz w:val="28"/>
          <w:szCs w:val="28"/>
          <w:highlight w:val="none"/>
        </w:rPr>
      </w:pP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甲方:重庆通邑物业管理有限公司</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乙方:</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sz w:val="28"/>
          <w:szCs w:val="28"/>
          <w:highlight w:val="none"/>
        </w:rPr>
      </w:pP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为预防和减少各类安全风险及隐患，搞好项目的安全管理工作，根据《中华人民共和国民法典》、《中华人民共和国安全生产法》，甲乙双方经过协商达成以下协议。</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一、甲方权利与义务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（一）发现违章违纪行为和安全隐患的，甲方有权责令乙方停工并要求限时整改，所造成的一切损失由乙方承担。               </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（二）对在现场安全工作中不称职的承包人项目经理、安全管理负责人，有权要求更换。</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（三）协助乙方办理进入甲方管理区域的相关手续，并对乙方进行安全交底。</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（四）协助乙方对其作业区域的安全、环境、防火管控措施进行监督检查。</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二、乙方权利与义务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（一）乙方对作业人员的资质进行审查 ，确保作业人员具备相关资质。根据甲方的要求编制作业方案，完善作业手续。</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（三）根据作业特点制定安全管理措施，自备合格的安全设备、设施和劳保用品，做好作业人员安全教育和安全技术交底工作，并对作业范围内的乙方作业人员、甲方人员、第三人的人身安全和财产安全等负责。</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mc:AlternateContent>
          <mc:Choice Requires="wps">
            <w:drawing>
              <wp:anchor distT="0" distB="0" distL="114300" distR="114300" simplePos="0" relativeHeight="251662336"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8" name="矩形 8"/>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4144;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SvIQvcAAAADQEAAA8AAAAAAAAAAQAgAAAAIgAAAGRycy9kb3ducmV2LnhtbFBLAQIUABQAAAAI&#10;AIdO4kBmgJ1ssAEAAHEDAAAOAAAAAAAAAAEAIAAAACsBAABkcnMvZTJvRG9jLnhtbFBLBQYAAAAA&#10;BgAGAFkBAABNBQAAAAA=&#10;">
                <v:fill on="f" focussize="0,0"/>
                <v:stroke on="f"/>
                <v:imagedata o:title=""/>
                <o:lock v:ext="edit" aspectratio="f"/>
                <v:textbox inset="0mm,0mm,0mm,0mm">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v:textbox>
              </v:rect>
            </w:pict>
          </mc:Fallback>
        </mc:AlternateContent>
      </w:r>
      <w:r>
        <w:rPr>
          <w:rFonts w:hint="eastAsia" w:ascii="方正仿宋_GBK" w:hAnsi="方正仿宋_GBK" w:eastAsia="方正仿宋_GBK" w:cs="方正仿宋_GBK"/>
          <w:color w:val="auto"/>
          <w:sz w:val="28"/>
          <w:szCs w:val="28"/>
          <w:highlight w:val="none"/>
        </w:rPr>
        <w:t>（四）乙方进入作业区域前 ，应主动履行登记核验手续，因未履行登记手续带来的一切后果和责任由乙方全部承担。同时，乙方作业人员进入围挡（或其它隔离设施）后，应保持围挡（或其它隔离设施）处于锁闭良好状态。作业结束后，乙方作业人员须确认围挡（或其它隔离设施）处于锁闭良好状态，并主动履行销记手续，因未履行销记手续带来的一切后果和责任由乙方全部承担。</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（五）严格遵守甲方的相关的安全管理规定，承担因违反相关规定造成的损失和罚款。</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（六）按照甲方运营特点及要求，乙方合理安排具体实施方案并需经过甲方同意，不得影响甲方正常运营，承担影响甲方正常运行造成的损失和罚款。</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（七）严格按照甲方核准的作业区域和时间段实施作业，不得擅自扩大作业区域或延长作业时间、不得擅自进入未经甲方批准的管理区域，服从甲方的管理。</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（八）在作业过程中做好对甲方既有设施、设备的安全保护措施，不擅自动用或损坏甲方设施、设备，若有损坏照价赔偿，并按原设计功能要求如实恢复。</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（九）自觉接受甲方人员的安全监督，作业期间如发生影响甲方运营和生产安全的情况，需立即报告甲方，并积极采取应急救援措施。</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（十一）负责乙方作业区域内的消防安全管理工作，并按照相关法律法规配备消防安全器材。</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（十二）因乙方作业引起的客伤、投诉、舆情和信访等问题，由乙方及时有效进行处理，并承担全部责任。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（十三）由甲方供电的乙方所属设备，供电设备、线路以及用电安全等，由乙方自行负责，并保证安全用电。</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（十四）作业现场必须具有相关的安全标志牌，如因乙方对围挡设置不当或无警示标识引起客伤、投诉、舆情、信访和事故等问题，由乙方及时有效进行处理，并承担全部责任。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（十五）乙方在任何时候都应采取各种合理的预防措施，防止其员工发生任何违法、违禁、暴力或妨碍治安的行为。</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（十六）作业人员上岗，必须按规定穿戴防护用品。负责人和安全检查员应随时检查劳动防护用品的穿戴情况，不按规定穿戴防护用品的人员不得上岗。</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（十七）所有作业机具及安全设备设施均应定期检查，并有安全员的签字记录，保证其处于完好状态；不合格的机具、设备和劳动保护用品严禁使用。</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八）乙方必须按照本项目特点，组织制定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（十九）乙方必须积极主动配合甲方的各项防疫规定，严格遵守甲方《防疫防控手册》的各项要求。</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三、违约责任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（一）如作业过程甲方发现存在安全问题或隐患并向乙方提出整改，乙方未及时整改的，根据情况甲方有权处罚乙方合同金额1%至10%的违约金，并由乙方赔偿由此造成的一切损失；</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（二）如作业过程中因乙方原因发生安全事故，由乙方承担相关法律责任并赔偿由此产生的一切损失。根据事故损失及后果严重程度，甲方有权处罚乙方实际损失金额30%以上的违约金；</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（四）因乙方违约产生的违约金、赔偿金等，将直接从合同应付金额中扣除。如以上两种方式的金额不足以承担违约金、赔偿金时，甲方有权向乙方追偿。</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四、附则</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（一）本合同份数与主合同份数一致。</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（二）本协议自甲乙双方签字盖章之日起生效。</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（三）安全管理交底书作为该协议附件具有同等法律效力。</w:t>
      </w:r>
    </w:p>
    <w:p>
      <w:pPr>
        <w:snapToGrid w:val="0"/>
        <w:spacing w:line="560" w:lineRule="exact"/>
        <w:ind w:firstLine="210" w:firstLineChars="75"/>
        <w:rPr>
          <w:rFonts w:ascii="方正仿宋_GBK" w:hAnsi="方正仿宋_GBK" w:eastAsia="方正仿宋_GBK" w:cs="方正仿宋_GBK"/>
          <w:color w:val="auto"/>
          <w:sz w:val="28"/>
          <w:szCs w:val="28"/>
          <w:highlight w:val="none"/>
        </w:rPr>
      </w:pPr>
    </w:p>
    <w:p>
      <w:pPr>
        <w:snapToGrid w:val="0"/>
        <w:spacing w:line="560" w:lineRule="exact"/>
        <w:ind w:firstLine="210" w:firstLineChars="75"/>
        <w:rPr>
          <w:rFonts w:ascii="方正仿宋_GBK" w:hAnsi="方正仿宋_GBK" w:eastAsia="方正仿宋_GBK" w:cs="方正仿宋_GBK"/>
          <w:color w:val="auto"/>
          <w:sz w:val="28"/>
          <w:szCs w:val="28"/>
          <w:highlight w:val="none"/>
        </w:rPr>
      </w:pPr>
    </w:p>
    <w:p>
      <w:pPr>
        <w:snapToGrid w:val="0"/>
        <w:spacing w:line="560" w:lineRule="exact"/>
        <w:ind w:firstLine="210" w:firstLineChars="75"/>
        <w:rPr>
          <w:rFonts w:ascii="方正仿宋_GBK" w:hAnsi="方正仿宋_GBK" w:eastAsia="方正仿宋_GBK" w:cs="方正仿宋_GBK"/>
          <w:color w:val="auto"/>
          <w:sz w:val="28"/>
          <w:szCs w:val="28"/>
          <w:highlight w:val="none"/>
        </w:rPr>
      </w:pPr>
    </w:p>
    <w:p>
      <w:pPr>
        <w:snapToGrid w:val="0"/>
        <w:spacing w:line="560" w:lineRule="exact"/>
        <w:ind w:firstLine="210" w:firstLineChars="75"/>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此页无正文</w:t>
      </w:r>
      <w:r>
        <w:rPr>
          <w:rFonts w:hint="eastAsia" w:ascii="方正仿宋_GBK" w:hAnsi="方正仿宋_GBK" w:eastAsia="方正仿宋_GBK" w:cs="方正仿宋_GBK"/>
          <w:color w:val="auto"/>
          <w:sz w:val="28"/>
          <w:szCs w:val="28"/>
          <w:highlight w:val="none"/>
          <w:lang w:eastAsia="zh-CN"/>
        </w:rPr>
        <w:t>）</w:t>
      </w:r>
    </w:p>
    <w:p>
      <w:pPr>
        <w:pStyle w:val="2"/>
        <w:rPr>
          <w:rFonts w:hint="eastAsia" w:ascii="方正仿宋_GBK" w:hAnsi="方正仿宋_GBK" w:eastAsia="方正仿宋_GBK" w:cs="方正仿宋_GBK"/>
          <w:color w:val="auto"/>
          <w:sz w:val="28"/>
          <w:szCs w:val="28"/>
          <w:highlight w:val="none"/>
          <w:lang w:eastAsia="zh-CN"/>
        </w:rPr>
      </w:pPr>
    </w:p>
    <w:p>
      <w:pPr>
        <w:rPr>
          <w:rFonts w:hint="eastAsia"/>
          <w:color w:val="auto"/>
          <w:highlight w:val="none"/>
          <w:lang w:eastAsia="zh-CN"/>
        </w:rPr>
      </w:pPr>
    </w:p>
    <w:p>
      <w:pPr>
        <w:snapToGrid w:val="0"/>
        <w:spacing w:line="560" w:lineRule="exact"/>
        <w:ind w:firstLine="210" w:firstLineChars="75"/>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甲方：重庆通邑物业管理有限公司  乙方：      </w:t>
      </w:r>
    </w:p>
    <w:p>
      <w:pPr>
        <w:snapToGrid w:val="0"/>
        <w:spacing w:line="560" w:lineRule="exact"/>
        <w:ind w:firstLine="280" w:firstLineChars="1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经办人：            　　　    　经办人： </w:t>
      </w:r>
    </w:p>
    <w:p>
      <w:pPr>
        <w:snapToGrid w:val="0"/>
        <w:spacing w:line="560" w:lineRule="exact"/>
        <w:ind w:firstLine="280" w:firstLineChars="1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                          电话：</w:t>
      </w:r>
    </w:p>
    <w:p>
      <w:pPr>
        <w:snapToGrid w:val="0"/>
        <w:spacing w:line="560" w:lineRule="exact"/>
        <w:ind w:firstLine="280" w:firstLineChars="1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年　　月　　日                  年    月    日</w:t>
      </w:r>
    </w:p>
    <w:p>
      <w:pPr>
        <w:snapToGrid w:val="0"/>
        <w:spacing w:line="560" w:lineRule="exact"/>
        <w:rPr>
          <w:rFonts w:eastAsia="方正仿宋_GBK"/>
          <w:color w:val="auto"/>
          <w:highlight w:val="none"/>
        </w:rPr>
      </w:pPr>
      <w:r>
        <w:rPr>
          <w:rFonts w:hint="eastAsia" w:ascii="方正仿宋_GBK" w:hAnsi="方正仿宋_GBK" w:eastAsia="方正仿宋_GBK" w:cs="方正仿宋_GBK"/>
          <w:color w:val="auto"/>
          <w:sz w:val="32"/>
          <w:szCs w:val="32"/>
          <w:highlight w:val="none"/>
        </w:rPr>
        <w:br w:type="page"/>
      </w:r>
    </w:p>
    <w:p>
      <w:pPr>
        <w:pStyle w:val="22"/>
        <w:spacing w:line="560" w:lineRule="exact"/>
        <w:ind w:firstLine="0" w:firstLineChars="0"/>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color w:val="auto"/>
          <w:kern w:val="2"/>
          <w:sz w:val="28"/>
          <w:szCs w:val="28"/>
          <w:highlight w:val="none"/>
          <w:lang w:val="en-US" w:eastAsia="zh-CN" w:bidi="ar-SA"/>
        </w:rPr>
        <w:t>附件</w:t>
      </w:r>
      <w:r>
        <w:rPr>
          <w:rFonts w:hint="eastAsia" w:ascii="方正仿宋_GBK" w:hAnsi="方正仿宋_GBK" w:eastAsia="方正仿宋_GBK" w:cs="方正仿宋_GBK"/>
          <w:color w:val="auto"/>
          <w:sz w:val="32"/>
          <w:szCs w:val="32"/>
          <w:highlight w:val="none"/>
        </w:rPr>
        <w:t>：</w:t>
      </w:r>
    </w:p>
    <w:p>
      <w:pPr>
        <w:pStyle w:val="22"/>
        <w:spacing w:line="560" w:lineRule="exact"/>
        <w:ind w:firstLine="0" w:firstLineChars="0"/>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color w:val="auto"/>
          <w:sz w:val="32"/>
          <w:szCs w:val="32"/>
          <w:highlight w:val="none"/>
        </w:rPr>
        <w:t>外委单位安全交底书</w:t>
      </w:r>
    </w:p>
    <w:tbl>
      <w:tblPr>
        <w:tblStyle w:val="10"/>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c>
        <w:tc>
          <w:tcPr>
            <w:tcW w:w="6206" w:type="dxa"/>
            <w:vAlign w:val="top"/>
          </w:tcPr>
          <w:p>
            <w:pPr>
              <w:widowControl/>
              <w:spacing w:line="560" w:lineRule="exact"/>
              <w:jc w:val="center"/>
              <w:rPr>
                <w:rFonts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乙方单位名称</w:t>
            </w:r>
          </w:p>
        </w:tc>
        <w:tc>
          <w:tcPr>
            <w:tcW w:w="6206"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甲方责任业务部门</w:t>
            </w:r>
          </w:p>
        </w:tc>
        <w:tc>
          <w:tcPr>
            <w:tcW w:w="6206"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1" w:type="dxa"/>
            <w:gridSpan w:val="2"/>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安全交底内容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291" w:type="dxa"/>
            <w:gridSpan w:val="2"/>
          </w:tcPr>
          <w:p>
            <w:pPr>
              <w:pStyle w:val="22"/>
              <w:spacing w:line="560" w:lineRule="exact"/>
              <w:ind w:hanging="18" w:firstLineChars="0"/>
              <w:rPr>
                <w:rFonts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重庆通邑物业管理有限公司（甲方）</w:t>
            </w: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righ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乙方（盖章）</w:t>
            </w: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righ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tc>
      </w:tr>
    </w:tbl>
    <w:p>
      <w:pPr>
        <w:pStyle w:val="9"/>
        <w:spacing w:beforeAutospacing="0" w:afterAutospacing="0"/>
        <w:jc w:val="center"/>
        <w:rPr>
          <w:rFonts w:ascii="方正仿宋_GBK" w:hAnsi="方正仿宋_GBK" w:eastAsia="方正仿宋_GBK" w:cs="方正仿宋_GBK"/>
          <w:color w:val="auto"/>
          <w:sz w:val="28"/>
          <w:szCs w:val="28"/>
          <w:highlight w:val="none"/>
        </w:rPr>
        <w:sectPr>
          <w:footerReference r:id="rId6" w:type="default"/>
          <w:pgSz w:w="11906" w:h="16838"/>
          <w:pgMar w:top="1440" w:right="1800" w:bottom="1440" w:left="1800" w:header="851" w:footer="992" w:gutter="0"/>
          <w:pgNumType w:fmt="decimal"/>
          <w:cols w:space="425" w:num="1"/>
          <w:docGrid w:type="lines" w:linePitch="312" w:charSpace="0"/>
        </w:sectPr>
      </w:pPr>
    </w:p>
    <w:p>
      <w:pPr>
        <w:spacing w:line="397"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p>
    <w:p>
      <w:pPr>
        <w:spacing w:line="397" w:lineRule="exact"/>
        <w:ind w:firstLine="620"/>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合同</w:t>
      </w:r>
      <w:r>
        <w:rPr>
          <w:rFonts w:hint="eastAsia" w:ascii="方正仿宋_GBK" w:hAnsi="方正仿宋_GBK" w:eastAsia="方正仿宋_GBK" w:cs="方正仿宋_GBK"/>
          <w:b/>
          <w:bCs/>
          <w:color w:val="auto"/>
          <w:sz w:val="28"/>
          <w:szCs w:val="28"/>
          <w:highlight w:val="none"/>
        </w:rPr>
        <w:t>费用</w:t>
      </w:r>
      <w:r>
        <w:rPr>
          <w:rFonts w:hint="eastAsia" w:ascii="方正仿宋_GBK" w:hAnsi="方正仿宋_GBK" w:eastAsia="方正仿宋_GBK" w:cs="方正仿宋_GBK"/>
          <w:b/>
          <w:bCs/>
          <w:color w:val="auto"/>
          <w:sz w:val="28"/>
          <w:szCs w:val="28"/>
          <w:highlight w:val="none"/>
          <w:lang w:val="en-US" w:eastAsia="zh-CN"/>
        </w:rPr>
        <w:t>结算</w:t>
      </w:r>
      <w:r>
        <w:rPr>
          <w:rFonts w:hint="eastAsia" w:ascii="方正仿宋_GBK" w:hAnsi="方正仿宋_GBK" w:eastAsia="方正仿宋_GBK" w:cs="方正仿宋_GBK"/>
          <w:b/>
          <w:bCs/>
          <w:color w:val="auto"/>
          <w:sz w:val="28"/>
          <w:szCs w:val="28"/>
          <w:highlight w:val="none"/>
        </w:rPr>
        <w:t>明细表</w:t>
      </w:r>
    </w:p>
    <w:tbl>
      <w:tblPr>
        <w:tblStyle w:val="10"/>
        <w:tblpPr w:leftFromText="180" w:rightFromText="180" w:vertAnchor="text" w:horzAnchor="page" w:tblpX="1364" w:tblpY="131"/>
        <w:tblOverlap w:val="never"/>
        <w:tblW w:w="9705" w:type="dxa"/>
        <w:tblInd w:w="0" w:type="dxa"/>
        <w:tblLayout w:type="fixed"/>
        <w:tblCellMar>
          <w:top w:w="0" w:type="dxa"/>
          <w:left w:w="108" w:type="dxa"/>
          <w:bottom w:w="0" w:type="dxa"/>
          <w:right w:w="108" w:type="dxa"/>
        </w:tblCellMar>
      </w:tblPr>
      <w:tblGrid>
        <w:gridCol w:w="2929"/>
        <w:gridCol w:w="1001"/>
        <w:gridCol w:w="1830"/>
        <w:gridCol w:w="1845"/>
        <w:gridCol w:w="2100"/>
      </w:tblGrid>
      <w:tr>
        <w:tblPrEx>
          <w:tblCellMar>
            <w:top w:w="0" w:type="dxa"/>
            <w:left w:w="108" w:type="dxa"/>
            <w:bottom w:w="0" w:type="dxa"/>
            <w:right w:w="108" w:type="dxa"/>
          </w:tblCellMar>
        </w:tblPrEx>
        <w:trPr>
          <w:trHeight w:val="624" w:hRule="atLeast"/>
        </w:trPr>
        <w:tc>
          <w:tcPr>
            <w:tcW w:w="2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服务内容</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val="en-US" w:eastAsia="zh-CN" w:bidi="ar"/>
              </w:rPr>
              <w:t>实际</w:t>
            </w:r>
            <w:r>
              <w:rPr>
                <w:rFonts w:hint="eastAsia" w:ascii="方正仿宋_GBK" w:hAnsi="方正仿宋_GBK" w:eastAsia="方正仿宋_GBK" w:cs="方正仿宋_GBK"/>
                <w:color w:val="auto"/>
                <w:kern w:val="0"/>
                <w:sz w:val="24"/>
                <w:highlight w:val="none"/>
                <w:lang w:bidi="ar"/>
              </w:rPr>
              <w:t>作业量</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kern w:val="0"/>
                <w:sz w:val="24"/>
                <w:highlight w:val="none"/>
                <w:lang w:bidi="ar"/>
              </w:rPr>
              <w:t>不含税</w:t>
            </w:r>
            <w:r>
              <w:rPr>
                <w:rFonts w:hint="eastAsia" w:ascii="方正仿宋_GBK" w:hAnsi="方正仿宋_GBK" w:eastAsia="方正仿宋_GBK" w:cs="方正仿宋_GBK"/>
                <w:color w:val="auto"/>
                <w:kern w:val="0"/>
                <w:sz w:val="24"/>
                <w:highlight w:val="none"/>
                <w:lang w:val="en-US" w:eastAsia="zh-CN" w:bidi="ar"/>
              </w:rPr>
              <w:t>单价（元）</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实际工作频次</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不含税总价</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w:t>
            </w:r>
            <w:r>
              <w:rPr>
                <w:rFonts w:hint="eastAsia" w:ascii="方正仿宋_GBK" w:hAnsi="方正仿宋_GBK" w:eastAsia="方正仿宋_GBK" w:cs="方正仿宋_GBK"/>
                <w:color w:val="auto"/>
                <w:kern w:val="0"/>
                <w:sz w:val="24"/>
                <w:highlight w:val="none"/>
                <w:lang w:eastAsia="zh-CN" w:bidi="ar"/>
              </w:rPr>
              <w:t>元</w:t>
            </w:r>
            <w:r>
              <w:rPr>
                <w:rFonts w:hint="eastAsia" w:ascii="方正仿宋_GBK" w:hAnsi="方正仿宋_GBK" w:eastAsia="方正仿宋_GBK" w:cs="方正仿宋_GBK"/>
                <w:color w:val="auto"/>
                <w:kern w:val="0"/>
                <w:sz w:val="24"/>
                <w:highlight w:val="none"/>
                <w:lang w:bidi="ar"/>
              </w:rPr>
              <w:t>）</w:t>
            </w:r>
          </w:p>
        </w:tc>
      </w:tr>
      <w:tr>
        <w:tblPrEx>
          <w:tblCellMar>
            <w:top w:w="0" w:type="dxa"/>
            <w:left w:w="108" w:type="dxa"/>
            <w:bottom w:w="0" w:type="dxa"/>
            <w:right w:w="108" w:type="dxa"/>
          </w:tblCellMar>
        </w:tblPrEx>
        <w:trPr>
          <w:trHeight w:val="312" w:hRule="atLeast"/>
        </w:trPr>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509"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1.轨行区清掏冲洗</w:t>
            </w:r>
          </w:p>
        </w:tc>
      </w:tr>
      <w:tr>
        <w:tblPrEx>
          <w:tblCellMar>
            <w:top w:w="0" w:type="dxa"/>
            <w:left w:w="108" w:type="dxa"/>
            <w:bottom w:w="0" w:type="dxa"/>
            <w:right w:w="108" w:type="dxa"/>
          </w:tblCellMar>
        </w:tblPrEx>
        <w:trPr>
          <w:trHeight w:val="283"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车站、隧道排水沟清掏</w:t>
            </w:r>
            <w:r>
              <w:rPr>
                <w:rFonts w:hint="eastAsia" w:ascii="方正仿宋_GBK" w:hAnsi="方正仿宋_GBK" w:eastAsia="方正仿宋_GBK" w:cs="方正仿宋_GBK"/>
                <w:color w:val="auto"/>
                <w:kern w:val="0"/>
                <w:sz w:val="24"/>
                <w:highlight w:val="none"/>
                <w:lang w:eastAsia="zh-CN" w:bidi="ar"/>
              </w:rPr>
              <w:t>（</w:t>
            </w:r>
            <w:r>
              <w:rPr>
                <w:rFonts w:hint="eastAsia" w:ascii="方正仿宋_GBK" w:hAnsi="方正仿宋_GBK" w:eastAsia="方正仿宋_GBK" w:cs="方正仿宋_GBK"/>
                <w:color w:val="auto"/>
                <w:kern w:val="0"/>
                <w:sz w:val="24"/>
                <w:highlight w:val="none"/>
                <w:lang w:val="en-US" w:eastAsia="zh-CN" w:bidi="ar"/>
              </w:rPr>
              <w:t>含轨行区地面垃圾清扫</w:t>
            </w:r>
            <w:r>
              <w:rPr>
                <w:rFonts w:hint="eastAsia" w:ascii="方正仿宋_GBK" w:hAnsi="方正仿宋_GBK" w:eastAsia="方正仿宋_GBK" w:cs="方正仿宋_GBK"/>
                <w:color w:val="auto"/>
                <w:kern w:val="0"/>
                <w:sz w:val="24"/>
                <w:highlight w:val="none"/>
                <w:lang w:eastAsia="zh-CN" w:bidi="ar"/>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510" w:hRule="exac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区间隧道泵房清掏</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510" w:hRule="exac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轨行区垃圾清运</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510" w:hRule="exac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隧道冲洗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510" w:hRule="exac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清掏物（垃圾）二次转运及处置</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554"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2.外墙清洗</w:t>
            </w:r>
          </w:p>
        </w:tc>
      </w:tr>
      <w:tr>
        <w:tblPrEx>
          <w:tblCellMar>
            <w:top w:w="0" w:type="dxa"/>
            <w:left w:w="108" w:type="dxa"/>
            <w:bottom w:w="0" w:type="dxa"/>
            <w:right w:w="108" w:type="dxa"/>
          </w:tblCellMar>
        </w:tblPrEx>
        <w:trPr>
          <w:trHeight w:val="479"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外墙清洗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23"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3.</w:t>
            </w:r>
            <w:r>
              <w:rPr>
                <w:rFonts w:hint="eastAsia" w:ascii="方正仿宋_GBK" w:hAnsi="方正仿宋_GBK" w:eastAsia="方正仿宋_GBK" w:cs="方正仿宋_GBK"/>
                <w:b/>
                <w:bCs/>
                <w:color w:val="auto"/>
                <w:sz w:val="24"/>
                <w:highlight w:val="none"/>
                <w:lang w:eastAsia="zh-CN"/>
              </w:rPr>
              <w:t>沟渠池</w:t>
            </w:r>
            <w:r>
              <w:rPr>
                <w:rFonts w:hint="eastAsia" w:ascii="方正仿宋_GBK" w:hAnsi="方正仿宋_GBK" w:eastAsia="方正仿宋_GBK" w:cs="方正仿宋_GBK"/>
                <w:b/>
                <w:bCs/>
                <w:color w:val="auto"/>
                <w:sz w:val="24"/>
                <w:highlight w:val="none"/>
              </w:rPr>
              <w:t>清掏</w:t>
            </w:r>
          </w:p>
        </w:tc>
      </w:tr>
      <w:tr>
        <w:tblPrEx>
          <w:tblCellMar>
            <w:top w:w="0" w:type="dxa"/>
            <w:left w:w="108" w:type="dxa"/>
            <w:bottom w:w="0" w:type="dxa"/>
            <w:right w:w="108" w:type="dxa"/>
          </w:tblCellMar>
        </w:tblPrEx>
        <w:trPr>
          <w:trHeight w:val="434"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生化池</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51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隔油池</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51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天沟</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kern w:val="0"/>
                <w:sz w:val="24"/>
                <w:szCs w:val="24"/>
                <w:highlight w:val="none"/>
                <w:lang w:bidi="ar"/>
              </w:rPr>
              <w:t>合计：</w:t>
            </w:r>
            <w:r>
              <w:rPr>
                <w:rFonts w:hint="eastAsia" w:ascii="方正仿宋_GBK" w:hAnsi="方正仿宋_GBK" w:eastAsia="方正仿宋_GBK" w:cs="方正仿宋_GBK"/>
                <w:b w:val="0"/>
                <w:bCs w:val="0"/>
                <w:color w:val="auto"/>
                <w:sz w:val="24"/>
                <w:szCs w:val="24"/>
                <w:highlight w:val="none"/>
              </w:rPr>
              <w:t>不含税总价：</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 xml:space="preserve"> 元，（大写：人民币</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元）；含税总价：</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 xml:space="preserve"> 元，（大写：人民币</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元），</w:t>
            </w:r>
            <w:r>
              <w:rPr>
                <w:rFonts w:hint="eastAsia" w:ascii="方正仿宋_GBK" w:hAnsi="方正仿宋_GBK" w:eastAsia="方正仿宋_GBK" w:cs="方正仿宋_GBK"/>
                <w:b w:val="0"/>
                <w:bCs w:val="0"/>
                <w:color w:val="auto"/>
                <w:sz w:val="24"/>
                <w:szCs w:val="24"/>
                <w:highlight w:val="none"/>
                <w:lang w:val="en-US" w:eastAsia="zh-CN"/>
              </w:rPr>
              <w:t>增值税专用发票</w:t>
            </w:r>
            <w:r>
              <w:rPr>
                <w:rFonts w:hint="eastAsia" w:ascii="方正仿宋_GBK" w:hAnsi="方正仿宋_GBK" w:eastAsia="方正仿宋_GBK" w:cs="方正仿宋_GBK"/>
                <w:b w:val="0"/>
                <w:bCs w:val="0"/>
                <w:color w:val="auto"/>
                <w:sz w:val="24"/>
                <w:szCs w:val="24"/>
                <w:highlight w:val="none"/>
              </w:rPr>
              <w:t>税率</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备注：不含税单价须保留至小数点后4位，不含税总价和含税总价须保留至小数点后2位，小数点后无数字时填写0。）</w:t>
            </w:r>
          </w:p>
        </w:tc>
      </w:tr>
    </w:tbl>
    <w:p>
      <w:pPr>
        <w:widowControl/>
        <w:snapToGrid w:val="0"/>
        <w:spacing w:before="100" w:beforeAutospacing="1" w:after="100" w:afterAutospacing="1" w:line="240" w:lineRule="atLeast"/>
        <w:ind w:firstLine="240" w:firstLineChars="100"/>
        <w:jc w:val="left"/>
        <w:textAlignment w:val="bottom"/>
        <w:rPr>
          <w:rFonts w:hint="default" w:ascii="方正仿宋_GBK" w:hAnsi="方正仿宋_GBK" w:eastAsia="方正仿宋_GBK" w:cs="方正仿宋_GBK"/>
          <w:color w:val="auto"/>
          <w:kern w:val="0"/>
          <w:sz w:val="24"/>
          <w:highlight w:val="none"/>
          <w:lang w:val="en-US" w:eastAsia="zh-CN"/>
        </w:rPr>
      </w:pPr>
      <w:r>
        <w:rPr>
          <w:rFonts w:hint="eastAsia" w:ascii="方正仿宋_GBK" w:hAnsi="方正仿宋_GBK" w:eastAsia="方正仿宋_GBK" w:cs="方正仿宋_GBK"/>
          <w:color w:val="auto"/>
          <w:kern w:val="0"/>
          <w:sz w:val="24"/>
          <w:highlight w:val="none"/>
        </w:rPr>
        <w:t xml:space="preserve">项目负责人确认：                          </w:t>
      </w:r>
      <w:r>
        <w:rPr>
          <w:rFonts w:hint="eastAsia" w:ascii="方正仿宋_GBK" w:hAnsi="方正仿宋_GBK" w:eastAsia="方正仿宋_GBK" w:cs="方正仿宋_GBK"/>
          <w:color w:val="auto"/>
          <w:kern w:val="0"/>
          <w:sz w:val="24"/>
          <w:highlight w:val="none"/>
          <w:lang w:val="en-US" w:eastAsia="zh-CN"/>
        </w:rPr>
        <w:t>服务单位负责人确认：</w:t>
      </w:r>
    </w:p>
    <w:p>
      <w:pPr>
        <w:widowControl/>
        <w:snapToGrid w:val="0"/>
        <w:spacing w:before="100" w:beforeAutospacing="1" w:after="100" w:afterAutospacing="1" w:line="240" w:lineRule="atLeast"/>
        <w:ind w:firstLine="5280" w:firstLineChars="2200"/>
        <w:jc w:val="left"/>
        <w:textAlignment w:val="bottom"/>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服务单位名称（盖章）：   </w:t>
      </w:r>
    </w:p>
    <w:p>
      <w:pPr>
        <w:widowControl/>
        <w:snapToGrid w:val="0"/>
        <w:spacing w:before="100" w:beforeAutospacing="1" w:after="100" w:afterAutospacing="1" w:line="240" w:lineRule="atLeast"/>
        <w:ind w:firstLine="5760" w:firstLineChars="2400"/>
        <w:jc w:val="left"/>
        <w:textAlignment w:val="bottom"/>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 xml:space="preserve">年  月  日  </w:t>
      </w:r>
    </w:p>
    <w:p>
      <w:pPr>
        <w:jc w:val="left"/>
        <w:rPr>
          <w:rFonts w:hint="eastAsia" w:ascii="方正仿宋_GBK" w:hAnsi="方正仿宋_GBK" w:eastAsia="方正仿宋_GBK" w:cs="方正仿宋_GBK"/>
          <w:color w:val="auto"/>
          <w:sz w:val="28"/>
          <w:szCs w:val="28"/>
          <w:highlight w:val="none"/>
        </w:rPr>
        <w:sectPr>
          <w:headerReference r:id="rId7" w:type="default"/>
          <w:footerReference r:id="rId8" w:type="default"/>
          <w:pgSz w:w="11906" w:h="16838"/>
          <w:pgMar w:top="1440" w:right="1134" w:bottom="1440" w:left="1134" w:header="851" w:footer="992" w:gutter="0"/>
          <w:pgNumType w:fmt="decimal"/>
          <w:cols w:space="720" w:num="1"/>
          <w:docGrid w:type="lines" w:linePitch="312" w:charSpace="0"/>
        </w:sectPr>
      </w:pPr>
    </w:p>
    <w:p>
      <w:pPr>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jc w:val="center"/>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服务质量检查评分表</w:t>
      </w:r>
    </w:p>
    <w:tbl>
      <w:tblPr>
        <w:tblStyle w:val="10"/>
        <w:tblpPr w:leftFromText="180" w:rightFromText="180" w:vertAnchor="text" w:horzAnchor="page" w:tblpX="878" w:tblpY="889"/>
        <w:tblOverlap w:val="never"/>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6"/>
        <w:gridCol w:w="1181"/>
        <w:gridCol w:w="3994"/>
        <w:gridCol w:w="1088"/>
        <w:gridCol w:w="1781"/>
        <w:gridCol w:w="806"/>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981"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Cs/>
                <w:color w:val="auto"/>
                <w:sz w:val="24"/>
                <w:szCs w:val="24"/>
                <w:highlight w:val="none"/>
              </w:rPr>
              <w:t>项目名称：</w:t>
            </w:r>
          </w:p>
        </w:tc>
        <w:tc>
          <w:tcPr>
            <w:tcW w:w="4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检查时间：  年  月  日-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序号</w:t>
            </w:r>
          </w:p>
        </w:tc>
        <w:tc>
          <w:tcPr>
            <w:tcW w:w="11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检查</w:t>
            </w:r>
            <w:r>
              <w:rPr>
                <w:rFonts w:hint="eastAsia" w:ascii="方正仿宋_GBK" w:hAnsi="方正仿宋_GBK" w:eastAsia="方正仿宋_GBK" w:cs="方正仿宋_GBK"/>
                <w:i w:val="0"/>
                <w:iCs w:val="0"/>
                <w:color w:val="auto"/>
                <w:kern w:val="0"/>
                <w:sz w:val="24"/>
                <w:szCs w:val="24"/>
                <w:highlight w:val="none"/>
                <w:u w:val="none"/>
                <w:lang w:val="en-US" w:eastAsia="zh-CN" w:bidi="ar"/>
              </w:rPr>
              <w:t>类别</w:t>
            </w:r>
          </w:p>
        </w:tc>
        <w:tc>
          <w:tcPr>
            <w:tcW w:w="39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检查</w:t>
            </w:r>
            <w:r>
              <w:rPr>
                <w:rFonts w:hint="default" w:ascii="方正仿宋_GBK" w:hAnsi="方正仿宋_GBK" w:eastAsia="方正仿宋_GBK" w:cs="方正仿宋_GBK"/>
                <w:i w:val="0"/>
                <w:iCs w:val="0"/>
                <w:color w:val="auto"/>
                <w:kern w:val="0"/>
                <w:sz w:val="24"/>
                <w:szCs w:val="24"/>
                <w:highlight w:val="none"/>
                <w:u w:val="none"/>
                <w:lang w:val="en-US" w:eastAsia="zh-CN" w:bidi="ar"/>
              </w:rPr>
              <w:t>标准</w:t>
            </w:r>
          </w:p>
        </w:tc>
        <w:tc>
          <w:tcPr>
            <w:tcW w:w="108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分值</w:t>
            </w:r>
          </w:p>
        </w:tc>
        <w:tc>
          <w:tcPr>
            <w:tcW w:w="17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扣分标准</w:t>
            </w:r>
          </w:p>
        </w:tc>
        <w:tc>
          <w:tcPr>
            <w:tcW w:w="8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扣分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2" w:hRule="atLeast"/>
        </w:trPr>
        <w:tc>
          <w:tcPr>
            <w:tcW w:w="80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w:t>
            </w:r>
          </w:p>
        </w:tc>
        <w:tc>
          <w:tcPr>
            <w:tcW w:w="11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通用类</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作业人员身体健康、工作服穿戴整齐、</w:t>
            </w:r>
            <w:r>
              <w:rPr>
                <w:rFonts w:hint="eastAsia" w:ascii="方正仿宋_GBK" w:hAnsi="方正仿宋_GBK" w:eastAsia="方正仿宋_GBK" w:cs="方正仿宋_GBK"/>
                <w:i w:val="0"/>
                <w:iCs w:val="0"/>
                <w:color w:val="auto"/>
                <w:kern w:val="0"/>
                <w:sz w:val="24"/>
                <w:szCs w:val="24"/>
                <w:highlight w:val="none"/>
                <w:u w:val="none"/>
                <w:lang w:val="en-US" w:eastAsia="zh-CN" w:bidi="ar"/>
              </w:rPr>
              <w:t>穿戴</w:t>
            </w:r>
            <w:r>
              <w:rPr>
                <w:rFonts w:hint="default" w:ascii="方正仿宋_GBK" w:hAnsi="方正仿宋_GBK" w:eastAsia="方正仿宋_GBK" w:cs="方正仿宋_GBK"/>
                <w:i w:val="0"/>
                <w:iCs w:val="0"/>
                <w:color w:val="auto"/>
                <w:kern w:val="0"/>
                <w:sz w:val="24"/>
                <w:szCs w:val="24"/>
                <w:highlight w:val="none"/>
                <w:u w:val="none"/>
                <w:lang w:val="en-US" w:eastAsia="zh-CN" w:bidi="ar"/>
              </w:rPr>
              <w:t>安全帽和安全绳等安全防护工具和具备专项职业能力证书</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严禁酒后作业。</w:t>
            </w:r>
          </w:p>
        </w:tc>
        <w:tc>
          <w:tcPr>
            <w:tcW w:w="108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80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w:t>
            </w:r>
          </w:p>
        </w:tc>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作业前，按照甲方要求办理相关作业手续</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准备作业材料和作业机具</w:t>
            </w:r>
            <w:r>
              <w:rPr>
                <w:rFonts w:hint="eastAsia" w:ascii="方正仿宋_GBK" w:hAnsi="方正仿宋_GBK" w:eastAsia="方正仿宋_GBK" w:cs="方正仿宋_GBK"/>
                <w:i w:val="0"/>
                <w:iCs w:val="0"/>
                <w:color w:val="auto"/>
                <w:kern w:val="0"/>
                <w:sz w:val="24"/>
                <w:szCs w:val="24"/>
                <w:highlight w:val="none"/>
                <w:u w:val="none"/>
                <w:lang w:val="en-US" w:eastAsia="zh-CN" w:bidi="ar"/>
              </w:rPr>
              <w:t>并</w:t>
            </w:r>
            <w:r>
              <w:rPr>
                <w:rFonts w:hint="default" w:ascii="方正仿宋_GBK" w:hAnsi="方正仿宋_GBK" w:eastAsia="方正仿宋_GBK" w:cs="方正仿宋_GBK"/>
                <w:i w:val="0"/>
                <w:iCs w:val="0"/>
                <w:color w:val="auto"/>
                <w:kern w:val="0"/>
                <w:sz w:val="24"/>
                <w:szCs w:val="24"/>
                <w:highlight w:val="none"/>
                <w:u w:val="none"/>
                <w:lang w:val="en-US" w:eastAsia="zh-CN" w:bidi="ar"/>
              </w:rPr>
              <w:t>放置指定位置</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08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0" w:hRule="atLeast"/>
        </w:trPr>
        <w:tc>
          <w:tcPr>
            <w:tcW w:w="80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w:t>
            </w:r>
          </w:p>
        </w:tc>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作业时，现场</w:t>
            </w:r>
            <w:r>
              <w:rPr>
                <w:rFonts w:hint="eastAsia" w:ascii="方正仿宋_GBK" w:hAnsi="方正仿宋_GBK" w:eastAsia="方正仿宋_GBK" w:cs="方正仿宋_GBK"/>
                <w:i w:val="0"/>
                <w:iCs w:val="0"/>
                <w:color w:val="auto"/>
                <w:kern w:val="0"/>
                <w:sz w:val="24"/>
                <w:szCs w:val="24"/>
                <w:highlight w:val="none"/>
                <w:u w:val="none"/>
                <w:lang w:val="en-US" w:eastAsia="zh-CN" w:bidi="ar"/>
              </w:rPr>
              <w:t>必须</w:t>
            </w:r>
            <w:r>
              <w:rPr>
                <w:rFonts w:hint="default" w:ascii="方正仿宋_GBK" w:hAnsi="方正仿宋_GBK" w:eastAsia="方正仿宋_GBK" w:cs="方正仿宋_GBK"/>
                <w:i w:val="0"/>
                <w:iCs w:val="0"/>
                <w:color w:val="auto"/>
                <w:kern w:val="0"/>
                <w:sz w:val="24"/>
                <w:szCs w:val="24"/>
                <w:highlight w:val="none"/>
                <w:u w:val="none"/>
                <w:lang w:val="en-US" w:eastAsia="zh-CN" w:bidi="ar"/>
              </w:rPr>
              <w:t>设置</w:t>
            </w:r>
            <w:r>
              <w:rPr>
                <w:rFonts w:hint="eastAsia" w:ascii="方正仿宋_GBK" w:hAnsi="方正仿宋_GBK" w:eastAsia="方正仿宋_GBK" w:cs="方正仿宋_GBK"/>
                <w:i w:val="0"/>
                <w:iCs w:val="0"/>
                <w:color w:val="auto"/>
                <w:kern w:val="0"/>
                <w:sz w:val="24"/>
                <w:szCs w:val="24"/>
                <w:highlight w:val="none"/>
                <w:u w:val="none"/>
                <w:lang w:val="en-US" w:eastAsia="zh-CN" w:bidi="ar"/>
              </w:rPr>
              <w:t>现场</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负责人，对全作业过程</w:t>
            </w:r>
            <w:r>
              <w:rPr>
                <w:rFonts w:hint="eastAsia" w:ascii="方正仿宋_GBK" w:hAnsi="方正仿宋_GBK" w:eastAsia="方正仿宋_GBK" w:cs="方正仿宋_GBK"/>
                <w:i w:val="0"/>
                <w:iCs w:val="0"/>
                <w:color w:val="auto"/>
                <w:kern w:val="0"/>
                <w:sz w:val="24"/>
                <w:szCs w:val="24"/>
                <w:highlight w:val="none"/>
                <w:u w:val="none"/>
                <w:lang w:val="en-US" w:eastAsia="zh-CN" w:bidi="ar"/>
              </w:rPr>
              <w:t>指挥并</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负责。现场负责人对作业人员进行安全技术交底，并严格执行交底书内容；</w:t>
            </w:r>
            <w:r>
              <w:rPr>
                <w:rFonts w:hint="eastAsia" w:ascii="方正仿宋_GBK" w:hAnsi="方正仿宋_GBK" w:eastAsia="方正仿宋_GBK" w:cs="方正仿宋_GBK"/>
                <w:i w:val="0"/>
                <w:iCs w:val="0"/>
                <w:color w:val="auto"/>
                <w:kern w:val="0"/>
                <w:sz w:val="24"/>
                <w:szCs w:val="24"/>
                <w:highlight w:val="none"/>
                <w:u w:val="none"/>
                <w:lang w:val="en-US" w:eastAsia="zh-CN" w:bidi="ar"/>
              </w:rPr>
              <w:t>作业</w:t>
            </w:r>
            <w:r>
              <w:rPr>
                <w:rFonts w:hint="default" w:ascii="方正仿宋_GBK" w:hAnsi="方正仿宋_GBK" w:eastAsia="方正仿宋_GBK" w:cs="方正仿宋_GBK"/>
                <w:i w:val="0"/>
                <w:iCs w:val="0"/>
                <w:color w:val="auto"/>
                <w:kern w:val="0"/>
                <w:sz w:val="24"/>
                <w:szCs w:val="24"/>
                <w:highlight w:val="none"/>
                <w:u w:val="none"/>
                <w:lang w:val="en-US" w:eastAsia="zh-CN" w:bidi="ar"/>
              </w:rPr>
              <w:t>现场设置有效安全防护和警示标识。</w:t>
            </w:r>
          </w:p>
        </w:tc>
        <w:tc>
          <w:tcPr>
            <w:tcW w:w="108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80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w:t>
            </w:r>
          </w:p>
        </w:tc>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作业后，及时恢复设备和清理现场，人员和机具的撤离符合甲方规定；确保现场无污水、杂物、垃圾等，不得影响甲方</w:t>
            </w:r>
            <w:r>
              <w:rPr>
                <w:rFonts w:hint="eastAsia" w:ascii="方正仿宋_GBK" w:hAnsi="方正仿宋_GBK" w:eastAsia="方正仿宋_GBK" w:cs="方正仿宋_GBK"/>
                <w:i w:val="0"/>
                <w:iCs w:val="0"/>
                <w:color w:val="auto"/>
                <w:kern w:val="0"/>
                <w:sz w:val="24"/>
                <w:szCs w:val="24"/>
                <w:highlight w:val="none"/>
                <w:u w:val="none"/>
                <w:lang w:val="en-US" w:eastAsia="zh-CN" w:bidi="ar"/>
              </w:rPr>
              <w:t>和轨道站方</w:t>
            </w:r>
            <w:r>
              <w:rPr>
                <w:rFonts w:hint="default" w:ascii="方正仿宋_GBK" w:hAnsi="方正仿宋_GBK" w:eastAsia="方正仿宋_GBK" w:cs="方正仿宋_GBK"/>
                <w:i w:val="0"/>
                <w:iCs w:val="0"/>
                <w:color w:val="auto"/>
                <w:kern w:val="0"/>
                <w:sz w:val="24"/>
                <w:szCs w:val="24"/>
                <w:highlight w:val="none"/>
                <w:u w:val="none"/>
                <w:lang w:val="en-US" w:eastAsia="zh-CN" w:bidi="ar"/>
              </w:rPr>
              <w:t>正常运营。</w:t>
            </w:r>
          </w:p>
        </w:tc>
        <w:tc>
          <w:tcPr>
            <w:tcW w:w="108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1" w:hRule="atLeast"/>
        </w:trPr>
        <w:tc>
          <w:tcPr>
            <w:tcW w:w="80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w:t>
            </w:r>
          </w:p>
        </w:tc>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有完整的作业方案和应急处置措施，不得出现工伤事故和、不得出现对甲方和轨道站方造成负面影响的事件，不得出现违章指挥、违章作业、违反劳动纪律的“三违”现象。</w:t>
            </w:r>
          </w:p>
        </w:tc>
        <w:tc>
          <w:tcPr>
            <w:tcW w:w="108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80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w:t>
            </w:r>
          </w:p>
        </w:tc>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各项作业记录完整，内容清晰</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每次作业须甲方人员签字确认。</w:t>
            </w:r>
          </w:p>
        </w:tc>
        <w:tc>
          <w:tcPr>
            <w:tcW w:w="1088"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80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w:t>
            </w:r>
          </w:p>
        </w:tc>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作业期间不得对甲方和站点轨行区任何设施设备造成损坏。</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80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w:t>
            </w:r>
          </w:p>
        </w:tc>
        <w:tc>
          <w:tcPr>
            <w:tcW w:w="1181"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及时完成甲方和轨道站方交办的工作任务和其它临时性工作，作业完成后的现场质量和效果符合甲方和轨道站方要求</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w:t>
            </w:r>
          </w:p>
        </w:tc>
        <w:tc>
          <w:tcPr>
            <w:tcW w:w="118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专业类</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i w:val="0"/>
                <w:iCs w:val="0"/>
                <w:color w:val="auto"/>
                <w:sz w:val="22"/>
                <w:szCs w:val="22"/>
                <w:highlight w:val="none"/>
                <w:u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轨行区清掏冲洗：工作完成后仍存在杂物、垃圾以及2厘米厚的淤泥或钙化物，车装袋垃圾按要求及时清运出轨行区</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i w:val="0"/>
                <w:iCs w:val="0"/>
                <w:color w:val="auto"/>
                <w:sz w:val="22"/>
                <w:szCs w:val="22"/>
                <w:highlight w:val="none"/>
                <w:u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外墙清洗：避免造成地面交通拥堵，并提前与交通管理部门进行协调，不得合同约定范围外区域二次污染。</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w:t>
            </w:r>
            <w:r>
              <w:rPr>
                <w:rFonts w:hint="default" w:ascii="方正仿宋_GBK" w:hAnsi="方正仿宋_GBK" w:eastAsia="方正仿宋_GBK" w:cs="方正仿宋_GBK"/>
                <w:i w:val="0"/>
                <w:iCs w:val="0"/>
                <w:color w:val="auto"/>
                <w:kern w:val="0"/>
                <w:sz w:val="24"/>
                <w:szCs w:val="24"/>
                <w:highlight w:val="none"/>
                <w:u w:val="none"/>
                <w:lang w:val="en-US" w:eastAsia="zh-CN" w:bidi="ar"/>
              </w:rPr>
              <w:t>清掏</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采用气体检测仪现场检测有毒气体、可燃气体浓度；严禁在池子周围吸烟和出现明火，在池内只能用手电照明，避免发生甲烷爆炸等事故。</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b/>
                <w:bCs/>
                <w:i w:val="0"/>
                <w:iCs w:val="0"/>
                <w:color w:val="auto"/>
                <w:sz w:val="24"/>
                <w:szCs w:val="24"/>
                <w:highlight w:val="none"/>
                <w:u w:val="none"/>
              </w:rPr>
            </w:pPr>
            <w:r>
              <w:rPr>
                <w:rFonts w:hint="default" w:ascii="方正仿宋_GBK" w:hAnsi="方正仿宋_GBK" w:eastAsia="方正仿宋_GBK" w:cs="方正仿宋_GBK"/>
                <w:b/>
                <w:bCs/>
                <w:i w:val="0"/>
                <w:iCs w:val="0"/>
                <w:color w:val="auto"/>
                <w:kern w:val="0"/>
                <w:sz w:val="24"/>
                <w:szCs w:val="24"/>
                <w:highlight w:val="none"/>
                <w:u w:val="none"/>
                <w:lang w:val="en-US" w:eastAsia="zh-CN" w:bidi="ar"/>
              </w:rPr>
              <w:t>合计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b/>
                <w:bCs/>
                <w:i w:val="0"/>
                <w:iCs w:val="0"/>
                <w:color w:val="auto"/>
                <w:sz w:val="24"/>
                <w:szCs w:val="24"/>
                <w:highlight w:val="none"/>
                <w:u w:val="none"/>
              </w:rPr>
            </w:pPr>
            <w:r>
              <w:rPr>
                <w:rFonts w:hint="default" w:ascii="方正仿宋_GBK" w:hAnsi="方正仿宋_GBK" w:eastAsia="方正仿宋_GBK" w:cs="方正仿宋_GBK"/>
                <w:b/>
                <w:bCs/>
                <w:i w:val="0"/>
                <w:iCs w:val="0"/>
                <w:color w:val="auto"/>
                <w:kern w:val="0"/>
                <w:sz w:val="24"/>
                <w:szCs w:val="24"/>
                <w:highlight w:val="none"/>
                <w:u w:val="none"/>
                <w:lang w:val="en-US" w:eastAsia="zh-CN" w:bidi="ar"/>
              </w:rPr>
              <w:t>100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7" w:hRule="atLeast"/>
        </w:trPr>
        <w:tc>
          <w:tcPr>
            <w:tcW w:w="105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备注</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此表由甲方负责考核，乙方作业完成后，由双方确认人签字确认。</w:t>
            </w:r>
          </w:p>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2、检查评定得分在95分及以上的，检查评定得分在95分及以上的，不扣除服务费。90-95分，每低1分扣除200元；低于90分的，每低1分，扣除当次服务费用的1%，以此类推。</w:t>
            </w:r>
          </w:p>
        </w:tc>
      </w:tr>
    </w:tbl>
    <w:p>
      <w:pPr>
        <w:spacing w:line="560" w:lineRule="exact"/>
        <w:rPr>
          <w:rFonts w:hint="eastAsia" w:ascii="方正仿宋_GBK" w:hAnsi="方正仿宋_GBK" w:eastAsia="方正仿宋_GBK" w:cs="方正仿宋_GBK"/>
          <w:bCs/>
          <w:color w:val="auto"/>
          <w:sz w:val="28"/>
          <w:szCs w:val="28"/>
          <w:highlight w:val="none"/>
        </w:rPr>
      </w:pPr>
    </w:p>
    <w:p>
      <w:pPr>
        <w:spacing w:line="560" w:lineRule="exact"/>
        <w:rPr>
          <w:rFonts w:hint="eastAsia" w:ascii="方正仿宋_GBK" w:hAnsi="方正仿宋_GBK" w:eastAsia="方正仿宋_GBK" w:cs="方正仿宋_GBK"/>
          <w:bCs/>
          <w:color w:val="auto"/>
          <w:sz w:val="28"/>
          <w:szCs w:val="28"/>
          <w:highlight w:val="none"/>
          <w:lang w:eastAsia="zh-CN"/>
        </w:rPr>
        <w:sectPr>
          <w:pgSz w:w="11906" w:h="16838"/>
          <w:pgMar w:top="1440" w:right="1134" w:bottom="1440" w:left="1134" w:header="851" w:footer="992" w:gutter="0"/>
          <w:pgNumType w:fmt="decimal"/>
          <w:cols w:space="720" w:num="1"/>
          <w:docGrid w:type="lines" w:linePitch="312" w:charSpace="0"/>
        </w:sectPr>
      </w:pPr>
      <w:r>
        <w:rPr>
          <w:rFonts w:hint="eastAsia" w:ascii="方正仿宋_GBK" w:hAnsi="方正仿宋_GBK" w:eastAsia="方正仿宋_GBK" w:cs="方正仿宋_GBK"/>
          <w:bCs/>
          <w:color w:val="auto"/>
          <w:sz w:val="28"/>
          <w:szCs w:val="28"/>
          <w:highlight w:val="none"/>
        </w:rPr>
        <w:t xml:space="preserve">甲方：             </w:t>
      </w:r>
      <w:r>
        <w:rPr>
          <w:rFonts w:hint="eastAsia" w:ascii="方正仿宋_GBK" w:hAnsi="方正仿宋_GBK" w:eastAsia="方正仿宋_GBK" w:cs="方正仿宋_GBK"/>
          <w:bCs/>
          <w:color w:val="auto"/>
          <w:sz w:val="28"/>
          <w:szCs w:val="28"/>
          <w:highlight w:val="none"/>
          <w:lang w:val="en-US" w:eastAsia="zh-CN"/>
        </w:rPr>
        <w:t xml:space="preserve">        </w:t>
      </w:r>
      <w:r>
        <w:rPr>
          <w:rFonts w:hint="eastAsia" w:ascii="方正仿宋_GBK" w:hAnsi="方正仿宋_GBK" w:eastAsia="方正仿宋_GBK" w:cs="方正仿宋_GBK"/>
          <w:bCs/>
          <w:color w:val="auto"/>
          <w:sz w:val="28"/>
          <w:szCs w:val="28"/>
          <w:highlight w:val="none"/>
        </w:rPr>
        <w:t xml:space="preserve">   </w:t>
      </w:r>
      <w:r>
        <w:rPr>
          <w:rFonts w:hint="eastAsia" w:ascii="方正仿宋_GBK" w:hAnsi="方正仿宋_GBK" w:eastAsia="方正仿宋_GBK" w:cs="方正仿宋_GBK"/>
          <w:bCs/>
          <w:color w:val="auto"/>
          <w:sz w:val="28"/>
          <w:szCs w:val="28"/>
          <w:highlight w:val="none"/>
          <w:lang w:val="en-US" w:eastAsia="zh-CN"/>
        </w:rPr>
        <w:t xml:space="preserve">          </w:t>
      </w:r>
      <w:r>
        <w:rPr>
          <w:rFonts w:hint="eastAsia" w:ascii="方正仿宋_GBK" w:hAnsi="方正仿宋_GBK" w:eastAsia="方正仿宋_GBK" w:cs="方正仿宋_GBK"/>
          <w:bCs/>
          <w:color w:val="auto"/>
          <w:sz w:val="28"/>
          <w:szCs w:val="28"/>
          <w:highlight w:val="none"/>
        </w:rPr>
        <w:t xml:space="preserve"> 乙方</w:t>
      </w:r>
      <w:r>
        <w:rPr>
          <w:rFonts w:hint="eastAsia" w:ascii="方正仿宋_GBK" w:hAnsi="方正仿宋_GBK" w:eastAsia="方正仿宋_GBK" w:cs="方正仿宋_GBK"/>
          <w:bCs/>
          <w:color w:val="auto"/>
          <w:sz w:val="28"/>
          <w:szCs w:val="28"/>
          <w:highlight w:val="none"/>
          <w:lang w:eastAsia="zh-CN"/>
        </w:rPr>
        <w:t>：</w:t>
      </w:r>
    </w:p>
    <w:p>
      <w:pPr>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jc w:val="center"/>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服务质量检查</w:t>
      </w:r>
      <w:r>
        <w:rPr>
          <w:rFonts w:hint="eastAsia" w:ascii="方正仿宋_GBK" w:hAnsi="方正仿宋_GBK" w:eastAsia="方正仿宋_GBK" w:cs="方正仿宋_GBK"/>
          <w:b/>
          <w:bCs/>
          <w:color w:val="auto"/>
          <w:sz w:val="28"/>
          <w:szCs w:val="28"/>
          <w:highlight w:val="none"/>
          <w:lang w:val="en-US" w:eastAsia="zh-CN"/>
        </w:rPr>
        <w:t>考核</w:t>
      </w:r>
      <w:r>
        <w:rPr>
          <w:rFonts w:hint="eastAsia" w:ascii="方正仿宋_GBK" w:hAnsi="方正仿宋_GBK" w:eastAsia="方正仿宋_GBK" w:cs="方正仿宋_GBK"/>
          <w:b/>
          <w:bCs/>
          <w:color w:val="auto"/>
          <w:sz w:val="28"/>
          <w:szCs w:val="28"/>
          <w:highlight w:val="none"/>
        </w:rPr>
        <w:t>表</w:t>
      </w:r>
    </w:p>
    <w:p>
      <w:pPr>
        <w:jc w:val="left"/>
        <w:rPr>
          <w:rFonts w:hint="eastAsia" w:ascii="方正仿宋_GBK" w:hAnsi="方正仿宋_GBK" w:eastAsia="方正仿宋_GBK" w:cs="方正仿宋_GBK"/>
          <w:color w:val="auto"/>
          <w:sz w:val="28"/>
          <w:szCs w:val="28"/>
          <w:highlight w:val="none"/>
        </w:rPr>
      </w:pPr>
    </w:p>
    <w:tbl>
      <w:tblPr>
        <w:tblStyle w:val="10"/>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571"/>
        <w:gridCol w:w="3237"/>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789"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rPr>
              <w:t>项目名称：</w:t>
            </w:r>
          </w:p>
        </w:tc>
        <w:tc>
          <w:tcPr>
            <w:tcW w:w="4406"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检查时间：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检查</w:t>
            </w:r>
            <w:r>
              <w:rPr>
                <w:rFonts w:hint="eastAsia" w:ascii="方正仿宋_GBK" w:hAnsi="方正仿宋_GBK" w:eastAsia="方正仿宋_GBK" w:cs="方正仿宋_GBK"/>
                <w:color w:val="auto"/>
                <w:sz w:val="24"/>
                <w:szCs w:val="24"/>
                <w:highlight w:val="none"/>
                <w:lang w:val="en-US" w:eastAsia="zh-CN"/>
              </w:rPr>
              <w:t>类别</w:t>
            </w:r>
          </w:p>
        </w:tc>
        <w:tc>
          <w:tcPr>
            <w:tcW w:w="457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lang w:val="en-US" w:eastAsia="zh-CN"/>
              </w:rPr>
              <w:t>考核内容</w:t>
            </w:r>
          </w:p>
        </w:tc>
        <w:tc>
          <w:tcPr>
            <w:tcW w:w="323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考核</w:t>
            </w:r>
            <w:r>
              <w:rPr>
                <w:rFonts w:hint="eastAsia" w:ascii="方正仿宋_GBK" w:hAnsi="方正仿宋_GBK" w:eastAsia="方正仿宋_GBK" w:cs="方正仿宋_GBK"/>
                <w:color w:val="auto"/>
                <w:sz w:val="24"/>
                <w:szCs w:val="24"/>
                <w:highlight w:val="none"/>
                <w:lang w:val="en-US" w:eastAsia="zh-CN"/>
              </w:rPr>
              <w:t>标准</w:t>
            </w:r>
          </w:p>
        </w:tc>
        <w:tc>
          <w:tcPr>
            <w:tcW w:w="116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考核金额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通用类</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lang w:val="en-US" w:eastAsia="zh-CN"/>
              </w:rPr>
              <w:t>作业人员精神饱满、着装整齐，穿戴安全绳、安全帽等安全防护措施</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作业人员需持证上岗，不得饮酒上岗</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cs="方正仿宋_GBK" w:eastAsiaTheme="minorEastAsia"/>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作业人员不得以任何理由和他人发生侮辱、谩骂、诽谤、造谣中伤、恐吓、威胁、吵架、打架等事件；不得在工作区域内拍照、摄像及在网络媒体上发布与甲方和轨道站方相关的帖子</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200-500元；情节严重，甲方有权终止服务合同，并保留追究法律责任的权利</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作业前，</w:t>
            </w:r>
            <w:r>
              <w:rPr>
                <w:rFonts w:hint="default" w:ascii="方正仿宋_GBK" w:hAnsi="方正仿宋_GBK" w:eastAsia="方正仿宋_GBK" w:cs="方正仿宋_GBK"/>
                <w:i w:val="0"/>
                <w:iCs w:val="0"/>
                <w:color w:val="auto"/>
                <w:kern w:val="0"/>
                <w:sz w:val="24"/>
                <w:szCs w:val="24"/>
                <w:highlight w:val="none"/>
                <w:u w:val="none"/>
                <w:lang w:val="en-US" w:eastAsia="zh-CN" w:bidi="ar"/>
              </w:rPr>
              <w:t>按照甲方要求办理相关作业手续</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准备作业材料和作业机具</w:t>
            </w:r>
            <w:r>
              <w:rPr>
                <w:rFonts w:hint="eastAsia" w:ascii="方正仿宋_GBK" w:hAnsi="方正仿宋_GBK" w:eastAsia="方正仿宋_GBK" w:cs="方正仿宋_GBK"/>
                <w:i w:val="0"/>
                <w:iCs w:val="0"/>
                <w:color w:val="auto"/>
                <w:kern w:val="0"/>
                <w:sz w:val="24"/>
                <w:szCs w:val="24"/>
                <w:highlight w:val="none"/>
                <w:u w:val="none"/>
                <w:lang w:val="en-US" w:eastAsia="zh-CN" w:bidi="ar"/>
              </w:rPr>
              <w:t>并</w:t>
            </w:r>
            <w:r>
              <w:rPr>
                <w:rFonts w:hint="default" w:ascii="方正仿宋_GBK" w:hAnsi="方正仿宋_GBK" w:eastAsia="方正仿宋_GBK" w:cs="方正仿宋_GBK"/>
                <w:i w:val="0"/>
                <w:iCs w:val="0"/>
                <w:color w:val="auto"/>
                <w:kern w:val="0"/>
                <w:sz w:val="24"/>
                <w:szCs w:val="24"/>
                <w:highlight w:val="none"/>
                <w:u w:val="none"/>
                <w:lang w:val="en-US" w:eastAsia="zh-CN" w:bidi="ar"/>
              </w:rPr>
              <w:t>放置指定位置</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，不得随意摆放</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作业时，现场</w:t>
            </w:r>
            <w:r>
              <w:rPr>
                <w:rFonts w:hint="eastAsia" w:ascii="方正仿宋_GBK" w:hAnsi="方正仿宋_GBK" w:eastAsia="方正仿宋_GBK" w:cs="方正仿宋_GBK"/>
                <w:i w:val="0"/>
                <w:iCs w:val="0"/>
                <w:color w:val="auto"/>
                <w:kern w:val="0"/>
                <w:sz w:val="24"/>
                <w:szCs w:val="24"/>
                <w:highlight w:val="none"/>
                <w:u w:val="none"/>
                <w:lang w:val="en-US" w:eastAsia="zh-CN" w:bidi="ar"/>
              </w:rPr>
              <w:t>必须</w:t>
            </w:r>
            <w:r>
              <w:rPr>
                <w:rFonts w:hint="default" w:ascii="方正仿宋_GBK" w:hAnsi="方正仿宋_GBK" w:eastAsia="方正仿宋_GBK" w:cs="方正仿宋_GBK"/>
                <w:i w:val="0"/>
                <w:iCs w:val="0"/>
                <w:color w:val="auto"/>
                <w:kern w:val="0"/>
                <w:sz w:val="24"/>
                <w:szCs w:val="24"/>
                <w:highlight w:val="none"/>
                <w:u w:val="none"/>
                <w:lang w:val="en-US" w:eastAsia="zh-CN" w:bidi="ar"/>
              </w:rPr>
              <w:t>设置</w:t>
            </w:r>
            <w:r>
              <w:rPr>
                <w:rFonts w:hint="eastAsia" w:ascii="方正仿宋_GBK" w:hAnsi="方正仿宋_GBK" w:eastAsia="方正仿宋_GBK" w:cs="方正仿宋_GBK"/>
                <w:i w:val="0"/>
                <w:iCs w:val="0"/>
                <w:color w:val="auto"/>
                <w:kern w:val="0"/>
                <w:sz w:val="24"/>
                <w:szCs w:val="24"/>
                <w:highlight w:val="none"/>
                <w:u w:val="none"/>
                <w:lang w:val="en-US" w:eastAsia="zh-CN" w:bidi="ar"/>
              </w:rPr>
              <w:t>现场</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负责人，对全作业过程</w:t>
            </w:r>
            <w:r>
              <w:rPr>
                <w:rFonts w:hint="eastAsia" w:ascii="方正仿宋_GBK" w:hAnsi="方正仿宋_GBK" w:eastAsia="方正仿宋_GBK" w:cs="方正仿宋_GBK"/>
                <w:i w:val="0"/>
                <w:iCs w:val="0"/>
                <w:color w:val="auto"/>
                <w:kern w:val="0"/>
                <w:sz w:val="24"/>
                <w:szCs w:val="24"/>
                <w:highlight w:val="none"/>
                <w:u w:val="none"/>
                <w:lang w:val="en-US" w:eastAsia="zh-CN" w:bidi="ar"/>
              </w:rPr>
              <w:t>指挥并</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，不得对甲方和站点轨行区任何设施设备造成损坏</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200元，造成设备损坏的原价赔偿</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作业完成后，及</w:t>
            </w:r>
            <w:r>
              <w:rPr>
                <w:rFonts w:hint="default" w:ascii="方正仿宋_GBK" w:hAnsi="方正仿宋_GBK" w:eastAsia="方正仿宋_GBK" w:cs="方正仿宋_GBK"/>
                <w:i w:val="0"/>
                <w:iCs w:val="0"/>
                <w:color w:val="auto"/>
                <w:kern w:val="0"/>
                <w:sz w:val="24"/>
                <w:szCs w:val="24"/>
                <w:highlight w:val="none"/>
                <w:u w:val="none"/>
                <w:lang w:val="en-US" w:eastAsia="zh-CN" w:bidi="ar"/>
              </w:rPr>
              <w:t>时恢复设备和清理现场，人员和机具的撤离符合甲方规定；确保现场无污水、杂物、垃圾等</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，不得对现场造成二次污染</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color w:val="auto"/>
                <w:sz w:val="24"/>
                <w:szCs w:val="24"/>
                <w:highlight w:val="none"/>
                <w:lang w:val="en-US" w:eastAsia="zh-CN"/>
              </w:rPr>
              <w:t>及时</w:t>
            </w:r>
            <w:r>
              <w:rPr>
                <w:rFonts w:hint="eastAsia" w:ascii="方正仿宋_GBK" w:hAnsi="方正仿宋_GBK" w:eastAsia="方正仿宋_GBK" w:cs="方正仿宋_GBK"/>
                <w:color w:val="auto"/>
                <w:sz w:val="24"/>
                <w:szCs w:val="24"/>
                <w:highlight w:val="none"/>
                <w:lang w:val="en-US" w:eastAsia="zh-CN"/>
              </w:rPr>
              <w:t>响应并完成</w:t>
            </w:r>
            <w:r>
              <w:rPr>
                <w:rFonts w:hint="default" w:ascii="方正仿宋_GBK" w:hAnsi="方正仿宋_GBK" w:eastAsia="方正仿宋_GBK" w:cs="方正仿宋_GBK"/>
                <w:color w:val="auto"/>
                <w:sz w:val="24"/>
                <w:szCs w:val="24"/>
                <w:highlight w:val="none"/>
                <w:lang w:val="en-US" w:eastAsia="zh-CN"/>
              </w:rPr>
              <w:t>甲方和轨道方交办的工作任务和其它临时性工作</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专业类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轨行区清掏冲洗：根据清掏、清洗作业现场实际情况配置人员、工具、设备、物资</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轨行区清掏冲洗：未经现场工作人员同意，不得擅自操作使用轨行区设施、设备</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轨行区清掏冲洗：排水设施清掏工作完成后仍不存在杂物、垃圾以及2cm厚的淤泥或钙化物；轨行区可见垃圾、装袋垃圾未按要求及时清运出轨行区</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外墙清</w:t>
            </w:r>
            <w:r>
              <w:rPr>
                <w:rFonts w:hint="eastAsia" w:ascii="方正仿宋_GBK" w:hAnsi="方正仿宋_GBK" w:eastAsia="方正仿宋_GBK" w:cs="方正仿宋_GBK"/>
                <w:i w:val="0"/>
                <w:iCs w:val="0"/>
                <w:color w:val="auto"/>
                <w:kern w:val="0"/>
                <w:sz w:val="24"/>
                <w:szCs w:val="24"/>
                <w:highlight w:val="none"/>
                <w:u w:val="none"/>
                <w:lang w:val="en-US" w:eastAsia="zh-CN" w:bidi="ar"/>
              </w:rPr>
              <w:t>洗：避免造成地面交通拥堵，并提前进行协调</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外墙清洗：更换外墙清洗负责人应征得甲方同意，以确保清洗负责人的工作水平维持在同一标准</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外墙清洗：不得对造成的合同约定范围外区域二次污染</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200元，并自行清理</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沟渠池清掏：清掏前必须</w:t>
            </w:r>
            <w:r>
              <w:rPr>
                <w:rFonts w:hint="default" w:ascii="方正仿宋_GBK" w:hAnsi="方正仿宋_GBK" w:eastAsia="方正仿宋_GBK" w:cs="方正仿宋_GBK"/>
                <w:i w:val="0"/>
                <w:iCs w:val="0"/>
                <w:color w:val="auto"/>
                <w:kern w:val="0"/>
                <w:sz w:val="24"/>
                <w:szCs w:val="24"/>
                <w:highlight w:val="none"/>
                <w:u w:val="none"/>
                <w:lang w:val="en-US" w:eastAsia="zh-CN" w:bidi="ar"/>
              </w:rPr>
              <w:t>采用气体检测仪现场检测有毒气体、可燃气体浓度</w:t>
            </w:r>
            <w:r>
              <w:rPr>
                <w:rFonts w:hint="eastAsia" w:ascii="方正仿宋_GBK" w:hAnsi="方正仿宋_GBK" w:eastAsia="方正仿宋_GBK" w:cs="方正仿宋_GBK"/>
                <w:i w:val="0"/>
                <w:iCs w:val="0"/>
                <w:color w:val="auto"/>
                <w:kern w:val="0"/>
                <w:sz w:val="24"/>
                <w:szCs w:val="24"/>
                <w:highlight w:val="none"/>
                <w:u w:val="none"/>
                <w:lang w:val="en-US" w:eastAsia="zh-CN" w:bidi="ar"/>
              </w:rPr>
              <w:t>，合格后开展清掏工作</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沟渠池清掏：作业人员不得在清掏过程前中后抽烟不得出现明火，进入沟渠池清掏采用手电筒照明并做好防毒安全措施</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沟渠池清掏：清掏结束后，不得出现污水溢出的情况，抽排后生化池内应无污水、杂物、粪渣存在，不得影响正常运营，及时将抽取物的外运弃倒和盖板复原</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bl>
    <w:p>
      <w:pPr>
        <w:spacing w:line="560" w:lineRule="exact"/>
        <w:ind w:firstLine="1820" w:firstLineChars="650"/>
        <w:rPr>
          <w:rFonts w:hint="eastAsia" w:ascii="方正仿宋_GBK" w:hAnsi="方正仿宋_GBK" w:eastAsia="方正仿宋_GBK" w:cs="方正仿宋_GBK"/>
          <w:bCs/>
          <w:color w:val="auto"/>
          <w:sz w:val="28"/>
          <w:szCs w:val="28"/>
          <w:highlight w:val="none"/>
          <w:lang w:eastAsia="zh-CN"/>
        </w:rPr>
        <w:sectPr>
          <w:pgSz w:w="11906" w:h="16838"/>
          <w:pgMar w:top="1440" w:right="1134" w:bottom="1440" w:left="1134" w:header="851" w:footer="992" w:gutter="0"/>
          <w:pgNumType w:fmt="decimal"/>
          <w:cols w:space="720" w:num="1"/>
          <w:docGrid w:type="lines" w:linePitch="312" w:charSpace="0"/>
        </w:sectPr>
      </w:pPr>
      <w:r>
        <w:rPr>
          <w:rFonts w:hint="eastAsia" w:ascii="方正仿宋_GBK" w:hAnsi="方正仿宋_GBK" w:eastAsia="方正仿宋_GBK" w:cs="方正仿宋_GBK"/>
          <w:bCs/>
          <w:color w:val="auto"/>
          <w:sz w:val="28"/>
          <w:szCs w:val="28"/>
          <w:highlight w:val="none"/>
        </w:rPr>
        <w:t xml:space="preserve">甲方：             </w:t>
      </w:r>
      <w:r>
        <w:rPr>
          <w:rFonts w:hint="eastAsia" w:ascii="方正仿宋_GBK" w:hAnsi="方正仿宋_GBK" w:eastAsia="方正仿宋_GBK" w:cs="方正仿宋_GBK"/>
          <w:bCs/>
          <w:color w:val="auto"/>
          <w:sz w:val="28"/>
          <w:szCs w:val="28"/>
          <w:highlight w:val="none"/>
          <w:lang w:val="en-US" w:eastAsia="zh-CN"/>
        </w:rPr>
        <w:t xml:space="preserve">        </w:t>
      </w:r>
      <w:r>
        <w:rPr>
          <w:rFonts w:hint="eastAsia" w:ascii="方正仿宋_GBK" w:hAnsi="方正仿宋_GBK" w:eastAsia="方正仿宋_GBK" w:cs="方正仿宋_GBK"/>
          <w:bCs/>
          <w:color w:val="auto"/>
          <w:sz w:val="28"/>
          <w:szCs w:val="28"/>
          <w:highlight w:val="none"/>
        </w:rPr>
        <w:t xml:space="preserve">    乙方</w:t>
      </w:r>
      <w:r>
        <w:rPr>
          <w:rFonts w:hint="eastAsia" w:ascii="方正仿宋_GBK" w:hAnsi="方正仿宋_GBK" w:eastAsia="方正仿宋_GBK" w:cs="方正仿宋_GBK"/>
          <w:bCs/>
          <w:color w:val="auto"/>
          <w:sz w:val="28"/>
          <w:szCs w:val="28"/>
          <w:highlight w:val="none"/>
          <w:lang w:eastAsia="zh-CN"/>
        </w:rPr>
        <w:t>：</w:t>
      </w:r>
    </w:p>
    <w:p>
      <w:pPr>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spacing w:line="600" w:lineRule="exact"/>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疫情防控承诺书</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兹有我司</w:t>
      </w:r>
      <w:r>
        <w:rPr>
          <w:rFonts w:hint="eastAsia" w:ascii="方正仿宋_GBK" w:hAnsi="方正仿宋_GBK" w:eastAsia="方正仿宋_GBK" w:cs="方正仿宋_GBK"/>
          <w:color w:val="auto"/>
          <w:sz w:val="28"/>
          <w:szCs w:val="28"/>
          <w:highlight w:val="none"/>
          <w:lang w:val="en-US" w:eastAsia="zh-CN"/>
        </w:rPr>
        <w:t>员工</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×××(姓名) </w:t>
      </w:r>
      <w:r>
        <w:rPr>
          <w:rFonts w:hint="eastAsia" w:ascii="方正仿宋_GBK" w:hAnsi="方正仿宋_GBK" w:eastAsia="方正仿宋_GBK" w:cs="方正仿宋_GBK"/>
          <w:color w:val="auto"/>
          <w:sz w:val="28"/>
          <w:szCs w:val="28"/>
          <w:highlight w:val="none"/>
        </w:rPr>
        <w:t>500</w:t>
      </w:r>
      <w:r>
        <w:rPr>
          <w:rFonts w:hint="eastAsia" w:ascii="方正仿宋_GBK" w:hAnsi="方正仿宋_GBK" w:eastAsia="方正仿宋_GBK" w:cs="方正仿宋_GBK"/>
          <w:color w:val="auto"/>
          <w:sz w:val="28"/>
          <w:szCs w:val="28"/>
          <w:highlight w:val="none"/>
          <w:lang w:val="en-US" w:eastAsia="zh-CN"/>
        </w:rPr>
        <w:t xml:space="preserve">×××××××××××××××(身份证) </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×××(姓名) </w:t>
      </w:r>
      <w:r>
        <w:rPr>
          <w:rFonts w:hint="eastAsia" w:ascii="方正仿宋_GBK" w:hAnsi="方正仿宋_GBK" w:eastAsia="方正仿宋_GBK" w:cs="方正仿宋_GBK"/>
          <w:color w:val="auto"/>
          <w:sz w:val="28"/>
          <w:szCs w:val="28"/>
          <w:highlight w:val="none"/>
        </w:rPr>
        <w:t>500</w:t>
      </w:r>
      <w:r>
        <w:rPr>
          <w:rFonts w:hint="eastAsia" w:ascii="方正仿宋_GBK" w:hAnsi="方正仿宋_GBK" w:eastAsia="方正仿宋_GBK" w:cs="方正仿宋_GBK"/>
          <w:color w:val="auto"/>
          <w:sz w:val="28"/>
          <w:szCs w:val="28"/>
          <w:highlight w:val="none"/>
          <w:lang w:val="en-US" w:eastAsia="zh-CN"/>
        </w:rPr>
        <w:t>×××××××××××××××(身份证)</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于</w:t>
      </w:r>
      <w:r>
        <w:rPr>
          <w:rFonts w:hint="eastAsia" w:ascii="方正仿宋_GBK" w:hAnsi="方正仿宋_GBK" w:eastAsia="方正仿宋_GBK" w:cs="方正仿宋_GBK"/>
          <w:color w:val="auto"/>
          <w:sz w:val="28"/>
          <w:szCs w:val="28"/>
          <w:highlight w:val="none"/>
        </w:rPr>
        <w:t>2022年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日至2023年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日需在贵单位</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号线辖区内进行</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作业，上述员工在返岗复工前14天内，未与疑似、确诊为新冠肺炎人员直接或间接接触，在这期间未发生发热、咳嗽等新冠病毒感染症状;或有发热、咳嗽等新冠病毒感染症状，但经医学机构证明为非新冠病毒感染。如因我司员工隐瞒不报，导致出现疫情或造成疫情扩散的，我司将承担有关民事和刑事责任。</w:t>
      </w:r>
    </w:p>
    <w:p>
      <w:pPr>
        <w:pStyle w:val="2"/>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spacing w:line="600" w:lineRule="exact"/>
        <w:ind w:firstLine="6300" w:firstLineChars="225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承诺公司：</w:t>
      </w:r>
    </w:p>
    <w:p>
      <w:pPr>
        <w:spacing w:line="60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2022年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日</w:t>
      </w:r>
    </w:p>
    <w:p>
      <w:pPr>
        <w:jc w:val="center"/>
        <w:rPr>
          <w:rFonts w:hint="eastAsia" w:ascii="方正仿宋_GBK" w:hAnsi="方正仿宋_GBK" w:eastAsia="方正仿宋_GBK" w:cs="方正仿宋_GBK"/>
          <w:b/>
          <w:bCs/>
          <w:color w:val="auto"/>
          <w:sz w:val="28"/>
          <w:szCs w:val="28"/>
          <w:highlight w:val="none"/>
        </w:rPr>
      </w:pPr>
    </w:p>
    <w:p>
      <w:pPr>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疫情期间外单位进场人员登记表</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测量人：                                确认人： </w:t>
      </w:r>
    </w:p>
    <w:tbl>
      <w:tblPr>
        <w:tblStyle w:val="10"/>
        <w:tblpPr w:leftFromText="180" w:rightFromText="180" w:vertAnchor="text" w:horzAnchor="margin" w:tblpXSpec="center" w:tblpY="325"/>
        <w:tblW w:w="8697" w:type="dxa"/>
        <w:jc w:val="center"/>
        <w:tblLayout w:type="fixed"/>
        <w:tblCellMar>
          <w:top w:w="0" w:type="dxa"/>
          <w:left w:w="108" w:type="dxa"/>
          <w:bottom w:w="0" w:type="dxa"/>
          <w:right w:w="108" w:type="dxa"/>
        </w:tblCellMar>
      </w:tblPr>
      <w:tblGrid>
        <w:gridCol w:w="817"/>
        <w:gridCol w:w="1183"/>
        <w:gridCol w:w="3260"/>
        <w:gridCol w:w="940"/>
        <w:gridCol w:w="1107"/>
        <w:gridCol w:w="1390"/>
      </w:tblGrid>
      <w:tr>
        <w:tblPrEx>
          <w:tblCellMar>
            <w:top w:w="0" w:type="dxa"/>
            <w:left w:w="108" w:type="dxa"/>
            <w:bottom w:w="0" w:type="dxa"/>
            <w:right w:w="108" w:type="dxa"/>
          </w:tblCellMar>
        </w:tblPrEx>
        <w:trPr>
          <w:trHeight w:val="1416" w:hRule="atLeast"/>
          <w:jc w:val="center"/>
        </w:trPr>
        <w:tc>
          <w:tcPr>
            <w:tcW w:w="8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c>
        <w:tc>
          <w:tcPr>
            <w:tcW w:w="4443" w:type="dxa"/>
            <w:gridSpan w:val="2"/>
            <w:tcBorders>
              <w:top w:val="single" w:color="000000" w:sz="8" w:space="0"/>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重庆轨道交通</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号线</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作业项目</w:t>
            </w:r>
          </w:p>
        </w:tc>
        <w:tc>
          <w:tcPr>
            <w:tcW w:w="940"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作业时间</w:t>
            </w:r>
          </w:p>
        </w:tc>
        <w:tc>
          <w:tcPr>
            <w:tcW w:w="2497" w:type="dxa"/>
            <w:gridSpan w:val="2"/>
            <w:tcBorders>
              <w:top w:val="single" w:color="000000" w:sz="8" w:space="0"/>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2022年×月×日至2023年×月×日</w:t>
            </w:r>
          </w:p>
        </w:tc>
      </w:tr>
      <w:tr>
        <w:tblPrEx>
          <w:tblCellMar>
            <w:top w:w="0" w:type="dxa"/>
            <w:left w:w="108" w:type="dxa"/>
            <w:bottom w:w="0" w:type="dxa"/>
            <w:right w:w="108" w:type="dxa"/>
          </w:tblCellMar>
        </w:tblPrEx>
        <w:trPr>
          <w:trHeight w:val="101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作业地点</w:t>
            </w:r>
          </w:p>
        </w:tc>
        <w:tc>
          <w:tcPr>
            <w:tcW w:w="4443" w:type="dxa"/>
            <w:gridSpan w:val="2"/>
            <w:tcBorders>
              <w:top w:val="nil"/>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号线</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作业人数</w:t>
            </w:r>
          </w:p>
        </w:tc>
        <w:tc>
          <w:tcPr>
            <w:tcW w:w="2497" w:type="dxa"/>
            <w:gridSpan w:val="2"/>
            <w:tcBorders>
              <w:top w:val="nil"/>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人</w:t>
            </w:r>
          </w:p>
        </w:tc>
      </w:tr>
      <w:tr>
        <w:tblPrEx>
          <w:tblCellMar>
            <w:top w:w="0" w:type="dxa"/>
            <w:left w:w="108" w:type="dxa"/>
            <w:bottom w:w="0" w:type="dxa"/>
            <w:right w:w="108" w:type="dxa"/>
          </w:tblCellMar>
        </w:tblPrEx>
        <w:trPr>
          <w:trHeight w:val="149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序号</w:t>
            </w: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名字</w:t>
            </w: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身份证号码</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体温</w:t>
            </w: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渝康码正常情况</w:t>
            </w: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bl>
    <w:p>
      <w:pPr>
        <w:rPr>
          <w:color w:val="auto"/>
          <w:highlight w:val="none"/>
        </w:rPr>
      </w:pPr>
    </w:p>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附件6 </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作业清单</w:t>
      </w:r>
    </w:p>
    <w:p>
      <w:pPr>
        <w:tabs>
          <w:tab w:val="left" w:pos="312"/>
          <w:tab w:val="left" w:pos="1985"/>
        </w:tabs>
        <w:ind w:firstLine="0" w:firstLineChars="0"/>
        <w:jc w:val="left"/>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1、轨行区清洁</w:t>
      </w:r>
    </w:p>
    <w:tbl>
      <w:tblPr>
        <w:tblStyle w:val="10"/>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2810"/>
        <w:gridCol w:w="1885"/>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42" w:type="dxa"/>
            <w:vMerge w:val="restart"/>
            <w:vAlign w:val="center"/>
          </w:tcPr>
          <w:p>
            <w:pPr>
              <w:widowControl/>
              <w:ind w:firstLine="0" w:firstLineChars="0"/>
              <w:jc w:val="center"/>
              <w:textAlignment w:val="center"/>
              <w:rPr>
                <w:color w:val="auto"/>
                <w:kern w:val="0"/>
                <w:szCs w:val="21"/>
                <w:highlight w:val="none"/>
              </w:rPr>
            </w:pPr>
            <w:r>
              <w:rPr>
                <w:color w:val="auto"/>
                <w:kern w:val="0"/>
                <w:szCs w:val="21"/>
                <w:highlight w:val="none"/>
              </w:rPr>
              <w:t>轨行区清洁</w:t>
            </w:r>
          </w:p>
        </w:tc>
        <w:tc>
          <w:tcPr>
            <w:tcW w:w="281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b/>
                <w:bCs/>
                <w:color w:val="auto"/>
                <w:kern w:val="0"/>
                <w:szCs w:val="21"/>
                <w:highlight w:val="none"/>
              </w:rPr>
            </w:pPr>
            <w:r>
              <w:rPr>
                <w:b/>
                <w:bCs/>
                <w:color w:val="auto"/>
                <w:kern w:val="0"/>
                <w:szCs w:val="21"/>
                <w:highlight w:val="none"/>
              </w:rPr>
              <w:t>项目</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b/>
                <w:bCs/>
                <w:color w:val="auto"/>
                <w:kern w:val="0"/>
                <w:szCs w:val="21"/>
                <w:highlight w:val="none"/>
              </w:rPr>
            </w:pPr>
            <w:r>
              <w:rPr>
                <w:b/>
                <w:bCs/>
                <w:color w:val="auto"/>
                <w:kern w:val="0"/>
                <w:szCs w:val="21"/>
                <w:highlight w:val="none"/>
              </w:rPr>
              <w:t>数量</w:t>
            </w:r>
            <w:r>
              <w:rPr>
                <w:rFonts w:hint="eastAsia" w:ascii="宋体" w:hAnsi="宋体" w:cs="宋体"/>
                <w:b/>
                <w:bCs/>
                <w:color w:val="auto"/>
                <w:kern w:val="0"/>
                <w:szCs w:val="21"/>
                <w:highlight w:val="none"/>
                <w:lang w:eastAsia="zh-CN"/>
              </w:rPr>
              <w:t>（暂定）</w:t>
            </w:r>
          </w:p>
        </w:tc>
        <w:tc>
          <w:tcPr>
            <w:tcW w:w="20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b/>
                <w:bCs/>
                <w:color w:val="auto"/>
                <w:kern w:val="0"/>
                <w:szCs w:val="21"/>
                <w:highlight w:val="none"/>
              </w:rPr>
            </w:pPr>
            <w:r>
              <w:rPr>
                <w:b/>
                <w:bCs/>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42" w:type="dxa"/>
            <w:vMerge w:val="continue"/>
            <w:vAlign w:val="center"/>
          </w:tcPr>
          <w:p>
            <w:pPr>
              <w:widowControl/>
              <w:ind w:firstLine="0" w:firstLineChars="0"/>
              <w:rPr>
                <w:color w:val="auto"/>
                <w:kern w:val="0"/>
                <w:szCs w:val="21"/>
                <w:highlight w:val="none"/>
              </w:rPr>
            </w:pPr>
          </w:p>
        </w:tc>
        <w:tc>
          <w:tcPr>
            <w:tcW w:w="281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color w:val="auto"/>
                <w:kern w:val="0"/>
                <w:szCs w:val="21"/>
                <w:highlight w:val="none"/>
              </w:rPr>
            </w:pPr>
            <w:r>
              <w:rPr>
                <w:color w:val="auto"/>
                <w:kern w:val="0"/>
                <w:szCs w:val="21"/>
                <w:highlight w:val="none"/>
              </w:rPr>
              <w:t>隧道排水沟清掏</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color w:val="auto"/>
                <w:kern w:val="0"/>
                <w:szCs w:val="21"/>
                <w:highlight w:val="none"/>
              </w:rPr>
            </w:pPr>
            <w:r>
              <w:rPr>
                <w:color w:val="auto"/>
                <w:kern w:val="0"/>
                <w:szCs w:val="21"/>
                <w:highlight w:val="none"/>
              </w:rPr>
              <w:t>133438</w:t>
            </w:r>
          </w:p>
        </w:tc>
        <w:tc>
          <w:tcPr>
            <w:tcW w:w="20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color w:val="auto"/>
                <w:kern w:val="0"/>
                <w:szCs w:val="21"/>
                <w:highlight w:val="none"/>
              </w:rPr>
            </w:pPr>
            <w:r>
              <w:rPr>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42" w:type="dxa"/>
            <w:vMerge w:val="continue"/>
            <w:vAlign w:val="center"/>
          </w:tcPr>
          <w:p>
            <w:pPr>
              <w:widowControl/>
              <w:ind w:firstLine="0" w:firstLineChars="0"/>
              <w:rPr>
                <w:color w:val="auto"/>
                <w:kern w:val="0"/>
                <w:szCs w:val="21"/>
                <w:highlight w:val="none"/>
              </w:rPr>
            </w:pPr>
          </w:p>
        </w:tc>
        <w:tc>
          <w:tcPr>
            <w:tcW w:w="281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color w:val="auto"/>
                <w:kern w:val="0"/>
                <w:szCs w:val="21"/>
                <w:highlight w:val="none"/>
              </w:rPr>
            </w:pPr>
            <w:r>
              <w:rPr>
                <w:color w:val="auto"/>
                <w:kern w:val="0"/>
                <w:szCs w:val="21"/>
                <w:highlight w:val="none"/>
              </w:rPr>
              <w:t>隧道冲洗</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color w:val="auto"/>
                <w:kern w:val="0"/>
                <w:szCs w:val="21"/>
                <w:highlight w:val="none"/>
              </w:rPr>
            </w:pPr>
            <w:r>
              <w:rPr>
                <w:color w:val="auto"/>
                <w:kern w:val="0"/>
                <w:szCs w:val="21"/>
                <w:highlight w:val="none"/>
              </w:rPr>
              <w:t>548800</w:t>
            </w:r>
          </w:p>
        </w:tc>
        <w:tc>
          <w:tcPr>
            <w:tcW w:w="20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color w:val="auto"/>
                <w:kern w:val="0"/>
                <w:szCs w:val="21"/>
                <w:highlight w:val="none"/>
              </w:rPr>
            </w:pPr>
            <w:r>
              <w:rPr>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42" w:type="dxa"/>
            <w:vMerge w:val="continue"/>
            <w:vAlign w:val="center"/>
          </w:tcPr>
          <w:p>
            <w:pPr>
              <w:widowControl/>
              <w:ind w:firstLine="0" w:firstLineChars="0"/>
              <w:rPr>
                <w:color w:val="auto"/>
                <w:kern w:val="0"/>
                <w:szCs w:val="21"/>
                <w:highlight w:val="none"/>
              </w:rPr>
            </w:pPr>
          </w:p>
        </w:tc>
        <w:tc>
          <w:tcPr>
            <w:tcW w:w="281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color w:val="auto"/>
                <w:kern w:val="0"/>
                <w:szCs w:val="21"/>
                <w:highlight w:val="none"/>
              </w:rPr>
            </w:pPr>
            <w:r>
              <w:rPr>
                <w:color w:val="auto"/>
                <w:kern w:val="0"/>
                <w:szCs w:val="21"/>
                <w:highlight w:val="none"/>
              </w:rPr>
              <w:t>高架、路基段轨行区清扫</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color w:val="auto"/>
                <w:kern w:val="0"/>
                <w:szCs w:val="21"/>
                <w:highlight w:val="none"/>
              </w:rPr>
            </w:pPr>
            <w:r>
              <w:rPr>
                <w:color w:val="auto"/>
                <w:kern w:val="0"/>
                <w:szCs w:val="21"/>
                <w:highlight w:val="none"/>
              </w:rPr>
              <w:t>65535</w:t>
            </w:r>
          </w:p>
        </w:tc>
        <w:tc>
          <w:tcPr>
            <w:tcW w:w="20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color w:val="auto"/>
                <w:kern w:val="0"/>
                <w:szCs w:val="21"/>
                <w:highlight w:val="none"/>
              </w:rPr>
            </w:pPr>
            <w:r>
              <w:rPr>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42" w:type="dxa"/>
            <w:vMerge w:val="continue"/>
            <w:vAlign w:val="center"/>
          </w:tcPr>
          <w:p>
            <w:pPr>
              <w:widowControl/>
              <w:ind w:firstLine="0" w:firstLineChars="0"/>
              <w:rPr>
                <w:color w:val="auto"/>
                <w:kern w:val="0"/>
                <w:szCs w:val="21"/>
                <w:highlight w:val="none"/>
              </w:rPr>
            </w:pPr>
          </w:p>
        </w:tc>
        <w:tc>
          <w:tcPr>
            <w:tcW w:w="281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color w:val="auto"/>
                <w:kern w:val="0"/>
                <w:szCs w:val="21"/>
                <w:highlight w:val="none"/>
              </w:rPr>
            </w:pPr>
            <w:r>
              <w:rPr>
                <w:color w:val="auto"/>
                <w:kern w:val="0"/>
                <w:szCs w:val="21"/>
                <w:highlight w:val="none"/>
              </w:rPr>
              <w:t>边坡清洁卫生及杂草清除</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color w:val="auto"/>
                <w:kern w:val="0"/>
                <w:szCs w:val="21"/>
                <w:highlight w:val="none"/>
              </w:rPr>
            </w:pPr>
            <w:r>
              <w:rPr>
                <w:color w:val="auto"/>
                <w:kern w:val="0"/>
                <w:szCs w:val="21"/>
                <w:highlight w:val="none"/>
              </w:rPr>
              <w:t>3000</w:t>
            </w:r>
          </w:p>
        </w:tc>
        <w:tc>
          <w:tcPr>
            <w:tcW w:w="20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color w:val="auto"/>
                <w:kern w:val="0"/>
                <w:szCs w:val="21"/>
                <w:highlight w:val="none"/>
              </w:rPr>
            </w:pPr>
            <w:r>
              <w:rPr>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42" w:type="dxa"/>
            <w:vMerge w:val="continue"/>
            <w:vAlign w:val="center"/>
          </w:tcPr>
          <w:p>
            <w:pPr>
              <w:widowControl/>
              <w:ind w:firstLine="0" w:firstLineChars="0"/>
              <w:rPr>
                <w:color w:val="auto"/>
                <w:kern w:val="0"/>
                <w:szCs w:val="21"/>
                <w:highlight w:val="none"/>
              </w:rPr>
            </w:pPr>
          </w:p>
        </w:tc>
        <w:tc>
          <w:tcPr>
            <w:tcW w:w="281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color w:val="auto"/>
                <w:kern w:val="0"/>
                <w:szCs w:val="21"/>
                <w:highlight w:val="none"/>
              </w:rPr>
            </w:pPr>
            <w:r>
              <w:rPr>
                <w:rFonts w:hint="eastAsia"/>
                <w:color w:val="auto"/>
                <w:kern w:val="0"/>
                <w:szCs w:val="21"/>
                <w:highlight w:val="none"/>
              </w:rPr>
              <w:t>垃圾二次转运及处置</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100</w:t>
            </w:r>
          </w:p>
        </w:tc>
        <w:tc>
          <w:tcPr>
            <w:tcW w:w="20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color w:val="auto"/>
                <w:kern w:val="0"/>
                <w:szCs w:val="21"/>
                <w:highlight w:val="none"/>
              </w:rPr>
            </w:pPr>
            <w:r>
              <w:rPr>
                <w:color w:val="auto"/>
                <w:kern w:val="0"/>
                <w:szCs w:val="21"/>
                <w:highlight w:val="none"/>
              </w:rPr>
              <w:t>车（</w:t>
            </w:r>
            <w:r>
              <w:rPr>
                <w:rFonts w:hint="eastAsia"/>
                <w:color w:val="auto"/>
                <w:kern w:val="0"/>
                <w:szCs w:val="21"/>
                <w:highlight w:val="none"/>
                <w:lang w:val="en-US" w:eastAsia="zh-CN"/>
              </w:rPr>
              <w:t>10t</w:t>
            </w:r>
            <w:r>
              <w:rPr>
                <w:color w:val="auto"/>
                <w:kern w:val="0"/>
                <w:szCs w:val="21"/>
                <w:highlight w:val="none"/>
              </w:rPr>
              <w:t>）</w:t>
            </w:r>
          </w:p>
        </w:tc>
      </w:tr>
    </w:tbl>
    <w:p>
      <w:pPr>
        <w:tabs>
          <w:tab w:val="left" w:pos="312"/>
          <w:tab w:val="left" w:pos="1985"/>
        </w:tabs>
        <w:ind w:firstLine="0" w:firstLineChars="0"/>
        <w:jc w:val="left"/>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2、外墙清洗</w:t>
      </w:r>
    </w:p>
    <w:tbl>
      <w:tblPr>
        <w:tblStyle w:val="10"/>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06"/>
        <w:gridCol w:w="3615"/>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806" w:type="dxa"/>
            <w:vAlign w:val="top"/>
          </w:tcPr>
          <w:p>
            <w:pPr>
              <w:widowControl/>
              <w:ind w:firstLine="0" w:firstLineChars="0"/>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3615" w:type="dxa"/>
            <w:vAlign w:val="top"/>
          </w:tcPr>
          <w:p>
            <w:pPr>
              <w:widowControl/>
              <w:ind w:firstLine="0" w:firstLineChars="0"/>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外墙</w:t>
            </w:r>
            <w:r>
              <w:rPr>
                <w:rFonts w:hint="eastAsia" w:ascii="宋体" w:hAnsi="宋体" w:cs="宋体"/>
                <w:b/>
                <w:color w:val="auto"/>
                <w:kern w:val="0"/>
                <w:szCs w:val="21"/>
                <w:highlight w:val="none"/>
              </w:rPr>
              <w:t>清洗范围</w:t>
            </w:r>
          </w:p>
        </w:tc>
        <w:tc>
          <w:tcPr>
            <w:tcW w:w="3270" w:type="dxa"/>
            <w:vAlign w:val="top"/>
          </w:tcPr>
          <w:p>
            <w:pPr>
              <w:widowControl/>
              <w:ind w:firstLine="0" w:firstLineChars="0"/>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面积（㎡）暂定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806" w:type="dxa"/>
            <w:vAlign w:val="top"/>
          </w:tcPr>
          <w:p>
            <w:pPr>
              <w:widowControl/>
              <w:ind w:firstLine="0" w:firstLineChars="0"/>
              <w:jc w:val="center"/>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3615" w:type="dxa"/>
            <w:vAlign w:val="top"/>
          </w:tcPr>
          <w:p>
            <w:pPr>
              <w:widowControl/>
              <w:ind w:firstLine="0" w:firstLineChars="0"/>
              <w:jc w:val="center"/>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长河车站外墙</w:t>
            </w:r>
          </w:p>
        </w:tc>
        <w:tc>
          <w:tcPr>
            <w:tcW w:w="3270" w:type="dxa"/>
            <w:vAlign w:val="top"/>
          </w:tcPr>
          <w:p>
            <w:pPr>
              <w:widowControl/>
              <w:ind w:firstLine="0" w:firstLineChars="0"/>
              <w:jc w:val="center"/>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15430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806" w:type="dxa"/>
            <w:vAlign w:val="top"/>
          </w:tcPr>
          <w:p>
            <w:pPr>
              <w:widowControl/>
              <w:ind w:firstLine="0" w:firstLineChars="0"/>
              <w:jc w:val="center"/>
              <w:textAlignment w:val="center"/>
              <w:rPr>
                <w:rFonts w:hint="eastAsia" w:ascii="宋体" w:hAnsi="宋体" w:cs="宋体" w:eastAsiaTheme="minorEastAsia"/>
                <w:bCs/>
                <w:color w:val="auto"/>
                <w:szCs w:val="21"/>
                <w:highlight w:val="none"/>
                <w:lang w:val="en-US" w:eastAsia="zh-CN"/>
              </w:rPr>
            </w:pPr>
            <w:r>
              <w:rPr>
                <w:rFonts w:hint="eastAsia" w:ascii="宋体" w:hAnsi="宋体" w:cs="宋体"/>
                <w:bCs/>
                <w:color w:val="auto"/>
                <w:szCs w:val="21"/>
                <w:highlight w:val="none"/>
                <w:lang w:val="en-US" w:eastAsia="zh-CN"/>
              </w:rPr>
              <w:t>2</w:t>
            </w:r>
          </w:p>
        </w:tc>
        <w:tc>
          <w:tcPr>
            <w:tcW w:w="3615" w:type="dxa"/>
            <w:vAlign w:val="center"/>
          </w:tcPr>
          <w:p>
            <w:pPr>
              <w:widowControl/>
              <w:ind w:firstLine="0" w:firstLineChars="0"/>
              <w:jc w:val="center"/>
              <w:textAlignment w:val="center"/>
              <w:rPr>
                <w:rFonts w:hint="eastAsia"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rPr>
              <w:t>大坝寺主变电所外墙</w:t>
            </w:r>
          </w:p>
        </w:tc>
        <w:tc>
          <w:tcPr>
            <w:tcW w:w="3270" w:type="dxa"/>
            <w:vAlign w:val="center"/>
          </w:tcPr>
          <w:p>
            <w:pPr>
              <w:widowControl/>
              <w:ind w:firstLine="0" w:firstLineChars="0"/>
              <w:jc w:val="center"/>
              <w:textAlignment w:val="center"/>
              <w:rPr>
                <w:rFonts w:hint="default" w:ascii="宋体" w:hAnsi="宋体" w:cs="宋体" w:eastAsiaTheme="minorEastAsia"/>
                <w:bCs/>
                <w:color w:val="auto"/>
                <w:szCs w:val="21"/>
                <w:highlight w:val="none"/>
                <w:lang w:val="en-US" w:eastAsia="zh-CN"/>
              </w:rPr>
            </w:pPr>
            <w:r>
              <w:rPr>
                <w:rFonts w:hint="eastAsia" w:ascii="宋体" w:hAnsi="宋体" w:cs="宋体"/>
                <w:bCs/>
                <w:color w:val="auto"/>
                <w:szCs w:val="21"/>
                <w:highlight w:val="none"/>
              </w:rPr>
              <w:t>433.7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806" w:type="dxa"/>
            <w:vAlign w:val="top"/>
          </w:tcPr>
          <w:p>
            <w:pPr>
              <w:widowControl/>
              <w:ind w:firstLine="0" w:firstLineChars="0"/>
              <w:jc w:val="center"/>
              <w:textAlignment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3615" w:type="dxa"/>
            <w:vAlign w:val="center"/>
          </w:tcPr>
          <w:p>
            <w:pPr>
              <w:widowControl/>
              <w:ind w:firstLine="0" w:firstLineChars="0"/>
              <w:jc w:val="center"/>
              <w:textAlignment w:val="center"/>
              <w:rPr>
                <w:rFonts w:hint="eastAsia"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rPr>
              <w:t>长河牵引所外墙</w:t>
            </w:r>
          </w:p>
        </w:tc>
        <w:tc>
          <w:tcPr>
            <w:tcW w:w="3270" w:type="dxa"/>
            <w:vAlign w:val="center"/>
          </w:tcPr>
          <w:p>
            <w:pPr>
              <w:widowControl/>
              <w:ind w:firstLine="0" w:firstLineChars="0"/>
              <w:jc w:val="center"/>
              <w:textAlignment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806" w:type="dxa"/>
            <w:vAlign w:val="top"/>
          </w:tcPr>
          <w:p>
            <w:pPr>
              <w:widowControl/>
              <w:ind w:firstLine="0" w:firstLineChars="0"/>
              <w:jc w:val="center"/>
              <w:textAlignment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4</w:t>
            </w:r>
          </w:p>
        </w:tc>
        <w:tc>
          <w:tcPr>
            <w:tcW w:w="3615" w:type="dxa"/>
            <w:vAlign w:val="center"/>
          </w:tcPr>
          <w:p>
            <w:pPr>
              <w:widowControl/>
              <w:ind w:firstLine="0" w:firstLineChars="0"/>
              <w:jc w:val="center"/>
              <w:textAlignment w:val="center"/>
              <w:rPr>
                <w:rFonts w:hint="eastAsia"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rPr>
              <w:t>长航区间牵引所外墙</w:t>
            </w:r>
          </w:p>
        </w:tc>
        <w:tc>
          <w:tcPr>
            <w:tcW w:w="3270" w:type="dxa"/>
            <w:vAlign w:val="center"/>
          </w:tcPr>
          <w:p>
            <w:pPr>
              <w:widowControl/>
              <w:ind w:firstLine="0" w:firstLineChars="0"/>
              <w:jc w:val="center"/>
              <w:textAlignment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128</w:t>
            </w:r>
          </w:p>
        </w:tc>
      </w:tr>
    </w:tbl>
    <w:p>
      <w:pPr>
        <w:tabs>
          <w:tab w:val="left" w:pos="312"/>
          <w:tab w:val="left" w:pos="1985"/>
        </w:tabs>
        <w:ind w:firstLine="0" w:firstLineChars="0"/>
        <w:jc w:val="left"/>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3、沟渠池清掏</w:t>
      </w:r>
    </w:p>
    <w:p>
      <w:pPr>
        <w:tabs>
          <w:tab w:val="left" w:pos="312"/>
          <w:tab w:val="left" w:pos="1985"/>
        </w:tabs>
        <w:ind w:firstLine="0" w:firstLineChars="0"/>
        <w:jc w:val="left"/>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（1）污水池、生化池</w:t>
      </w:r>
    </w:p>
    <w:tbl>
      <w:tblPr>
        <w:tblStyle w:val="10"/>
        <w:tblW w:w="866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9"/>
        <w:gridCol w:w="1817"/>
        <w:gridCol w:w="1785"/>
        <w:gridCol w:w="165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exact"/>
        </w:trPr>
        <w:tc>
          <w:tcPr>
            <w:tcW w:w="1789"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10号线一期</w:t>
            </w:r>
          </w:p>
        </w:tc>
        <w:tc>
          <w:tcPr>
            <w:tcW w:w="1817"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污水池体积m³</w:t>
            </w:r>
          </w:p>
        </w:tc>
        <w:tc>
          <w:tcPr>
            <w:tcW w:w="1785"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生化池体积m³</w:t>
            </w:r>
          </w:p>
        </w:tc>
        <w:tc>
          <w:tcPr>
            <w:tcW w:w="1650"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污水池量（个）</w:t>
            </w:r>
          </w:p>
        </w:tc>
        <w:tc>
          <w:tcPr>
            <w:tcW w:w="1620"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生化池量（个）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鲤鱼池站</w:t>
            </w:r>
          </w:p>
        </w:tc>
        <w:tc>
          <w:tcPr>
            <w:tcW w:w="1817"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20.09</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红土地站</w:t>
            </w:r>
          </w:p>
        </w:tc>
        <w:tc>
          <w:tcPr>
            <w:tcW w:w="1817"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21.6</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12</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龙头寺公园站</w:t>
            </w:r>
          </w:p>
        </w:tc>
        <w:tc>
          <w:tcPr>
            <w:tcW w:w="1817"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24.6</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12</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exact"/>
        </w:trPr>
        <w:tc>
          <w:tcPr>
            <w:tcW w:w="1789"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重庆北站南广场站</w:t>
            </w:r>
          </w:p>
        </w:tc>
        <w:tc>
          <w:tcPr>
            <w:tcW w:w="1817"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45</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9.4</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exact"/>
        </w:trPr>
        <w:tc>
          <w:tcPr>
            <w:tcW w:w="1789"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重庆北站北广场站</w:t>
            </w:r>
          </w:p>
        </w:tc>
        <w:tc>
          <w:tcPr>
            <w:tcW w:w="1817"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54</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szCs w:val="21"/>
                <w:highlight w:val="none"/>
              </w:rPr>
              <w:t>无</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民心佳园站</w:t>
            </w:r>
          </w:p>
        </w:tc>
        <w:tc>
          <w:tcPr>
            <w:tcW w:w="1817"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35.95</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29.2</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三亚湾站</w:t>
            </w:r>
          </w:p>
        </w:tc>
        <w:tc>
          <w:tcPr>
            <w:tcW w:w="1817"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12.1</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无</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上湾路站</w:t>
            </w:r>
          </w:p>
        </w:tc>
        <w:tc>
          <w:tcPr>
            <w:tcW w:w="1817"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47.94</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13.23</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环山公园站</w:t>
            </w:r>
          </w:p>
        </w:tc>
        <w:tc>
          <w:tcPr>
            <w:tcW w:w="1817"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46.8</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12</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长河站</w:t>
            </w:r>
          </w:p>
        </w:tc>
        <w:tc>
          <w:tcPr>
            <w:tcW w:w="1817"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bCs/>
                <w:snapToGrid w:val="0"/>
                <w:color w:val="auto"/>
                <w:kern w:val="0"/>
                <w:szCs w:val="21"/>
                <w:highlight w:val="none"/>
              </w:rPr>
            </w:pPr>
            <w:r>
              <w:rPr>
                <w:rFonts w:hint="eastAsia" w:ascii="宋体" w:hAnsi="宋体" w:cs="宋体"/>
                <w:color w:val="auto"/>
                <w:szCs w:val="21"/>
                <w:highlight w:val="none"/>
              </w:rPr>
              <w:t>无</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12</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无</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T3航站楼站</w:t>
            </w:r>
          </w:p>
        </w:tc>
        <w:tc>
          <w:tcPr>
            <w:tcW w:w="1817"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bCs/>
                <w:snapToGrid w:val="0"/>
                <w:color w:val="auto"/>
                <w:kern w:val="0"/>
                <w:szCs w:val="21"/>
                <w:highlight w:val="none"/>
              </w:rPr>
            </w:pPr>
            <w:r>
              <w:rPr>
                <w:rFonts w:hint="eastAsia" w:ascii="宋体" w:hAnsi="宋体" w:cs="宋体"/>
                <w:color w:val="auto"/>
                <w:kern w:val="0"/>
                <w:szCs w:val="21"/>
                <w:highlight w:val="none"/>
              </w:rPr>
              <w:t>227.32</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无</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T2航站楼站</w:t>
            </w:r>
          </w:p>
        </w:tc>
        <w:tc>
          <w:tcPr>
            <w:tcW w:w="1817"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bCs/>
                <w:snapToGrid w:val="0"/>
                <w:color w:val="auto"/>
                <w:kern w:val="0"/>
                <w:szCs w:val="21"/>
                <w:highlight w:val="none"/>
              </w:rPr>
            </w:pPr>
            <w:r>
              <w:rPr>
                <w:rFonts w:hint="eastAsia" w:ascii="宋体" w:hAnsi="宋体" w:cs="宋体"/>
                <w:color w:val="auto"/>
                <w:kern w:val="0"/>
                <w:szCs w:val="21"/>
                <w:highlight w:val="none"/>
              </w:rPr>
              <w:t>65.5</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11.7</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渝北广场站</w:t>
            </w:r>
          </w:p>
        </w:tc>
        <w:tc>
          <w:tcPr>
            <w:tcW w:w="1817"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bCs/>
                <w:snapToGrid w:val="0"/>
                <w:color w:val="auto"/>
                <w:kern w:val="0"/>
                <w:szCs w:val="21"/>
                <w:highlight w:val="none"/>
              </w:rPr>
            </w:pPr>
            <w:r>
              <w:rPr>
                <w:rFonts w:hint="eastAsia" w:ascii="宋体" w:hAnsi="宋体" w:cs="宋体"/>
                <w:color w:val="auto"/>
                <w:kern w:val="0"/>
                <w:szCs w:val="21"/>
                <w:highlight w:val="none"/>
              </w:rPr>
              <w:t>25.7</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11.7</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鹿山站</w:t>
            </w:r>
          </w:p>
        </w:tc>
        <w:tc>
          <w:tcPr>
            <w:tcW w:w="1817"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bCs/>
                <w:snapToGrid w:val="0"/>
                <w:color w:val="auto"/>
                <w:kern w:val="0"/>
                <w:szCs w:val="21"/>
                <w:highlight w:val="none"/>
              </w:rPr>
            </w:pPr>
            <w:r>
              <w:rPr>
                <w:rFonts w:hint="eastAsia" w:ascii="宋体" w:hAnsi="宋体" w:cs="宋体"/>
                <w:color w:val="auto"/>
                <w:kern w:val="0"/>
                <w:szCs w:val="21"/>
                <w:highlight w:val="none"/>
              </w:rPr>
              <w:t>34.88</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40</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大坝寺主所</w:t>
            </w:r>
          </w:p>
        </w:tc>
        <w:tc>
          <w:tcPr>
            <w:tcW w:w="1817"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bCs/>
                <w:snapToGrid w:val="0"/>
                <w:color w:val="auto"/>
                <w:kern w:val="0"/>
                <w:szCs w:val="21"/>
                <w:highlight w:val="none"/>
              </w:rPr>
            </w:pPr>
            <w:r>
              <w:rPr>
                <w:rFonts w:hint="eastAsia" w:ascii="宋体" w:hAnsi="宋体" w:cs="宋体"/>
                <w:color w:val="auto"/>
                <w:kern w:val="0"/>
                <w:szCs w:val="21"/>
                <w:highlight w:val="none"/>
              </w:rPr>
              <w:t>无</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14.8</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无</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中央公园东站</w:t>
            </w:r>
          </w:p>
        </w:tc>
        <w:tc>
          <w:tcPr>
            <w:tcW w:w="1817"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bCs/>
                <w:snapToGrid w:val="0"/>
                <w:color w:val="auto"/>
                <w:kern w:val="0"/>
                <w:szCs w:val="21"/>
                <w:highlight w:val="none"/>
              </w:rPr>
            </w:pPr>
            <w:r>
              <w:rPr>
                <w:rFonts w:hint="eastAsia" w:ascii="宋体" w:hAnsi="宋体" w:cs="宋体"/>
                <w:color w:val="auto"/>
                <w:kern w:val="0"/>
                <w:szCs w:val="21"/>
                <w:highlight w:val="none"/>
              </w:rPr>
              <w:t>45.1</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20</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中央公园站</w:t>
            </w:r>
          </w:p>
        </w:tc>
        <w:tc>
          <w:tcPr>
            <w:tcW w:w="1817"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bCs/>
                <w:snapToGrid w:val="0"/>
                <w:color w:val="auto"/>
                <w:kern w:val="0"/>
                <w:szCs w:val="21"/>
                <w:highlight w:val="none"/>
              </w:rPr>
            </w:pPr>
            <w:r>
              <w:rPr>
                <w:rFonts w:hint="eastAsia" w:ascii="宋体" w:hAnsi="宋体" w:cs="宋体"/>
                <w:color w:val="auto"/>
                <w:kern w:val="0"/>
                <w:szCs w:val="21"/>
                <w:highlight w:val="none"/>
              </w:rPr>
              <w:t>40</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21</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中央公园西站</w:t>
            </w:r>
          </w:p>
        </w:tc>
        <w:tc>
          <w:tcPr>
            <w:tcW w:w="1817"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bCs/>
                <w:snapToGrid w:val="0"/>
                <w:color w:val="auto"/>
                <w:kern w:val="0"/>
                <w:szCs w:val="21"/>
                <w:highlight w:val="none"/>
              </w:rPr>
            </w:pPr>
            <w:r>
              <w:rPr>
                <w:rFonts w:hint="eastAsia" w:ascii="宋体" w:hAnsi="宋体" w:cs="宋体"/>
                <w:color w:val="auto"/>
                <w:kern w:val="0"/>
                <w:szCs w:val="21"/>
                <w:highlight w:val="none"/>
              </w:rPr>
              <w:t>25.17</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21</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悦来站</w:t>
            </w:r>
          </w:p>
        </w:tc>
        <w:tc>
          <w:tcPr>
            <w:tcW w:w="1817"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bCs/>
                <w:snapToGrid w:val="0"/>
                <w:color w:val="auto"/>
                <w:kern w:val="0"/>
                <w:szCs w:val="21"/>
                <w:highlight w:val="none"/>
              </w:rPr>
            </w:pPr>
            <w:r>
              <w:rPr>
                <w:rFonts w:hint="eastAsia" w:ascii="宋体" w:hAnsi="宋体" w:cs="宋体"/>
                <w:color w:val="auto"/>
                <w:kern w:val="0"/>
                <w:szCs w:val="21"/>
                <w:highlight w:val="none"/>
              </w:rPr>
              <w:t>20.52</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17.1</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王家庄站</w:t>
            </w:r>
          </w:p>
        </w:tc>
        <w:tc>
          <w:tcPr>
            <w:tcW w:w="1817"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bCs/>
                <w:snapToGrid w:val="0"/>
                <w:color w:val="auto"/>
                <w:kern w:val="0"/>
                <w:szCs w:val="21"/>
                <w:highlight w:val="none"/>
              </w:rPr>
            </w:pPr>
            <w:r>
              <w:rPr>
                <w:rFonts w:hint="eastAsia" w:ascii="宋体" w:hAnsi="宋体" w:cs="宋体"/>
                <w:color w:val="auto"/>
                <w:kern w:val="0"/>
                <w:szCs w:val="21"/>
                <w:highlight w:val="none"/>
              </w:rPr>
              <w:t>38</w:t>
            </w:r>
          </w:p>
        </w:tc>
        <w:tc>
          <w:tcPr>
            <w:tcW w:w="178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41</w:t>
            </w:r>
          </w:p>
        </w:tc>
        <w:tc>
          <w:tcPr>
            <w:tcW w:w="165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w:t>
            </w:r>
          </w:p>
        </w:tc>
        <w:tc>
          <w:tcPr>
            <w:tcW w:w="1620"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w:t>
            </w:r>
          </w:p>
        </w:tc>
      </w:tr>
    </w:tbl>
    <w:p>
      <w:pPr>
        <w:tabs>
          <w:tab w:val="left" w:pos="312"/>
          <w:tab w:val="left" w:pos="1985"/>
        </w:tabs>
        <w:ind w:firstLine="0" w:firstLineChars="0"/>
        <w:jc w:val="left"/>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(2)集水井、废水池</w:t>
      </w:r>
    </w:p>
    <w:tbl>
      <w:tblPr>
        <w:tblStyle w:val="10"/>
        <w:tblW w:w="8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4"/>
        <w:gridCol w:w="4820"/>
        <w:gridCol w:w="992"/>
        <w:gridCol w:w="2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firstLine="0" w:firstLineChars="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4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firstLine="0" w:firstLineChars="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项目名称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firstLine="0" w:firstLineChars="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firstLine="0" w:firstLineChars="0"/>
              <w:jc w:val="center"/>
              <w:rPr>
                <w:rFonts w:hint="eastAsia" w:ascii="宋体" w:hAnsi="宋体" w:cs="宋体" w:eastAsiaTheme="minorEastAsia"/>
                <w:b/>
                <w:bCs/>
                <w:color w:val="auto"/>
                <w:kern w:val="0"/>
                <w:szCs w:val="21"/>
                <w:highlight w:val="none"/>
                <w:lang w:eastAsia="zh-CN"/>
              </w:rPr>
            </w:pPr>
            <w:r>
              <w:rPr>
                <w:rFonts w:hint="eastAsia" w:ascii="宋体" w:hAnsi="宋体" w:cs="宋体"/>
                <w:b/>
                <w:bCs/>
                <w:color w:val="auto"/>
                <w:kern w:val="0"/>
                <w:szCs w:val="21"/>
                <w:highlight w:val="none"/>
              </w:rPr>
              <w:t>数量</w:t>
            </w:r>
            <w:r>
              <w:rPr>
                <w:rFonts w:hint="eastAsia" w:ascii="宋体" w:hAnsi="宋体" w:cs="宋体"/>
                <w:b/>
                <w:bCs/>
                <w:color w:val="auto"/>
                <w:kern w:val="0"/>
                <w:szCs w:val="21"/>
                <w:highlight w:val="none"/>
                <w:lang w:eastAsia="zh-CN"/>
              </w:rPr>
              <w:t>（暂定）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4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firstLine="0" w:firstLineChars="0"/>
              <w:jc w:val="center"/>
              <w:rPr>
                <w:rFonts w:hint="eastAsia" w:ascii="宋体" w:hAnsi="宋体" w:cs="宋体"/>
                <w:color w:val="auto"/>
                <w:kern w:val="0"/>
                <w:szCs w:val="21"/>
                <w:highlight w:val="none"/>
              </w:rPr>
            </w:pPr>
            <w:r>
              <w:rPr>
                <w:rFonts w:hint="eastAsia" w:ascii="宋体" w:hAnsi="宋体" w:cs="宋体"/>
                <w:color w:val="auto"/>
                <w:sz w:val="18"/>
                <w:szCs w:val="18"/>
                <w:highlight w:val="none"/>
              </w:rPr>
              <w:t>区间隧道</w:t>
            </w:r>
            <w:r>
              <w:rPr>
                <w:rFonts w:hint="eastAsia" w:ascii="宋体" w:hAnsi="宋体" w:cs="宋体"/>
                <w:color w:val="auto"/>
                <w:sz w:val="18"/>
                <w:szCs w:val="18"/>
                <w:highlight w:val="none"/>
                <w:lang w:val="en-US" w:eastAsia="zh-CN"/>
              </w:rPr>
              <w:t>集水井、废水池</w:t>
            </w:r>
            <w:r>
              <w:rPr>
                <w:rFonts w:hint="eastAsia" w:ascii="宋体" w:hAnsi="宋体" w:cs="宋体"/>
                <w:color w:val="auto"/>
                <w:sz w:val="18"/>
                <w:szCs w:val="18"/>
                <w:highlight w:val="none"/>
              </w:rPr>
              <w:t>清掏</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firstLine="0" w:firstLineChars="0"/>
              <w:jc w:val="center"/>
              <w:rPr>
                <w:rFonts w:hint="eastAsia" w:ascii="宋体" w:hAnsi="宋体" w:cs="宋体"/>
                <w:color w:val="auto"/>
                <w:kern w:val="0"/>
                <w:szCs w:val="21"/>
                <w:highlight w:val="none"/>
              </w:rPr>
            </w:pPr>
            <w:r>
              <w:rPr>
                <w:rFonts w:hint="eastAsia" w:ascii="宋体" w:hAnsi="宋体" w:cs="宋体"/>
                <w:bCs/>
                <w:snapToGrid w:val="0"/>
                <w:color w:val="auto"/>
                <w:kern w:val="0"/>
                <w:szCs w:val="21"/>
                <w:highlight w:val="none"/>
              </w:rPr>
              <w:t>m³</w:t>
            </w:r>
          </w:p>
        </w:tc>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firstLine="0" w:firstLineChars="0"/>
              <w:jc w:val="center"/>
              <w:rPr>
                <w:rFonts w:hint="default" w:ascii="宋体" w:hAnsi="宋体" w:eastAsia="宋体" w:cs="宋体"/>
                <w:color w:val="auto"/>
                <w:kern w:val="0"/>
                <w:szCs w:val="21"/>
                <w:highlight w:val="none"/>
                <w:lang w:val="en-US" w:eastAsia="zh-CN"/>
              </w:rPr>
            </w:pPr>
            <w:r>
              <w:rPr>
                <w:rFonts w:hint="eastAsia" w:ascii="宋体" w:hAnsi="宋体" w:cs="宋体"/>
                <w:bCs/>
                <w:snapToGrid w:val="0"/>
                <w:color w:val="auto"/>
                <w:kern w:val="0"/>
                <w:szCs w:val="21"/>
                <w:highlight w:val="none"/>
                <w:lang w:val="en-US" w:eastAsia="zh-CN"/>
              </w:rPr>
              <w:t>328.06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4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firstLine="0" w:firstLineChars="0"/>
              <w:jc w:val="center"/>
              <w:rPr>
                <w:rFonts w:hint="eastAsia" w:ascii="宋体" w:hAnsi="宋体" w:cs="宋体"/>
                <w:color w:val="auto"/>
                <w:kern w:val="0"/>
                <w:szCs w:val="21"/>
                <w:highlight w:val="none"/>
              </w:rPr>
            </w:pPr>
            <w:r>
              <w:rPr>
                <w:rFonts w:hint="eastAsia" w:ascii="宋体" w:hAnsi="宋体" w:cs="宋体"/>
                <w:color w:val="auto"/>
                <w:sz w:val="18"/>
                <w:szCs w:val="18"/>
                <w:highlight w:val="none"/>
              </w:rPr>
              <w:t>车站集水井</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废水池</w:t>
            </w:r>
            <w:r>
              <w:rPr>
                <w:rFonts w:hint="eastAsia" w:ascii="宋体" w:hAnsi="宋体" w:cs="宋体"/>
                <w:color w:val="auto"/>
                <w:sz w:val="18"/>
                <w:szCs w:val="18"/>
                <w:highlight w:val="none"/>
              </w:rPr>
              <w:t>淸掏</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firstLine="0" w:firstLineChars="0"/>
              <w:jc w:val="center"/>
              <w:rPr>
                <w:rFonts w:hint="eastAsia" w:ascii="宋体" w:hAnsi="宋体" w:cs="宋体"/>
                <w:color w:val="auto"/>
                <w:kern w:val="0"/>
                <w:szCs w:val="21"/>
                <w:highlight w:val="none"/>
              </w:rPr>
            </w:pPr>
            <w:r>
              <w:rPr>
                <w:rFonts w:hint="eastAsia" w:ascii="宋体" w:hAnsi="宋体" w:cs="宋体"/>
                <w:bCs/>
                <w:snapToGrid w:val="0"/>
                <w:color w:val="auto"/>
                <w:kern w:val="0"/>
                <w:szCs w:val="21"/>
                <w:highlight w:val="none"/>
              </w:rPr>
              <w:t>m³</w:t>
            </w:r>
          </w:p>
        </w:tc>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firstLine="0" w:firstLineChars="0"/>
              <w:jc w:val="center"/>
              <w:rPr>
                <w:rFonts w:hint="default" w:ascii="宋体" w:hAnsi="宋体" w:eastAsia="宋体" w:cs="宋体"/>
                <w:color w:val="auto"/>
                <w:kern w:val="0"/>
                <w:szCs w:val="21"/>
                <w:highlight w:val="none"/>
                <w:lang w:val="en-US" w:eastAsia="zh-CN"/>
              </w:rPr>
            </w:pPr>
            <w:r>
              <w:rPr>
                <w:rFonts w:hint="eastAsia" w:ascii="宋体" w:hAnsi="宋体" w:cs="宋体"/>
                <w:bCs/>
                <w:snapToGrid w:val="0"/>
                <w:color w:val="auto"/>
                <w:kern w:val="0"/>
                <w:szCs w:val="21"/>
                <w:highlight w:val="none"/>
                <w:lang w:val="en-US" w:eastAsia="zh-CN"/>
              </w:rPr>
              <w:t>2686</w:t>
            </w:r>
          </w:p>
        </w:tc>
      </w:tr>
    </w:tbl>
    <w:p>
      <w:pPr>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w:t>
      </w:r>
      <w:r>
        <w:rPr>
          <w:rFonts w:hint="eastAsia" w:ascii="方正仿宋_GBK" w:hAnsi="方正仿宋_GBK" w:eastAsia="方正仿宋_GBK" w:cs="方正仿宋_GBK"/>
          <w:b/>
          <w:bCs/>
          <w:color w:val="auto"/>
          <w:sz w:val="24"/>
          <w:szCs w:val="24"/>
          <w:highlight w:val="none"/>
        </w:rPr>
        <w:t>备注：</w:t>
      </w:r>
      <w:r>
        <w:rPr>
          <w:rFonts w:hint="eastAsia" w:ascii="方正仿宋_GBK" w:hAnsi="方正仿宋_GBK" w:eastAsia="方正仿宋_GBK" w:cs="方正仿宋_GBK"/>
          <w:b/>
          <w:bCs/>
          <w:color w:val="auto"/>
          <w:sz w:val="24"/>
          <w:szCs w:val="24"/>
          <w:highlight w:val="none"/>
          <w:lang w:val="en-US" w:eastAsia="zh-CN"/>
        </w:rPr>
        <w:t>以上</w:t>
      </w:r>
      <w:r>
        <w:rPr>
          <w:rFonts w:hint="eastAsia" w:ascii="方正仿宋_GBK" w:hAnsi="方正仿宋_GBK" w:eastAsia="方正仿宋_GBK" w:cs="方正仿宋_GBK"/>
          <w:b/>
          <w:bCs/>
          <w:color w:val="auto"/>
          <w:kern w:val="0"/>
          <w:sz w:val="24"/>
          <w:szCs w:val="24"/>
          <w:highlight w:val="none"/>
        </w:rPr>
        <w:t>表格</w:t>
      </w:r>
      <w:r>
        <w:rPr>
          <w:rFonts w:hint="eastAsia" w:ascii="方正仿宋_GBK" w:hAnsi="方正仿宋_GBK" w:eastAsia="方正仿宋_GBK" w:cs="方正仿宋_GBK"/>
          <w:b/>
          <w:bCs/>
          <w:color w:val="auto"/>
          <w:kern w:val="0"/>
          <w:sz w:val="24"/>
          <w:szCs w:val="24"/>
          <w:highlight w:val="none"/>
          <w:lang w:val="en-US" w:eastAsia="zh-CN"/>
        </w:rPr>
        <w:t>中</w:t>
      </w:r>
      <w:r>
        <w:rPr>
          <w:rFonts w:hint="eastAsia" w:ascii="方正仿宋_GBK" w:hAnsi="方正仿宋_GBK" w:eastAsia="方正仿宋_GBK" w:cs="方正仿宋_GBK"/>
          <w:b/>
          <w:bCs/>
          <w:color w:val="auto"/>
          <w:kern w:val="0"/>
          <w:sz w:val="24"/>
          <w:szCs w:val="24"/>
          <w:highlight w:val="none"/>
        </w:rPr>
        <w:t>作业量均为预估，</w:t>
      </w:r>
      <w:r>
        <w:rPr>
          <w:rFonts w:hint="eastAsia" w:ascii="方正仿宋_GBK" w:hAnsi="方正仿宋_GBK" w:eastAsia="方正仿宋_GBK" w:cs="方正仿宋_GBK"/>
          <w:b/>
          <w:bCs/>
          <w:color w:val="auto"/>
          <w:kern w:val="0"/>
          <w:sz w:val="24"/>
          <w:szCs w:val="24"/>
          <w:highlight w:val="none"/>
          <w:lang w:val="en-US" w:eastAsia="zh-CN"/>
        </w:rPr>
        <w:t>实际</w:t>
      </w:r>
      <w:r>
        <w:rPr>
          <w:rFonts w:hint="eastAsia" w:ascii="方正仿宋_GBK" w:hAnsi="方正仿宋_GBK" w:eastAsia="方正仿宋_GBK" w:cs="方正仿宋_GBK"/>
          <w:b/>
          <w:bCs/>
          <w:color w:val="auto"/>
          <w:kern w:val="0"/>
          <w:sz w:val="24"/>
          <w:szCs w:val="24"/>
          <w:highlight w:val="none"/>
        </w:rPr>
        <w:t>作业量以现场实际</w:t>
      </w:r>
      <w:r>
        <w:rPr>
          <w:rFonts w:hint="eastAsia" w:ascii="方正仿宋_GBK" w:hAnsi="方正仿宋_GBK" w:eastAsia="方正仿宋_GBK" w:cs="方正仿宋_GBK"/>
          <w:b/>
          <w:bCs/>
          <w:color w:val="auto"/>
          <w:kern w:val="0"/>
          <w:sz w:val="24"/>
          <w:szCs w:val="24"/>
          <w:highlight w:val="none"/>
          <w:lang w:val="en-US" w:eastAsia="zh-CN"/>
        </w:rPr>
        <w:t>需求</w:t>
      </w:r>
      <w:r>
        <w:rPr>
          <w:rFonts w:hint="eastAsia" w:ascii="方正仿宋_GBK" w:hAnsi="方正仿宋_GBK" w:eastAsia="方正仿宋_GBK" w:cs="方正仿宋_GBK"/>
          <w:b/>
          <w:bCs/>
          <w:color w:val="auto"/>
          <w:kern w:val="0"/>
          <w:sz w:val="24"/>
          <w:szCs w:val="24"/>
          <w:highlight w:val="none"/>
        </w:rPr>
        <w:t>为准。</w:t>
      </w:r>
      <w:r>
        <w:rPr>
          <w:rFonts w:hint="eastAsia" w:ascii="方正仿宋_GBK" w:hAnsi="方正仿宋_GBK" w:eastAsia="方正仿宋_GBK" w:cs="方正仿宋_GBK"/>
          <w:b/>
          <w:bCs/>
          <w:color w:val="auto"/>
          <w:sz w:val="24"/>
          <w:szCs w:val="24"/>
          <w:highlight w:val="none"/>
          <w:lang w:val="en-US" w:eastAsia="zh-CN"/>
        </w:rPr>
        <w:t>）</w:t>
      </w:r>
    </w:p>
    <w:p>
      <w:pPr>
        <w:rPr>
          <w:rFonts w:hint="default"/>
          <w:color w:val="auto"/>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njm/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g545v0QEAAKIDAAAOAAAAAAAAAAEAIAAAAB8BAABk&#10;cnMvZTJvRG9jLnhtbFBLBQYAAAAABgAGAFkBAABi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V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78dV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jH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Me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CAD9"/>
    <w:multiLevelType w:val="singleLevel"/>
    <w:tmpl w:val="84FDCAD9"/>
    <w:lvl w:ilvl="0" w:tentative="0">
      <w:start w:val="2"/>
      <w:numFmt w:val="decimal"/>
      <w:lvlText w:val="(%1)"/>
      <w:lvlJc w:val="left"/>
      <w:pPr>
        <w:tabs>
          <w:tab w:val="left" w:pos="312"/>
        </w:tabs>
      </w:pPr>
    </w:lvl>
  </w:abstractNum>
  <w:abstractNum w:abstractNumId="1">
    <w:nsid w:val="9DEC2140"/>
    <w:multiLevelType w:val="singleLevel"/>
    <w:tmpl w:val="9DEC2140"/>
    <w:lvl w:ilvl="0" w:tentative="0">
      <w:start w:val="1"/>
      <w:numFmt w:val="decimal"/>
      <w:suff w:val="nothing"/>
      <w:lvlText w:val="（%1）"/>
      <w:lvlJc w:val="left"/>
    </w:lvl>
  </w:abstractNum>
  <w:abstractNum w:abstractNumId="2">
    <w:nsid w:val="F38DCAAC"/>
    <w:multiLevelType w:val="singleLevel"/>
    <w:tmpl w:val="F38DCAAC"/>
    <w:lvl w:ilvl="0" w:tentative="0">
      <w:start w:val="1"/>
      <w:numFmt w:val="decimal"/>
      <w:suff w:val="nothing"/>
      <w:lvlText w:val="%1、"/>
      <w:lvlJc w:val="left"/>
    </w:lvl>
  </w:abstractNum>
  <w:abstractNum w:abstractNumId="3">
    <w:nsid w:val="19D399B2"/>
    <w:multiLevelType w:val="singleLevel"/>
    <w:tmpl w:val="19D399B2"/>
    <w:lvl w:ilvl="0" w:tentative="0">
      <w:start w:val="1"/>
      <w:numFmt w:val="decimal"/>
      <w:lvlText w:val="%1."/>
      <w:lvlJc w:val="left"/>
      <w:pPr>
        <w:tabs>
          <w:tab w:val="left" w:pos="312"/>
        </w:tabs>
      </w:pPr>
    </w:lvl>
  </w:abstractNum>
  <w:abstractNum w:abstractNumId="4">
    <w:nsid w:val="202E57E8"/>
    <w:multiLevelType w:val="singleLevel"/>
    <w:tmpl w:val="202E57E8"/>
    <w:lvl w:ilvl="0" w:tentative="0">
      <w:start w:val="2"/>
      <w:numFmt w:val="decimal"/>
      <w:suff w:val="nothing"/>
      <w:lvlText w:val="%1、"/>
      <w:lvlJc w:val="left"/>
    </w:lvl>
  </w:abstractNum>
  <w:abstractNum w:abstractNumId="5">
    <w:nsid w:val="2AF526F6"/>
    <w:multiLevelType w:val="singleLevel"/>
    <w:tmpl w:val="2AF526F6"/>
    <w:lvl w:ilvl="0" w:tentative="0">
      <w:start w:val="1"/>
      <w:numFmt w:val="decimal"/>
      <w:suff w:val="nothing"/>
      <w:lvlText w:val="%1、"/>
      <w:lvlJc w:val="left"/>
    </w:lvl>
  </w:abstractNum>
  <w:abstractNum w:abstractNumId="6">
    <w:nsid w:val="385FE189"/>
    <w:multiLevelType w:val="singleLevel"/>
    <w:tmpl w:val="385FE189"/>
    <w:lvl w:ilvl="0" w:tentative="0">
      <w:start w:val="1"/>
      <w:numFmt w:val="decimal"/>
      <w:suff w:val="nothing"/>
      <w:lvlText w:val="%1、"/>
      <w:lvlJc w:val="left"/>
    </w:lvl>
  </w:abstractNum>
  <w:abstractNum w:abstractNumId="7">
    <w:nsid w:val="4343D8FF"/>
    <w:multiLevelType w:val="singleLevel"/>
    <w:tmpl w:val="4343D8FF"/>
    <w:lvl w:ilvl="0" w:tentative="0">
      <w:start w:val="1"/>
      <w:numFmt w:val="decimal"/>
      <w:suff w:val="nothing"/>
      <w:lvlText w:val="（%1）"/>
      <w:lvlJc w:val="left"/>
    </w:lvl>
  </w:abstractNum>
  <w:abstractNum w:abstractNumId="8">
    <w:nsid w:val="4CBEEF54"/>
    <w:multiLevelType w:val="singleLevel"/>
    <w:tmpl w:val="4CBEEF54"/>
    <w:lvl w:ilvl="0" w:tentative="0">
      <w:start w:val="2"/>
      <w:numFmt w:val="decimal"/>
      <w:suff w:val="nothing"/>
      <w:lvlText w:val="（%1）"/>
      <w:lvlJc w:val="left"/>
    </w:lvl>
  </w:abstractNum>
  <w:abstractNum w:abstractNumId="9">
    <w:nsid w:val="53B511E8"/>
    <w:multiLevelType w:val="singleLevel"/>
    <w:tmpl w:val="53B511E8"/>
    <w:lvl w:ilvl="0" w:tentative="0">
      <w:start w:val="5"/>
      <w:numFmt w:val="decimal"/>
      <w:suff w:val="nothing"/>
      <w:lvlText w:val="%1、"/>
      <w:lvlJc w:val="left"/>
    </w:lvl>
  </w:abstractNum>
  <w:abstractNum w:abstractNumId="10">
    <w:nsid w:val="7092BF8C"/>
    <w:multiLevelType w:val="singleLevel"/>
    <w:tmpl w:val="7092BF8C"/>
    <w:lvl w:ilvl="0" w:tentative="0">
      <w:start w:val="5"/>
      <w:numFmt w:val="chineseCounting"/>
      <w:suff w:val="space"/>
      <w:lvlText w:val="第%1条"/>
      <w:lvlJc w:val="left"/>
      <w:rPr>
        <w:rFonts w:hint="eastAsia"/>
      </w:rPr>
    </w:lvl>
  </w:abstractNum>
  <w:abstractNum w:abstractNumId="11">
    <w:nsid w:val="786BBCE0"/>
    <w:multiLevelType w:val="singleLevel"/>
    <w:tmpl w:val="786BBCE0"/>
    <w:lvl w:ilvl="0" w:tentative="0">
      <w:start w:val="1"/>
      <w:numFmt w:val="decimal"/>
      <w:suff w:val="nothing"/>
      <w:lvlText w:val="%1、"/>
      <w:lvlJc w:val="left"/>
    </w:lvl>
  </w:abstractNum>
  <w:num w:numId="1">
    <w:abstractNumId w:val="5"/>
  </w:num>
  <w:num w:numId="2">
    <w:abstractNumId w:val="11"/>
  </w:num>
  <w:num w:numId="3">
    <w:abstractNumId w:val="7"/>
  </w:num>
  <w:num w:numId="4">
    <w:abstractNumId w:val="6"/>
  </w:num>
  <w:num w:numId="5">
    <w:abstractNumId w:val="1"/>
  </w:num>
  <w:num w:numId="6">
    <w:abstractNumId w:val="3"/>
  </w:num>
  <w:num w:numId="7">
    <w:abstractNumId w:val="0"/>
  </w:num>
  <w:num w:numId="8">
    <w:abstractNumId w:val="9"/>
  </w:num>
  <w:num w:numId="9">
    <w:abstractNumId w:val="8"/>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ODViZDU0NTNhMzA5OTMwNDhjZTM4ZDVlOWNjN2IifQ=="/>
  </w:docVars>
  <w:rsids>
    <w:rsidRoot w:val="61771F9D"/>
    <w:rsid w:val="00003797"/>
    <w:rsid w:val="00067E67"/>
    <w:rsid w:val="000B1F28"/>
    <w:rsid w:val="000F30E5"/>
    <w:rsid w:val="001077E4"/>
    <w:rsid w:val="00107BAA"/>
    <w:rsid w:val="0011062C"/>
    <w:rsid w:val="001232D0"/>
    <w:rsid w:val="00132E32"/>
    <w:rsid w:val="001546A4"/>
    <w:rsid w:val="00175DF9"/>
    <w:rsid w:val="001A00DC"/>
    <w:rsid w:val="001A30B2"/>
    <w:rsid w:val="001E23EF"/>
    <w:rsid w:val="00204ECB"/>
    <w:rsid w:val="00205991"/>
    <w:rsid w:val="00207F06"/>
    <w:rsid w:val="00222863"/>
    <w:rsid w:val="0024775E"/>
    <w:rsid w:val="00280E77"/>
    <w:rsid w:val="00283A7D"/>
    <w:rsid w:val="002C0FF6"/>
    <w:rsid w:val="002D5A85"/>
    <w:rsid w:val="0033260D"/>
    <w:rsid w:val="00333992"/>
    <w:rsid w:val="003553C6"/>
    <w:rsid w:val="003A28E5"/>
    <w:rsid w:val="00415922"/>
    <w:rsid w:val="004251D5"/>
    <w:rsid w:val="00426CE1"/>
    <w:rsid w:val="0043316F"/>
    <w:rsid w:val="00444F53"/>
    <w:rsid w:val="0047777E"/>
    <w:rsid w:val="004903BA"/>
    <w:rsid w:val="004C1A1E"/>
    <w:rsid w:val="004C65DD"/>
    <w:rsid w:val="004E21AB"/>
    <w:rsid w:val="00514717"/>
    <w:rsid w:val="00520318"/>
    <w:rsid w:val="005758DD"/>
    <w:rsid w:val="005B53BD"/>
    <w:rsid w:val="005B7903"/>
    <w:rsid w:val="00615D35"/>
    <w:rsid w:val="00622BEE"/>
    <w:rsid w:val="00654F9A"/>
    <w:rsid w:val="00680497"/>
    <w:rsid w:val="006B0349"/>
    <w:rsid w:val="006B61FD"/>
    <w:rsid w:val="006C1B36"/>
    <w:rsid w:val="006D2829"/>
    <w:rsid w:val="006D6EC3"/>
    <w:rsid w:val="00727F80"/>
    <w:rsid w:val="00757FA1"/>
    <w:rsid w:val="007C457E"/>
    <w:rsid w:val="007E4DDF"/>
    <w:rsid w:val="00843586"/>
    <w:rsid w:val="008545A4"/>
    <w:rsid w:val="0087167F"/>
    <w:rsid w:val="008C4886"/>
    <w:rsid w:val="008D0782"/>
    <w:rsid w:val="009049C5"/>
    <w:rsid w:val="00904E9C"/>
    <w:rsid w:val="009342FD"/>
    <w:rsid w:val="00934D34"/>
    <w:rsid w:val="009401CB"/>
    <w:rsid w:val="00955B1D"/>
    <w:rsid w:val="009946CA"/>
    <w:rsid w:val="0099482F"/>
    <w:rsid w:val="009C20A9"/>
    <w:rsid w:val="009C2110"/>
    <w:rsid w:val="009C7455"/>
    <w:rsid w:val="009E079C"/>
    <w:rsid w:val="009E7004"/>
    <w:rsid w:val="00A219C5"/>
    <w:rsid w:val="00A46464"/>
    <w:rsid w:val="00A704DC"/>
    <w:rsid w:val="00A76E61"/>
    <w:rsid w:val="00A952A7"/>
    <w:rsid w:val="00AC6057"/>
    <w:rsid w:val="00AD3861"/>
    <w:rsid w:val="00AE1EC1"/>
    <w:rsid w:val="00AE2DE8"/>
    <w:rsid w:val="00B135C8"/>
    <w:rsid w:val="00B331E1"/>
    <w:rsid w:val="00B33701"/>
    <w:rsid w:val="00B3556F"/>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74126"/>
    <w:rsid w:val="00EC648F"/>
    <w:rsid w:val="00EE235A"/>
    <w:rsid w:val="00F016C9"/>
    <w:rsid w:val="00F711E0"/>
    <w:rsid w:val="00F76B58"/>
    <w:rsid w:val="00F80689"/>
    <w:rsid w:val="00F80C4F"/>
    <w:rsid w:val="00F87B63"/>
    <w:rsid w:val="00FB184A"/>
    <w:rsid w:val="00FE5412"/>
    <w:rsid w:val="014A4869"/>
    <w:rsid w:val="015B6D94"/>
    <w:rsid w:val="018F785C"/>
    <w:rsid w:val="019B62D0"/>
    <w:rsid w:val="01C532E9"/>
    <w:rsid w:val="02300221"/>
    <w:rsid w:val="023460A6"/>
    <w:rsid w:val="02536887"/>
    <w:rsid w:val="025C1772"/>
    <w:rsid w:val="026779BA"/>
    <w:rsid w:val="028A507F"/>
    <w:rsid w:val="029F53A6"/>
    <w:rsid w:val="02B74D65"/>
    <w:rsid w:val="02BB6AD5"/>
    <w:rsid w:val="02DA490A"/>
    <w:rsid w:val="02E470A8"/>
    <w:rsid w:val="02E628A1"/>
    <w:rsid w:val="02EA04EB"/>
    <w:rsid w:val="02EB59EF"/>
    <w:rsid w:val="032C15CE"/>
    <w:rsid w:val="034C6B09"/>
    <w:rsid w:val="03537505"/>
    <w:rsid w:val="039B4242"/>
    <w:rsid w:val="03C749B1"/>
    <w:rsid w:val="03D814FB"/>
    <w:rsid w:val="03F37758"/>
    <w:rsid w:val="03F83330"/>
    <w:rsid w:val="03F90456"/>
    <w:rsid w:val="03FC6E79"/>
    <w:rsid w:val="03FD515B"/>
    <w:rsid w:val="04093748"/>
    <w:rsid w:val="041A320C"/>
    <w:rsid w:val="045D4C41"/>
    <w:rsid w:val="04675A50"/>
    <w:rsid w:val="04690990"/>
    <w:rsid w:val="047A3D7F"/>
    <w:rsid w:val="048339CF"/>
    <w:rsid w:val="049820AD"/>
    <w:rsid w:val="049E7AE4"/>
    <w:rsid w:val="049F6CCF"/>
    <w:rsid w:val="04AA055C"/>
    <w:rsid w:val="04D255BF"/>
    <w:rsid w:val="04FF7EFB"/>
    <w:rsid w:val="05072E5A"/>
    <w:rsid w:val="050A6429"/>
    <w:rsid w:val="05112DC1"/>
    <w:rsid w:val="05894B19"/>
    <w:rsid w:val="059203FB"/>
    <w:rsid w:val="05A6089F"/>
    <w:rsid w:val="05B2504B"/>
    <w:rsid w:val="05B44CC5"/>
    <w:rsid w:val="05C25634"/>
    <w:rsid w:val="05DC49B6"/>
    <w:rsid w:val="05E749E3"/>
    <w:rsid w:val="06176A42"/>
    <w:rsid w:val="062E1B85"/>
    <w:rsid w:val="063F6C84"/>
    <w:rsid w:val="06615263"/>
    <w:rsid w:val="06826771"/>
    <w:rsid w:val="06863D99"/>
    <w:rsid w:val="069C40D7"/>
    <w:rsid w:val="06B917F9"/>
    <w:rsid w:val="06EA6F3C"/>
    <w:rsid w:val="072B545A"/>
    <w:rsid w:val="07433EB8"/>
    <w:rsid w:val="0757624F"/>
    <w:rsid w:val="075D751E"/>
    <w:rsid w:val="07E32CEB"/>
    <w:rsid w:val="07E47603"/>
    <w:rsid w:val="07E775D3"/>
    <w:rsid w:val="07EF601C"/>
    <w:rsid w:val="0808754A"/>
    <w:rsid w:val="081F7AE1"/>
    <w:rsid w:val="08517452"/>
    <w:rsid w:val="08566507"/>
    <w:rsid w:val="086E3851"/>
    <w:rsid w:val="08733722"/>
    <w:rsid w:val="08A41020"/>
    <w:rsid w:val="08E958CE"/>
    <w:rsid w:val="09055E29"/>
    <w:rsid w:val="09297778"/>
    <w:rsid w:val="092A7C70"/>
    <w:rsid w:val="0946657C"/>
    <w:rsid w:val="098B3F8E"/>
    <w:rsid w:val="09AC5CCE"/>
    <w:rsid w:val="09B92DAF"/>
    <w:rsid w:val="09C01B05"/>
    <w:rsid w:val="09C6000F"/>
    <w:rsid w:val="0A3D4649"/>
    <w:rsid w:val="0A582E67"/>
    <w:rsid w:val="0A6C3DC0"/>
    <w:rsid w:val="0A997300"/>
    <w:rsid w:val="0AF53DB5"/>
    <w:rsid w:val="0B256EDB"/>
    <w:rsid w:val="0B3476FB"/>
    <w:rsid w:val="0B36585D"/>
    <w:rsid w:val="0B5E4734"/>
    <w:rsid w:val="0B62538F"/>
    <w:rsid w:val="0B670BE4"/>
    <w:rsid w:val="0B680A2B"/>
    <w:rsid w:val="0B952CD5"/>
    <w:rsid w:val="0BA737DB"/>
    <w:rsid w:val="0BC916A9"/>
    <w:rsid w:val="0BCE544D"/>
    <w:rsid w:val="0C0100DB"/>
    <w:rsid w:val="0C062AE9"/>
    <w:rsid w:val="0C1F4E62"/>
    <w:rsid w:val="0C2846F9"/>
    <w:rsid w:val="0C381612"/>
    <w:rsid w:val="0C4B5C57"/>
    <w:rsid w:val="0C5823BF"/>
    <w:rsid w:val="0C7E2224"/>
    <w:rsid w:val="0CA41DB2"/>
    <w:rsid w:val="0CA74127"/>
    <w:rsid w:val="0CC30E22"/>
    <w:rsid w:val="0CCD48BE"/>
    <w:rsid w:val="0CD42F59"/>
    <w:rsid w:val="0CF22471"/>
    <w:rsid w:val="0CF87CA9"/>
    <w:rsid w:val="0D223A98"/>
    <w:rsid w:val="0D7370A6"/>
    <w:rsid w:val="0D744E7D"/>
    <w:rsid w:val="0D830E03"/>
    <w:rsid w:val="0D866AD9"/>
    <w:rsid w:val="0D9413FC"/>
    <w:rsid w:val="0DC83A03"/>
    <w:rsid w:val="0DCE553E"/>
    <w:rsid w:val="0DE21252"/>
    <w:rsid w:val="0DF11F32"/>
    <w:rsid w:val="0E4B0190"/>
    <w:rsid w:val="0E5406AA"/>
    <w:rsid w:val="0EBA3DB7"/>
    <w:rsid w:val="0ECA63D1"/>
    <w:rsid w:val="0ED4568F"/>
    <w:rsid w:val="0EEE57A9"/>
    <w:rsid w:val="0F026AA1"/>
    <w:rsid w:val="0F0334AB"/>
    <w:rsid w:val="0F2B4570"/>
    <w:rsid w:val="0F384BB8"/>
    <w:rsid w:val="0F400A83"/>
    <w:rsid w:val="0FBF6F8D"/>
    <w:rsid w:val="0FC20898"/>
    <w:rsid w:val="0FCB0EB9"/>
    <w:rsid w:val="0FD77F2D"/>
    <w:rsid w:val="103E7E00"/>
    <w:rsid w:val="10441637"/>
    <w:rsid w:val="105D7FFC"/>
    <w:rsid w:val="106851C6"/>
    <w:rsid w:val="106E21D5"/>
    <w:rsid w:val="107057B6"/>
    <w:rsid w:val="107E484D"/>
    <w:rsid w:val="10B83C29"/>
    <w:rsid w:val="10F15212"/>
    <w:rsid w:val="11072B7B"/>
    <w:rsid w:val="11077A75"/>
    <w:rsid w:val="111C022D"/>
    <w:rsid w:val="112B2B23"/>
    <w:rsid w:val="112D2031"/>
    <w:rsid w:val="11513A1F"/>
    <w:rsid w:val="115A6F60"/>
    <w:rsid w:val="11627186"/>
    <w:rsid w:val="119B1453"/>
    <w:rsid w:val="11A4434D"/>
    <w:rsid w:val="11DA3D05"/>
    <w:rsid w:val="11DB2B2B"/>
    <w:rsid w:val="11FE0830"/>
    <w:rsid w:val="11FF551A"/>
    <w:rsid w:val="121D1A18"/>
    <w:rsid w:val="1222745A"/>
    <w:rsid w:val="12371157"/>
    <w:rsid w:val="1237792A"/>
    <w:rsid w:val="12573F56"/>
    <w:rsid w:val="12953ACD"/>
    <w:rsid w:val="129C545E"/>
    <w:rsid w:val="12A55EF3"/>
    <w:rsid w:val="12C56763"/>
    <w:rsid w:val="12F9132B"/>
    <w:rsid w:val="1323348A"/>
    <w:rsid w:val="1359615B"/>
    <w:rsid w:val="135D55D5"/>
    <w:rsid w:val="13977D36"/>
    <w:rsid w:val="13DE0982"/>
    <w:rsid w:val="13FA129B"/>
    <w:rsid w:val="14140B44"/>
    <w:rsid w:val="141A2ADF"/>
    <w:rsid w:val="143B4AAE"/>
    <w:rsid w:val="145D29CB"/>
    <w:rsid w:val="14935774"/>
    <w:rsid w:val="14A95694"/>
    <w:rsid w:val="14B00D4D"/>
    <w:rsid w:val="14BA5FD3"/>
    <w:rsid w:val="14E65D3F"/>
    <w:rsid w:val="14EB7FD7"/>
    <w:rsid w:val="15453B8B"/>
    <w:rsid w:val="15744EC4"/>
    <w:rsid w:val="157D3325"/>
    <w:rsid w:val="15932B49"/>
    <w:rsid w:val="159857DA"/>
    <w:rsid w:val="15C81239"/>
    <w:rsid w:val="15CE3B81"/>
    <w:rsid w:val="161D47F6"/>
    <w:rsid w:val="1631651A"/>
    <w:rsid w:val="16391231"/>
    <w:rsid w:val="16556273"/>
    <w:rsid w:val="165F4FF8"/>
    <w:rsid w:val="1664363B"/>
    <w:rsid w:val="16664C4C"/>
    <w:rsid w:val="1675508F"/>
    <w:rsid w:val="167E347B"/>
    <w:rsid w:val="168A1F83"/>
    <w:rsid w:val="169346DC"/>
    <w:rsid w:val="16AE0866"/>
    <w:rsid w:val="16B10C01"/>
    <w:rsid w:val="16B207CA"/>
    <w:rsid w:val="16CF1E69"/>
    <w:rsid w:val="16F74D42"/>
    <w:rsid w:val="170D5685"/>
    <w:rsid w:val="17391CF9"/>
    <w:rsid w:val="1789285E"/>
    <w:rsid w:val="17920C3F"/>
    <w:rsid w:val="17C74D2B"/>
    <w:rsid w:val="17D14087"/>
    <w:rsid w:val="17DB3084"/>
    <w:rsid w:val="17DC7D4F"/>
    <w:rsid w:val="181F5AD8"/>
    <w:rsid w:val="18307450"/>
    <w:rsid w:val="184D3EF1"/>
    <w:rsid w:val="1875761C"/>
    <w:rsid w:val="188A6F19"/>
    <w:rsid w:val="18A250E7"/>
    <w:rsid w:val="19161AB9"/>
    <w:rsid w:val="19682DA5"/>
    <w:rsid w:val="199826D4"/>
    <w:rsid w:val="19BC6F4C"/>
    <w:rsid w:val="19BE5749"/>
    <w:rsid w:val="19DE0AF8"/>
    <w:rsid w:val="19F57841"/>
    <w:rsid w:val="1A114340"/>
    <w:rsid w:val="1A165AF6"/>
    <w:rsid w:val="1A3E0861"/>
    <w:rsid w:val="1A465E04"/>
    <w:rsid w:val="1AB70F3D"/>
    <w:rsid w:val="1B187CCE"/>
    <w:rsid w:val="1B9F38C9"/>
    <w:rsid w:val="1BF02BE4"/>
    <w:rsid w:val="1C367650"/>
    <w:rsid w:val="1CB34617"/>
    <w:rsid w:val="1CB7247E"/>
    <w:rsid w:val="1CBA4E5F"/>
    <w:rsid w:val="1CC97F51"/>
    <w:rsid w:val="1CD362C0"/>
    <w:rsid w:val="1CD85960"/>
    <w:rsid w:val="1D523CEF"/>
    <w:rsid w:val="1DA62689"/>
    <w:rsid w:val="1DCB6E46"/>
    <w:rsid w:val="1DE1074A"/>
    <w:rsid w:val="1E0E6E6F"/>
    <w:rsid w:val="1E186628"/>
    <w:rsid w:val="1EBB45E5"/>
    <w:rsid w:val="1EBB548D"/>
    <w:rsid w:val="1EC0236C"/>
    <w:rsid w:val="1EE2244B"/>
    <w:rsid w:val="1EE43BB1"/>
    <w:rsid w:val="1EEE6D0E"/>
    <w:rsid w:val="1EF8115B"/>
    <w:rsid w:val="1EF86E9C"/>
    <w:rsid w:val="1F0B2466"/>
    <w:rsid w:val="1F187AFC"/>
    <w:rsid w:val="1F282554"/>
    <w:rsid w:val="1F3F3FEC"/>
    <w:rsid w:val="1F7F6794"/>
    <w:rsid w:val="1F85103B"/>
    <w:rsid w:val="1F9A2D26"/>
    <w:rsid w:val="1F9A4A89"/>
    <w:rsid w:val="1FA55DB1"/>
    <w:rsid w:val="1FA87ADA"/>
    <w:rsid w:val="1FC65DC4"/>
    <w:rsid w:val="20142AD8"/>
    <w:rsid w:val="201C35AB"/>
    <w:rsid w:val="202F16C0"/>
    <w:rsid w:val="20517888"/>
    <w:rsid w:val="20665917"/>
    <w:rsid w:val="206F2019"/>
    <w:rsid w:val="20700A81"/>
    <w:rsid w:val="20840398"/>
    <w:rsid w:val="20991071"/>
    <w:rsid w:val="20AE2C55"/>
    <w:rsid w:val="21103460"/>
    <w:rsid w:val="212C3E51"/>
    <w:rsid w:val="215313DE"/>
    <w:rsid w:val="21867A05"/>
    <w:rsid w:val="21997739"/>
    <w:rsid w:val="21D11DED"/>
    <w:rsid w:val="21E87D78"/>
    <w:rsid w:val="21F842F8"/>
    <w:rsid w:val="21F9443D"/>
    <w:rsid w:val="22092E8E"/>
    <w:rsid w:val="22396B4F"/>
    <w:rsid w:val="223B434C"/>
    <w:rsid w:val="228E2238"/>
    <w:rsid w:val="22BD7FE2"/>
    <w:rsid w:val="23706277"/>
    <w:rsid w:val="238B30B1"/>
    <w:rsid w:val="23AE6E2F"/>
    <w:rsid w:val="23C44815"/>
    <w:rsid w:val="23DA2C45"/>
    <w:rsid w:val="23DA5DE6"/>
    <w:rsid w:val="23E70713"/>
    <w:rsid w:val="23FE3883"/>
    <w:rsid w:val="240A1E8A"/>
    <w:rsid w:val="243701FA"/>
    <w:rsid w:val="244669C2"/>
    <w:rsid w:val="24561ED1"/>
    <w:rsid w:val="245F009A"/>
    <w:rsid w:val="24637A54"/>
    <w:rsid w:val="247B7807"/>
    <w:rsid w:val="24AB2A1F"/>
    <w:rsid w:val="24D3190F"/>
    <w:rsid w:val="253523E4"/>
    <w:rsid w:val="258535E4"/>
    <w:rsid w:val="25A13AD9"/>
    <w:rsid w:val="25B53CA1"/>
    <w:rsid w:val="25C40AFC"/>
    <w:rsid w:val="25D37972"/>
    <w:rsid w:val="25EE2BEE"/>
    <w:rsid w:val="260375B1"/>
    <w:rsid w:val="26047715"/>
    <w:rsid w:val="264D28A0"/>
    <w:rsid w:val="26926505"/>
    <w:rsid w:val="2699044B"/>
    <w:rsid w:val="26D03AD3"/>
    <w:rsid w:val="26D37BDA"/>
    <w:rsid w:val="26E869F9"/>
    <w:rsid w:val="270F224B"/>
    <w:rsid w:val="271E72F7"/>
    <w:rsid w:val="27695189"/>
    <w:rsid w:val="27851763"/>
    <w:rsid w:val="27882C4F"/>
    <w:rsid w:val="27B71B44"/>
    <w:rsid w:val="27CE0083"/>
    <w:rsid w:val="27D532E6"/>
    <w:rsid w:val="27DC0E40"/>
    <w:rsid w:val="27E3149F"/>
    <w:rsid w:val="27EC4E11"/>
    <w:rsid w:val="27ED115A"/>
    <w:rsid w:val="2880658D"/>
    <w:rsid w:val="288A3B37"/>
    <w:rsid w:val="2898677D"/>
    <w:rsid w:val="28A36794"/>
    <w:rsid w:val="28BD4603"/>
    <w:rsid w:val="28C50CE2"/>
    <w:rsid w:val="28CE5EEB"/>
    <w:rsid w:val="29001E4B"/>
    <w:rsid w:val="29472C62"/>
    <w:rsid w:val="295C1403"/>
    <w:rsid w:val="29602110"/>
    <w:rsid w:val="29BE456F"/>
    <w:rsid w:val="2A0E767C"/>
    <w:rsid w:val="2A6117FF"/>
    <w:rsid w:val="2A731ED7"/>
    <w:rsid w:val="2A8A7353"/>
    <w:rsid w:val="2A8C3D3A"/>
    <w:rsid w:val="2ABC2E32"/>
    <w:rsid w:val="2ABF6EDE"/>
    <w:rsid w:val="2AF71C8B"/>
    <w:rsid w:val="2B0640B7"/>
    <w:rsid w:val="2B1E5499"/>
    <w:rsid w:val="2B395AE8"/>
    <w:rsid w:val="2B6D7540"/>
    <w:rsid w:val="2B764F60"/>
    <w:rsid w:val="2BA524BA"/>
    <w:rsid w:val="2BBD471E"/>
    <w:rsid w:val="2BDF5999"/>
    <w:rsid w:val="2BE23A8A"/>
    <w:rsid w:val="2C211938"/>
    <w:rsid w:val="2C291181"/>
    <w:rsid w:val="2C4209CD"/>
    <w:rsid w:val="2C4E7372"/>
    <w:rsid w:val="2D172FF6"/>
    <w:rsid w:val="2D2D4261"/>
    <w:rsid w:val="2D4D2C4B"/>
    <w:rsid w:val="2D621327"/>
    <w:rsid w:val="2D856DA1"/>
    <w:rsid w:val="2D8C6D98"/>
    <w:rsid w:val="2D914B0D"/>
    <w:rsid w:val="2D99286E"/>
    <w:rsid w:val="2DD52E33"/>
    <w:rsid w:val="2DD613CD"/>
    <w:rsid w:val="2E0E4B42"/>
    <w:rsid w:val="2E5642BC"/>
    <w:rsid w:val="2ECB4A29"/>
    <w:rsid w:val="2EF706EB"/>
    <w:rsid w:val="2EF76980"/>
    <w:rsid w:val="2EFD2C10"/>
    <w:rsid w:val="2F0A3A24"/>
    <w:rsid w:val="2F0D52C2"/>
    <w:rsid w:val="2F4410AB"/>
    <w:rsid w:val="2F506DA5"/>
    <w:rsid w:val="2F81580D"/>
    <w:rsid w:val="2F894BD6"/>
    <w:rsid w:val="2F971030"/>
    <w:rsid w:val="2F9A34A9"/>
    <w:rsid w:val="2FD15DDB"/>
    <w:rsid w:val="2FF53F42"/>
    <w:rsid w:val="30156655"/>
    <w:rsid w:val="30191A45"/>
    <w:rsid w:val="303E3AC7"/>
    <w:rsid w:val="304C19DC"/>
    <w:rsid w:val="30534B6F"/>
    <w:rsid w:val="3082581B"/>
    <w:rsid w:val="308A7A18"/>
    <w:rsid w:val="30B84BA1"/>
    <w:rsid w:val="30BE39AD"/>
    <w:rsid w:val="30C8474C"/>
    <w:rsid w:val="30F027A5"/>
    <w:rsid w:val="30F75572"/>
    <w:rsid w:val="317C0D70"/>
    <w:rsid w:val="319770C5"/>
    <w:rsid w:val="31A13C71"/>
    <w:rsid w:val="31AA11CD"/>
    <w:rsid w:val="31AD353E"/>
    <w:rsid w:val="31C66DCA"/>
    <w:rsid w:val="31CD6F8B"/>
    <w:rsid w:val="322A29BE"/>
    <w:rsid w:val="32755B3F"/>
    <w:rsid w:val="327A2C6E"/>
    <w:rsid w:val="32910BFC"/>
    <w:rsid w:val="32D63637"/>
    <w:rsid w:val="32F6606D"/>
    <w:rsid w:val="33584D17"/>
    <w:rsid w:val="336770DA"/>
    <w:rsid w:val="338D077F"/>
    <w:rsid w:val="33B10912"/>
    <w:rsid w:val="33D95773"/>
    <w:rsid w:val="33E05883"/>
    <w:rsid w:val="34277A89"/>
    <w:rsid w:val="34502B3C"/>
    <w:rsid w:val="34875B58"/>
    <w:rsid w:val="34AA5361"/>
    <w:rsid w:val="34B34216"/>
    <w:rsid w:val="34EC697D"/>
    <w:rsid w:val="355C48AD"/>
    <w:rsid w:val="356467EB"/>
    <w:rsid w:val="35675CD8"/>
    <w:rsid w:val="357C62C0"/>
    <w:rsid w:val="358F7495"/>
    <w:rsid w:val="35C808B1"/>
    <w:rsid w:val="35EE5151"/>
    <w:rsid w:val="361433EF"/>
    <w:rsid w:val="36286B73"/>
    <w:rsid w:val="36290B2F"/>
    <w:rsid w:val="362D13B0"/>
    <w:rsid w:val="36783969"/>
    <w:rsid w:val="368608FD"/>
    <w:rsid w:val="36892348"/>
    <w:rsid w:val="36F86858"/>
    <w:rsid w:val="370451FC"/>
    <w:rsid w:val="373652E3"/>
    <w:rsid w:val="375546D0"/>
    <w:rsid w:val="377C3731"/>
    <w:rsid w:val="37863E63"/>
    <w:rsid w:val="37916446"/>
    <w:rsid w:val="37992BB5"/>
    <w:rsid w:val="37B0227B"/>
    <w:rsid w:val="38390CFC"/>
    <w:rsid w:val="3855231E"/>
    <w:rsid w:val="385D4C77"/>
    <w:rsid w:val="38672589"/>
    <w:rsid w:val="38A60A12"/>
    <w:rsid w:val="38BF2886"/>
    <w:rsid w:val="38DB01DF"/>
    <w:rsid w:val="38FD1534"/>
    <w:rsid w:val="390F240C"/>
    <w:rsid w:val="392568B6"/>
    <w:rsid w:val="392D763B"/>
    <w:rsid w:val="393161C0"/>
    <w:rsid w:val="39AC56D7"/>
    <w:rsid w:val="39D70512"/>
    <w:rsid w:val="39E712A5"/>
    <w:rsid w:val="39F95713"/>
    <w:rsid w:val="3A0E0B1B"/>
    <w:rsid w:val="3A1F234D"/>
    <w:rsid w:val="3A5F1FCB"/>
    <w:rsid w:val="3A6A6801"/>
    <w:rsid w:val="3AA028C2"/>
    <w:rsid w:val="3AAF36D1"/>
    <w:rsid w:val="3AB74334"/>
    <w:rsid w:val="3B190B4B"/>
    <w:rsid w:val="3B240146"/>
    <w:rsid w:val="3B4F37E8"/>
    <w:rsid w:val="3B5F4080"/>
    <w:rsid w:val="3B6F6B01"/>
    <w:rsid w:val="3B913177"/>
    <w:rsid w:val="3B981F47"/>
    <w:rsid w:val="3BAB0C87"/>
    <w:rsid w:val="3BB05953"/>
    <w:rsid w:val="3BB96DB6"/>
    <w:rsid w:val="3BBB2C26"/>
    <w:rsid w:val="3BBE2083"/>
    <w:rsid w:val="3BC42600"/>
    <w:rsid w:val="3BD74C8E"/>
    <w:rsid w:val="3BE857DC"/>
    <w:rsid w:val="3C33049F"/>
    <w:rsid w:val="3C423D71"/>
    <w:rsid w:val="3C487939"/>
    <w:rsid w:val="3C5A766D"/>
    <w:rsid w:val="3CCA5F9E"/>
    <w:rsid w:val="3CD270D8"/>
    <w:rsid w:val="3CDC2262"/>
    <w:rsid w:val="3CF9616C"/>
    <w:rsid w:val="3CFE449C"/>
    <w:rsid w:val="3D23633B"/>
    <w:rsid w:val="3D4A148F"/>
    <w:rsid w:val="3D5642D8"/>
    <w:rsid w:val="3D622C7D"/>
    <w:rsid w:val="3D633DAF"/>
    <w:rsid w:val="3D650176"/>
    <w:rsid w:val="3D6513A4"/>
    <w:rsid w:val="3D7719D5"/>
    <w:rsid w:val="3D804F37"/>
    <w:rsid w:val="3D8817CF"/>
    <w:rsid w:val="3D8E5820"/>
    <w:rsid w:val="3DBF3C2B"/>
    <w:rsid w:val="3DF37D79"/>
    <w:rsid w:val="3DF76C7F"/>
    <w:rsid w:val="3E032EB7"/>
    <w:rsid w:val="3E287A22"/>
    <w:rsid w:val="3E293407"/>
    <w:rsid w:val="3E2D64A7"/>
    <w:rsid w:val="3E71651A"/>
    <w:rsid w:val="3E952BDE"/>
    <w:rsid w:val="3EB72B54"/>
    <w:rsid w:val="3EDC306B"/>
    <w:rsid w:val="3EE31D23"/>
    <w:rsid w:val="3F035D9A"/>
    <w:rsid w:val="3F156858"/>
    <w:rsid w:val="3F1D290D"/>
    <w:rsid w:val="3F20694C"/>
    <w:rsid w:val="3F4907B2"/>
    <w:rsid w:val="3F607C2D"/>
    <w:rsid w:val="3F68453B"/>
    <w:rsid w:val="3F88308A"/>
    <w:rsid w:val="3F995312"/>
    <w:rsid w:val="3F9966FE"/>
    <w:rsid w:val="3FDC7C1A"/>
    <w:rsid w:val="400D1685"/>
    <w:rsid w:val="4083757B"/>
    <w:rsid w:val="408C635B"/>
    <w:rsid w:val="40A32B51"/>
    <w:rsid w:val="40D00267"/>
    <w:rsid w:val="40F33A82"/>
    <w:rsid w:val="414D62D4"/>
    <w:rsid w:val="417040E6"/>
    <w:rsid w:val="41D55520"/>
    <w:rsid w:val="41E6476F"/>
    <w:rsid w:val="41E95468"/>
    <w:rsid w:val="41ED56F3"/>
    <w:rsid w:val="41F40ADF"/>
    <w:rsid w:val="41F7683F"/>
    <w:rsid w:val="41F8770C"/>
    <w:rsid w:val="41FC6E26"/>
    <w:rsid w:val="420E4DBD"/>
    <w:rsid w:val="421A11A9"/>
    <w:rsid w:val="422468A6"/>
    <w:rsid w:val="427964C9"/>
    <w:rsid w:val="428B3D01"/>
    <w:rsid w:val="429C0645"/>
    <w:rsid w:val="42CA4F2A"/>
    <w:rsid w:val="42D9753D"/>
    <w:rsid w:val="42DE2DA6"/>
    <w:rsid w:val="42F1180C"/>
    <w:rsid w:val="42FC5CEE"/>
    <w:rsid w:val="4318549D"/>
    <w:rsid w:val="433B572E"/>
    <w:rsid w:val="43C27497"/>
    <w:rsid w:val="43C5008B"/>
    <w:rsid w:val="44071575"/>
    <w:rsid w:val="441D16AC"/>
    <w:rsid w:val="443F1DF1"/>
    <w:rsid w:val="444A5A66"/>
    <w:rsid w:val="445157F9"/>
    <w:rsid w:val="445269C3"/>
    <w:rsid w:val="446948F1"/>
    <w:rsid w:val="447A6BAC"/>
    <w:rsid w:val="44842B9E"/>
    <w:rsid w:val="4498644C"/>
    <w:rsid w:val="44AD459D"/>
    <w:rsid w:val="44BA58C3"/>
    <w:rsid w:val="44DB35DF"/>
    <w:rsid w:val="44DF1057"/>
    <w:rsid w:val="44F504EC"/>
    <w:rsid w:val="45041475"/>
    <w:rsid w:val="451A1C4E"/>
    <w:rsid w:val="45207AE0"/>
    <w:rsid w:val="4531649B"/>
    <w:rsid w:val="4545625B"/>
    <w:rsid w:val="4589599E"/>
    <w:rsid w:val="45F428E0"/>
    <w:rsid w:val="46004DE1"/>
    <w:rsid w:val="46006015"/>
    <w:rsid w:val="46265402"/>
    <w:rsid w:val="463C386B"/>
    <w:rsid w:val="4645313C"/>
    <w:rsid w:val="46476E9C"/>
    <w:rsid w:val="465D3E2D"/>
    <w:rsid w:val="46847833"/>
    <w:rsid w:val="46900AC4"/>
    <w:rsid w:val="46920B5E"/>
    <w:rsid w:val="46AC535B"/>
    <w:rsid w:val="46CF0993"/>
    <w:rsid w:val="46E01EF3"/>
    <w:rsid w:val="46F65488"/>
    <w:rsid w:val="471A1242"/>
    <w:rsid w:val="471F2A33"/>
    <w:rsid w:val="471F573B"/>
    <w:rsid w:val="475B5461"/>
    <w:rsid w:val="47A619B8"/>
    <w:rsid w:val="47CB0DD4"/>
    <w:rsid w:val="47D876FB"/>
    <w:rsid w:val="480F7E14"/>
    <w:rsid w:val="48741AB6"/>
    <w:rsid w:val="48742B93"/>
    <w:rsid w:val="48A95C04"/>
    <w:rsid w:val="48AC50AC"/>
    <w:rsid w:val="48B0513B"/>
    <w:rsid w:val="48F646F7"/>
    <w:rsid w:val="491A58FE"/>
    <w:rsid w:val="49305F90"/>
    <w:rsid w:val="49773C28"/>
    <w:rsid w:val="497756A4"/>
    <w:rsid w:val="49802A32"/>
    <w:rsid w:val="49B4697B"/>
    <w:rsid w:val="49C55ED9"/>
    <w:rsid w:val="49CF1E7A"/>
    <w:rsid w:val="4A2A2120"/>
    <w:rsid w:val="4A464097"/>
    <w:rsid w:val="4A611BAC"/>
    <w:rsid w:val="4A805CB0"/>
    <w:rsid w:val="4ACF2C1E"/>
    <w:rsid w:val="4ADE3681"/>
    <w:rsid w:val="4B2348BD"/>
    <w:rsid w:val="4B3814C1"/>
    <w:rsid w:val="4B3C0FDC"/>
    <w:rsid w:val="4B6C2A28"/>
    <w:rsid w:val="4B6C4CC7"/>
    <w:rsid w:val="4B8464B4"/>
    <w:rsid w:val="4B9B025F"/>
    <w:rsid w:val="4BB94972"/>
    <w:rsid w:val="4BD304AC"/>
    <w:rsid w:val="4BE13F29"/>
    <w:rsid w:val="4BE60F1D"/>
    <w:rsid w:val="4C0731BC"/>
    <w:rsid w:val="4C0C0983"/>
    <w:rsid w:val="4C145AF5"/>
    <w:rsid w:val="4C2537F3"/>
    <w:rsid w:val="4C373527"/>
    <w:rsid w:val="4C396AAB"/>
    <w:rsid w:val="4CA36F96"/>
    <w:rsid w:val="4CB70DEF"/>
    <w:rsid w:val="4CC0252A"/>
    <w:rsid w:val="4CFD651E"/>
    <w:rsid w:val="4D2C6E03"/>
    <w:rsid w:val="4D37534E"/>
    <w:rsid w:val="4D53092F"/>
    <w:rsid w:val="4D587981"/>
    <w:rsid w:val="4D7A29D4"/>
    <w:rsid w:val="4D7E7F7E"/>
    <w:rsid w:val="4DBB4542"/>
    <w:rsid w:val="4DBD1CC1"/>
    <w:rsid w:val="4DC44B6E"/>
    <w:rsid w:val="4DCD4142"/>
    <w:rsid w:val="4DD1180C"/>
    <w:rsid w:val="4DDC4EFC"/>
    <w:rsid w:val="4DEB5934"/>
    <w:rsid w:val="4E0631B0"/>
    <w:rsid w:val="4E197388"/>
    <w:rsid w:val="4E1D0A20"/>
    <w:rsid w:val="4E2F710D"/>
    <w:rsid w:val="4E320449"/>
    <w:rsid w:val="4E3450A1"/>
    <w:rsid w:val="4E592873"/>
    <w:rsid w:val="4E8862BB"/>
    <w:rsid w:val="4EA35B07"/>
    <w:rsid w:val="4F061E56"/>
    <w:rsid w:val="4F281AC6"/>
    <w:rsid w:val="4F4334DF"/>
    <w:rsid w:val="4F5C0152"/>
    <w:rsid w:val="4F5D32A4"/>
    <w:rsid w:val="4F657A1A"/>
    <w:rsid w:val="4F750D72"/>
    <w:rsid w:val="4F8E345D"/>
    <w:rsid w:val="4F9842DC"/>
    <w:rsid w:val="4FD35689"/>
    <w:rsid w:val="500B0F52"/>
    <w:rsid w:val="500D7441"/>
    <w:rsid w:val="501E557D"/>
    <w:rsid w:val="50255C33"/>
    <w:rsid w:val="5038161B"/>
    <w:rsid w:val="504D1F7F"/>
    <w:rsid w:val="50724B2D"/>
    <w:rsid w:val="50BF20D0"/>
    <w:rsid w:val="50CF6052"/>
    <w:rsid w:val="50FE5415"/>
    <w:rsid w:val="51063B27"/>
    <w:rsid w:val="51081910"/>
    <w:rsid w:val="511503E1"/>
    <w:rsid w:val="51204589"/>
    <w:rsid w:val="515C3A4F"/>
    <w:rsid w:val="51680684"/>
    <w:rsid w:val="518D1C42"/>
    <w:rsid w:val="51932FAD"/>
    <w:rsid w:val="51BC2CCE"/>
    <w:rsid w:val="51D13AD5"/>
    <w:rsid w:val="51E533A2"/>
    <w:rsid w:val="51F45C15"/>
    <w:rsid w:val="51F55A16"/>
    <w:rsid w:val="52075749"/>
    <w:rsid w:val="520A1843"/>
    <w:rsid w:val="521340EE"/>
    <w:rsid w:val="521C370F"/>
    <w:rsid w:val="525E35BB"/>
    <w:rsid w:val="52964205"/>
    <w:rsid w:val="529A3098"/>
    <w:rsid w:val="52A2637D"/>
    <w:rsid w:val="52B137B9"/>
    <w:rsid w:val="52F61A46"/>
    <w:rsid w:val="536C1D08"/>
    <w:rsid w:val="53781719"/>
    <w:rsid w:val="53804D80"/>
    <w:rsid w:val="53981898"/>
    <w:rsid w:val="53B46CF8"/>
    <w:rsid w:val="53C75190"/>
    <w:rsid w:val="53C84107"/>
    <w:rsid w:val="53FC3DBB"/>
    <w:rsid w:val="540939FA"/>
    <w:rsid w:val="541B540A"/>
    <w:rsid w:val="54401249"/>
    <w:rsid w:val="544E765F"/>
    <w:rsid w:val="54535AEF"/>
    <w:rsid w:val="54556C40"/>
    <w:rsid w:val="546B6463"/>
    <w:rsid w:val="547E7FB3"/>
    <w:rsid w:val="54C87412"/>
    <w:rsid w:val="5501496A"/>
    <w:rsid w:val="550366C9"/>
    <w:rsid w:val="550F625D"/>
    <w:rsid w:val="5526220B"/>
    <w:rsid w:val="554B1941"/>
    <w:rsid w:val="556736CB"/>
    <w:rsid w:val="556D4F91"/>
    <w:rsid w:val="55DD513F"/>
    <w:rsid w:val="561D0A69"/>
    <w:rsid w:val="562C010C"/>
    <w:rsid w:val="56552F27"/>
    <w:rsid w:val="567468D3"/>
    <w:rsid w:val="568832FC"/>
    <w:rsid w:val="56A45C5C"/>
    <w:rsid w:val="56A8491C"/>
    <w:rsid w:val="56B365F2"/>
    <w:rsid w:val="571F7091"/>
    <w:rsid w:val="57230D60"/>
    <w:rsid w:val="57280417"/>
    <w:rsid w:val="573C6644"/>
    <w:rsid w:val="574B60D8"/>
    <w:rsid w:val="57551807"/>
    <w:rsid w:val="575B7984"/>
    <w:rsid w:val="57662666"/>
    <w:rsid w:val="57725A42"/>
    <w:rsid w:val="57AD15A0"/>
    <w:rsid w:val="57C9597B"/>
    <w:rsid w:val="583E2EB7"/>
    <w:rsid w:val="58615BB3"/>
    <w:rsid w:val="58722AC6"/>
    <w:rsid w:val="58727C79"/>
    <w:rsid w:val="587950DA"/>
    <w:rsid w:val="588418A2"/>
    <w:rsid w:val="588B70D4"/>
    <w:rsid w:val="58BB6F2F"/>
    <w:rsid w:val="58C0021D"/>
    <w:rsid w:val="58C209CB"/>
    <w:rsid w:val="58C3123D"/>
    <w:rsid w:val="58C75B45"/>
    <w:rsid w:val="590029F6"/>
    <w:rsid w:val="59094D1F"/>
    <w:rsid w:val="590F7712"/>
    <w:rsid w:val="591666E5"/>
    <w:rsid w:val="59480B21"/>
    <w:rsid w:val="594A2AEB"/>
    <w:rsid w:val="59842292"/>
    <w:rsid w:val="598B2199"/>
    <w:rsid w:val="59A2059F"/>
    <w:rsid w:val="59CB1CFB"/>
    <w:rsid w:val="59F64A21"/>
    <w:rsid w:val="5A1739EC"/>
    <w:rsid w:val="5A28633E"/>
    <w:rsid w:val="5A2F315C"/>
    <w:rsid w:val="5A607209"/>
    <w:rsid w:val="5A736BFA"/>
    <w:rsid w:val="5A7F0572"/>
    <w:rsid w:val="5A8C157E"/>
    <w:rsid w:val="5AAE0CBC"/>
    <w:rsid w:val="5AC97A40"/>
    <w:rsid w:val="5AD43EF3"/>
    <w:rsid w:val="5AEA1AAB"/>
    <w:rsid w:val="5AEB61C6"/>
    <w:rsid w:val="5AF213C3"/>
    <w:rsid w:val="5AFB3F4B"/>
    <w:rsid w:val="5AFD2B4C"/>
    <w:rsid w:val="5B153E68"/>
    <w:rsid w:val="5B851289"/>
    <w:rsid w:val="5B8F2A37"/>
    <w:rsid w:val="5BD57899"/>
    <w:rsid w:val="5BD668B8"/>
    <w:rsid w:val="5BE8603E"/>
    <w:rsid w:val="5BFD7D84"/>
    <w:rsid w:val="5C2A4CC2"/>
    <w:rsid w:val="5C450E55"/>
    <w:rsid w:val="5C954DB9"/>
    <w:rsid w:val="5CA22C3E"/>
    <w:rsid w:val="5CA8471C"/>
    <w:rsid w:val="5CAC586B"/>
    <w:rsid w:val="5CC6692D"/>
    <w:rsid w:val="5CE43E71"/>
    <w:rsid w:val="5D221242"/>
    <w:rsid w:val="5D2F2193"/>
    <w:rsid w:val="5D3C274B"/>
    <w:rsid w:val="5D6F3EAF"/>
    <w:rsid w:val="5D7B64BE"/>
    <w:rsid w:val="5D8B722E"/>
    <w:rsid w:val="5DA25B09"/>
    <w:rsid w:val="5DA327CA"/>
    <w:rsid w:val="5DAD79EC"/>
    <w:rsid w:val="5DC00542"/>
    <w:rsid w:val="5DC93865"/>
    <w:rsid w:val="5DCD4123"/>
    <w:rsid w:val="5E194D96"/>
    <w:rsid w:val="5E7E2B8A"/>
    <w:rsid w:val="5E7E3D05"/>
    <w:rsid w:val="5E815819"/>
    <w:rsid w:val="5EA00E2F"/>
    <w:rsid w:val="5EA74983"/>
    <w:rsid w:val="5EB677B0"/>
    <w:rsid w:val="5F0039DE"/>
    <w:rsid w:val="5F4D2B10"/>
    <w:rsid w:val="5F5322EC"/>
    <w:rsid w:val="5F7A57AC"/>
    <w:rsid w:val="5F99367F"/>
    <w:rsid w:val="5F9F3465"/>
    <w:rsid w:val="5FA168CF"/>
    <w:rsid w:val="5FBE331A"/>
    <w:rsid w:val="5FCD244A"/>
    <w:rsid w:val="5FD21EE2"/>
    <w:rsid w:val="5FFD1B5F"/>
    <w:rsid w:val="602A6BFE"/>
    <w:rsid w:val="605814A9"/>
    <w:rsid w:val="60E530F9"/>
    <w:rsid w:val="614A2CE1"/>
    <w:rsid w:val="616B35FF"/>
    <w:rsid w:val="61771F9D"/>
    <w:rsid w:val="617A1A94"/>
    <w:rsid w:val="61834DEC"/>
    <w:rsid w:val="61EB7224"/>
    <w:rsid w:val="61EE4B9B"/>
    <w:rsid w:val="623460E6"/>
    <w:rsid w:val="62475BAC"/>
    <w:rsid w:val="62655A4A"/>
    <w:rsid w:val="626A4F39"/>
    <w:rsid w:val="62832BCA"/>
    <w:rsid w:val="629D1EDE"/>
    <w:rsid w:val="62D037D0"/>
    <w:rsid w:val="630D51AB"/>
    <w:rsid w:val="6322733A"/>
    <w:rsid w:val="63754B89"/>
    <w:rsid w:val="63B70D7D"/>
    <w:rsid w:val="64083BDD"/>
    <w:rsid w:val="641872CF"/>
    <w:rsid w:val="64624165"/>
    <w:rsid w:val="648275DD"/>
    <w:rsid w:val="64995780"/>
    <w:rsid w:val="649E1F3D"/>
    <w:rsid w:val="64AD03EB"/>
    <w:rsid w:val="64D23C9D"/>
    <w:rsid w:val="64D911C7"/>
    <w:rsid w:val="64E1547D"/>
    <w:rsid w:val="64F8621A"/>
    <w:rsid w:val="64FF62E8"/>
    <w:rsid w:val="65030AD7"/>
    <w:rsid w:val="65041975"/>
    <w:rsid w:val="65102E3B"/>
    <w:rsid w:val="651B617E"/>
    <w:rsid w:val="65935A74"/>
    <w:rsid w:val="65984BDE"/>
    <w:rsid w:val="65A768AA"/>
    <w:rsid w:val="65B6655E"/>
    <w:rsid w:val="65D93FDD"/>
    <w:rsid w:val="65E038BC"/>
    <w:rsid w:val="662326FA"/>
    <w:rsid w:val="665E40FC"/>
    <w:rsid w:val="66606927"/>
    <w:rsid w:val="669D0591"/>
    <w:rsid w:val="66C86594"/>
    <w:rsid w:val="671B7875"/>
    <w:rsid w:val="67251F61"/>
    <w:rsid w:val="67444D56"/>
    <w:rsid w:val="675207F5"/>
    <w:rsid w:val="67595122"/>
    <w:rsid w:val="67700F1C"/>
    <w:rsid w:val="67705445"/>
    <w:rsid w:val="678D7C38"/>
    <w:rsid w:val="67A67140"/>
    <w:rsid w:val="67A91325"/>
    <w:rsid w:val="67BF267F"/>
    <w:rsid w:val="6835318E"/>
    <w:rsid w:val="68721717"/>
    <w:rsid w:val="687D31D3"/>
    <w:rsid w:val="68B24B39"/>
    <w:rsid w:val="69064A9A"/>
    <w:rsid w:val="69224EEB"/>
    <w:rsid w:val="692E7D33"/>
    <w:rsid w:val="693B0729"/>
    <w:rsid w:val="69714EBB"/>
    <w:rsid w:val="698135C6"/>
    <w:rsid w:val="69833262"/>
    <w:rsid w:val="6997469A"/>
    <w:rsid w:val="69A12525"/>
    <w:rsid w:val="69AF3E41"/>
    <w:rsid w:val="69CC74F2"/>
    <w:rsid w:val="6A1102F9"/>
    <w:rsid w:val="6A242EE4"/>
    <w:rsid w:val="6A347FFD"/>
    <w:rsid w:val="6A543B60"/>
    <w:rsid w:val="6A5512F0"/>
    <w:rsid w:val="6A68225A"/>
    <w:rsid w:val="6A771266"/>
    <w:rsid w:val="6A773860"/>
    <w:rsid w:val="6A825A16"/>
    <w:rsid w:val="6A8F432A"/>
    <w:rsid w:val="6AA02886"/>
    <w:rsid w:val="6AA70ABD"/>
    <w:rsid w:val="6AD46C1B"/>
    <w:rsid w:val="6ADF6062"/>
    <w:rsid w:val="6B0E19CD"/>
    <w:rsid w:val="6B186BFE"/>
    <w:rsid w:val="6B2F1B41"/>
    <w:rsid w:val="6B40549D"/>
    <w:rsid w:val="6B431148"/>
    <w:rsid w:val="6BBF09B4"/>
    <w:rsid w:val="6BFB0CF9"/>
    <w:rsid w:val="6C0D5CDC"/>
    <w:rsid w:val="6C2C7E2E"/>
    <w:rsid w:val="6C3E6CF8"/>
    <w:rsid w:val="6C691DB1"/>
    <w:rsid w:val="6C74510B"/>
    <w:rsid w:val="6C803AAC"/>
    <w:rsid w:val="6CBC6B37"/>
    <w:rsid w:val="6CDF30F3"/>
    <w:rsid w:val="6D5238C5"/>
    <w:rsid w:val="6D811791"/>
    <w:rsid w:val="6D9D726E"/>
    <w:rsid w:val="6DD52747"/>
    <w:rsid w:val="6DF54E64"/>
    <w:rsid w:val="6E1A3D90"/>
    <w:rsid w:val="6E731D44"/>
    <w:rsid w:val="6E75594B"/>
    <w:rsid w:val="6EA11741"/>
    <w:rsid w:val="6EAE2FFB"/>
    <w:rsid w:val="6F010FCF"/>
    <w:rsid w:val="6F452166"/>
    <w:rsid w:val="6F460600"/>
    <w:rsid w:val="6F5F0EF2"/>
    <w:rsid w:val="6FC63D40"/>
    <w:rsid w:val="6FE54450"/>
    <w:rsid w:val="6FF1412A"/>
    <w:rsid w:val="70291255"/>
    <w:rsid w:val="703C61FB"/>
    <w:rsid w:val="705803FB"/>
    <w:rsid w:val="708F0E3B"/>
    <w:rsid w:val="70AC2C1B"/>
    <w:rsid w:val="70B53AD2"/>
    <w:rsid w:val="70BD0F64"/>
    <w:rsid w:val="715045BF"/>
    <w:rsid w:val="71883F4B"/>
    <w:rsid w:val="71B7463E"/>
    <w:rsid w:val="71CA11ED"/>
    <w:rsid w:val="71F2645B"/>
    <w:rsid w:val="723E6ED1"/>
    <w:rsid w:val="725400DF"/>
    <w:rsid w:val="725B321B"/>
    <w:rsid w:val="72697ED9"/>
    <w:rsid w:val="72B548D5"/>
    <w:rsid w:val="72EC2202"/>
    <w:rsid w:val="72F8142E"/>
    <w:rsid w:val="73127C2B"/>
    <w:rsid w:val="73171D36"/>
    <w:rsid w:val="73196B42"/>
    <w:rsid w:val="7338355D"/>
    <w:rsid w:val="736E6F7E"/>
    <w:rsid w:val="73820D07"/>
    <w:rsid w:val="73A9530B"/>
    <w:rsid w:val="73BE1CB4"/>
    <w:rsid w:val="73CA0659"/>
    <w:rsid w:val="73FC1B7C"/>
    <w:rsid w:val="743C0E2B"/>
    <w:rsid w:val="74606D62"/>
    <w:rsid w:val="74C432FA"/>
    <w:rsid w:val="74D27954"/>
    <w:rsid w:val="75321D4A"/>
    <w:rsid w:val="75397D84"/>
    <w:rsid w:val="754C45F9"/>
    <w:rsid w:val="75580825"/>
    <w:rsid w:val="75625061"/>
    <w:rsid w:val="75B613A7"/>
    <w:rsid w:val="75BC66C7"/>
    <w:rsid w:val="75D6455E"/>
    <w:rsid w:val="75E23F25"/>
    <w:rsid w:val="75E44C7A"/>
    <w:rsid w:val="75EC19CA"/>
    <w:rsid w:val="75F61BD9"/>
    <w:rsid w:val="75F76EA1"/>
    <w:rsid w:val="763E3AFC"/>
    <w:rsid w:val="765D5D80"/>
    <w:rsid w:val="767D2092"/>
    <w:rsid w:val="76932AB3"/>
    <w:rsid w:val="769514B8"/>
    <w:rsid w:val="76A14D31"/>
    <w:rsid w:val="76BF5F6B"/>
    <w:rsid w:val="76C842B2"/>
    <w:rsid w:val="77302687"/>
    <w:rsid w:val="773F4EBA"/>
    <w:rsid w:val="7765083A"/>
    <w:rsid w:val="7775650A"/>
    <w:rsid w:val="7795357A"/>
    <w:rsid w:val="77AC04D3"/>
    <w:rsid w:val="77B21B30"/>
    <w:rsid w:val="77CA5B08"/>
    <w:rsid w:val="77D91C05"/>
    <w:rsid w:val="77E36ED7"/>
    <w:rsid w:val="77E872FF"/>
    <w:rsid w:val="77F50BF2"/>
    <w:rsid w:val="788334CC"/>
    <w:rsid w:val="78A04DB7"/>
    <w:rsid w:val="78A93939"/>
    <w:rsid w:val="78B11DE7"/>
    <w:rsid w:val="78DB5DD4"/>
    <w:rsid w:val="78FA736A"/>
    <w:rsid w:val="79127F47"/>
    <w:rsid w:val="79132AA2"/>
    <w:rsid w:val="79505710"/>
    <w:rsid w:val="796E5F2A"/>
    <w:rsid w:val="79E166FC"/>
    <w:rsid w:val="7A5769BE"/>
    <w:rsid w:val="7A717937"/>
    <w:rsid w:val="7A73769A"/>
    <w:rsid w:val="7A8507F7"/>
    <w:rsid w:val="7A907CEC"/>
    <w:rsid w:val="7AB14F4C"/>
    <w:rsid w:val="7ABE04E2"/>
    <w:rsid w:val="7ADD5115"/>
    <w:rsid w:val="7AEA15E0"/>
    <w:rsid w:val="7AFD5860"/>
    <w:rsid w:val="7AFF419C"/>
    <w:rsid w:val="7B024B7C"/>
    <w:rsid w:val="7B430CE9"/>
    <w:rsid w:val="7B455BC8"/>
    <w:rsid w:val="7B4E79AB"/>
    <w:rsid w:val="7B7503B1"/>
    <w:rsid w:val="7B9F23CB"/>
    <w:rsid w:val="7BA25DD3"/>
    <w:rsid w:val="7BA34BEE"/>
    <w:rsid w:val="7BB65D27"/>
    <w:rsid w:val="7BBC7867"/>
    <w:rsid w:val="7BD60EEC"/>
    <w:rsid w:val="7BEF3F13"/>
    <w:rsid w:val="7C0001D6"/>
    <w:rsid w:val="7C1057C9"/>
    <w:rsid w:val="7C1542B5"/>
    <w:rsid w:val="7C35301B"/>
    <w:rsid w:val="7C5C6C22"/>
    <w:rsid w:val="7C6158D2"/>
    <w:rsid w:val="7C7711EA"/>
    <w:rsid w:val="7C7B6659"/>
    <w:rsid w:val="7CB62D95"/>
    <w:rsid w:val="7CCD4D16"/>
    <w:rsid w:val="7D3603E5"/>
    <w:rsid w:val="7D3700C6"/>
    <w:rsid w:val="7D397A50"/>
    <w:rsid w:val="7D484F3D"/>
    <w:rsid w:val="7D693F8A"/>
    <w:rsid w:val="7D8345B4"/>
    <w:rsid w:val="7DCC1471"/>
    <w:rsid w:val="7DD02CA3"/>
    <w:rsid w:val="7E03200E"/>
    <w:rsid w:val="7E2557E8"/>
    <w:rsid w:val="7E2B20AE"/>
    <w:rsid w:val="7E2D1B69"/>
    <w:rsid w:val="7E420EFD"/>
    <w:rsid w:val="7E5566A4"/>
    <w:rsid w:val="7E5A082B"/>
    <w:rsid w:val="7E7D25E2"/>
    <w:rsid w:val="7E8D3F4D"/>
    <w:rsid w:val="7EA5419C"/>
    <w:rsid w:val="7ED06D3F"/>
    <w:rsid w:val="7ED94380"/>
    <w:rsid w:val="7EF55B3A"/>
    <w:rsid w:val="7EFF3FD4"/>
    <w:rsid w:val="7F0D4DC1"/>
    <w:rsid w:val="7F3B222A"/>
    <w:rsid w:val="7F8C710A"/>
    <w:rsid w:val="7FC65583"/>
    <w:rsid w:val="7FCA0B15"/>
    <w:rsid w:val="7FCC5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0"/>
    <w:pPr>
      <w:jc w:val="left"/>
    </w:pPr>
    <w:rPr>
      <w:rFonts w:ascii="Calibri" w:hAnsi="Calibri" w:eastAsia="宋体" w:cs="Times New Roman"/>
    </w:r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0"/>
    <w:rPr>
      <w:rFonts w:asciiTheme="minorHAnsi" w:hAnsiTheme="minorHAnsi" w:eastAsiaTheme="minorEastAsia" w:cstheme="minorBidi"/>
      <w:kern w:val="2"/>
      <w:sz w:val="18"/>
      <w:szCs w:val="18"/>
    </w:rPr>
  </w:style>
  <w:style w:type="character" w:customStyle="1" w:styleId="14">
    <w:name w:val="font31"/>
    <w:basedOn w:val="12"/>
    <w:qFormat/>
    <w:uiPriority w:val="0"/>
    <w:rPr>
      <w:rFonts w:hint="eastAsia" w:ascii="宋体" w:hAnsi="宋体" w:eastAsia="宋体" w:cs="宋体"/>
      <w:b/>
      <w:color w:val="000000"/>
      <w:sz w:val="18"/>
      <w:szCs w:val="18"/>
      <w:u w:val="none"/>
    </w:rPr>
  </w:style>
  <w:style w:type="character" w:customStyle="1" w:styleId="15">
    <w:name w:val="font11"/>
    <w:basedOn w:val="12"/>
    <w:qFormat/>
    <w:uiPriority w:val="0"/>
    <w:rPr>
      <w:rFonts w:hint="eastAsia" w:ascii="宋体" w:hAnsi="宋体" w:eastAsia="宋体" w:cs="宋体"/>
      <w:color w:val="000000"/>
      <w:sz w:val="21"/>
      <w:szCs w:val="21"/>
      <w:u w:val="none"/>
    </w:rPr>
  </w:style>
  <w:style w:type="character" w:customStyle="1" w:styleId="16">
    <w:name w:val="批注文字 字符"/>
    <w:basedOn w:val="12"/>
    <w:link w:val="3"/>
    <w:qFormat/>
    <w:uiPriority w:val="0"/>
    <w:rPr>
      <w:rFonts w:hint="default" w:ascii="Calibri" w:hAnsi="Calibri" w:eastAsia="宋体" w:cs="Times New Roman"/>
      <w:kern w:val="2"/>
      <w:sz w:val="21"/>
      <w:szCs w:val="24"/>
    </w:rPr>
  </w:style>
  <w:style w:type="character" w:customStyle="1" w:styleId="17">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18">
    <w:name w:val="标题 3 字符"/>
    <w:basedOn w:val="12"/>
    <w:link w:val="2"/>
    <w:qFormat/>
    <w:uiPriority w:val="0"/>
    <w:rPr>
      <w:rFonts w:hint="default" w:ascii="Calibri" w:hAnsi="Calibri" w:eastAsia="宋体" w:cs="Times New Roman"/>
      <w:b/>
      <w:kern w:val="2"/>
      <w:sz w:val="32"/>
      <w:szCs w:val="32"/>
    </w:rPr>
  </w:style>
  <w:style w:type="character" w:customStyle="1" w:styleId="19">
    <w:name w:val="font41"/>
    <w:basedOn w:val="12"/>
    <w:qFormat/>
    <w:uiPriority w:val="0"/>
    <w:rPr>
      <w:rFonts w:hint="eastAsia" w:ascii="方正仿宋_GBK" w:hAnsi="方正仿宋_GBK" w:eastAsia="方正仿宋_GBK" w:cs="方正仿宋_GBK"/>
      <w:b/>
      <w:bCs/>
      <w:color w:val="000000"/>
      <w:sz w:val="20"/>
      <w:szCs w:val="20"/>
      <w:u w:val="none"/>
    </w:rPr>
  </w:style>
  <w:style w:type="character" w:customStyle="1" w:styleId="20">
    <w:name w:val="font51"/>
    <w:basedOn w:val="12"/>
    <w:qFormat/>
    <w:uiPriority w:val="0"/>
    <w:rPr>
      <w:rFonts w:ascii="Symbol" w:hAnsi="Symbol" w:cs="Symbol"/>
      <w:color w:val="000000"/>
      <w:sz w:val="20"/>
      <w:szCs w:val="20"/>
      <w:u w:val="none"/>
    </w:rPr>
  </w:style>
  <w:style w:type="character" w:customStyle="1" w:styleId="21">
    <w:name w:val="font01"/>
    <w:basedOn w:val="12"/>
    <w:qFormat/>
    <w:uiPriority w:val="0"/>
    <w:rPr>
      <w:rFonts w:hint="eastAsia" w:ascii="方正仿宋_GBK" w:hAnsi="方正仿宋_GBK" w:eastAsia="方正仿宋_GBK" w:cs="方正仿宋_GBK"/>
      <w:color w:val="000000"/>
      <w:sz w:val="20"/>
      <w:szCs w:val="20"/>
      <w:u w:val="none"/>
    </w:rPr>
  </w:style>
  <w:style w:type="paragraph" w:customStyle="1" w:styleId="22">
    <w:name w:val="列出段落1"/>
    <w:basedOn w:val="1"/>
    <w:unhideWhenUsed/>
    <w:qFormat/>
    <w:uiPriority w:val="99"/>
    <w:pPr>
      <w:ind w:firstLine="420" w:firstLineChars="200"/>
    </w:pPr>
  </w:style>
  <w:style w:type="paragraph" w:customStyle="1" w:styleId="23">
    <w:name w:val="BodyText"/>
    <w:basedOn w:val="1"/>
    <w:qFormat/>
    <w:uiPriority w:val="99"/>
    <w:pPr>
      <w:textAlignment w:val="baseline"/>
    </w:pPr>
    <w:rPr>
      <w:rFonts w:asci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20269</Words>
  <Characters>21250</Characters>
  <Lines>115</Lines>
  <Paragraphs>32</Paragraphs>
  <TotalTime>0</TotalTime>
  <ScaleCrop>false</ScaleCrop>
  <LinksUpToDate>false</LinksUpToDate>
  <CharactersWithSpaces>22609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2022-08-19T05:09:00Z</dcterms:created>
  <dc:creator>Administrator</dc:creator>
  <cp:lastModifiedBy>丫雯</cp:lastModifiedBy>
  <cp:lastPrinted>2022-11-02T05:51:00Z</cp:lastPrinted>
  <dcterms:modified xsi:type="dcterms:W3CDTF">2023-01-05T07:45:32Z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1146097076_btnclosed</vt:lpwstr>
  </property>
  <property fmtid="{D5CDD505-2E9C-101B-9397-08002B2CF9AE}" pid="4" name="ICV">
    <vt:lpwstr>5AC796CF10D9414A81D47E81C7B71ADD</vt:lpwstr>
  </property>
</Properties>
</file>