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cs="宋体"/>
          <w:b/>
          <w:color w:val="auto"/>
          <w:sz w:val="32"/>
          <w:szCs w:val="32"/>
          <w:highlight w:val="none"/>
        </w:rPr>
      </w:pPr>
      <w:r>
        <w:rPr>
          <w:rFonts w:hint="eastAsia" w:ascii="方正小标宋_GBK" w:hAnsi="宋体" w:eastAsia="方正小标宋_GBK" w:cs="宋体"/>
          <w:b/>
          <w:color w:val="auto"/>
          <w:sz w:val="32"/>
          <w:szCs w:val="32"/>
          <w:highlight w:val="none"/>
        </w:rPr>
        <w:t>重庆城市综合交通枢纽(集团)有限公司</w:t>
      </w:r>
    </w:p>
    <w:p>
      <w:pPr>
        <w:spacing w:line="500" w:lineRule="exact"/>
        <w:jc w:val="center"/>
        <w:rPr>
          <w:rFonts w:ascii="方正小标宋_GBK" w:hAnsi="宋体" w:eastAsia="方正小标宋_GBK" w:cs="宋体"/>
          <w:b/>
          <w:color w:val="auto"/>
          <w:sz w:val="32"/>
          <w:szCs w:val="32"/>
          <w:highlight w:val="none"/>
        </w:rPr>
      </w:pPr>
      <w:r>
        <w:rPr>
          <w:rFonts w:hint="eastAsia" w:ascii="方正小标宋_GBK" w:hAnsi="宋体" w:eastAsia="方正小标宋_GBK" w:cs="宋体"/>
          <w:b/>
          <w:color w:val="auto"/>
          <w:sz w:val="32"/>
          <w:szCs w:val="32"/>
          <w:highlight w:val="none"/>
        </w:rPr>
        <w:t>关于</w:t>
      </w:r>
      <w:r>
        <w:rPr>
          <w:rFonts w:hint="eastAsia" w:ascii="方正小标宋_GBK" w:hAnsi="宋体" w:eastAsia="方正小标宋_GBK" w:cs="宋体"/>
          <w:b/>
          <w:color w:val="auto"/>
          <w:sz w:val="32"/>
          <w:szCs w:val="32"/>
          <w:highlight w:val="none"/>
        </w:rPr>
        <w:t>南坪、红旗河沟枢纽站装饰设计</w:t>
      </w:r>
      <w:r>
        <w:rPr>
          <w:rFonts w:hint="eastAsia" w:ascii="方正小标宋_GBK" w:hAnsi="宋体" w:eastAsia="方正小标宋_GBK" w:cs="宋体"/>
          <w:b/>
          <w:color w:val="auto"/>
          <w:sz w:val="32"/>
          <w:szCs w:val="32"/>
          <w:highlight w:val="none"/>
        </w:rPr>
        <w:t>单位</w:t>
      </w:r>
    </w:p>
    <w:p>
      <w:pPr>
        <w:spacing w:line="500" w:lineRule="exact"/>
        <w:jc w:val="center"/>
        <w:rPr>
          <w:rFonts w:ascii="方正小标宋_GBK" w:hAnsi="宋体" w:eastAsia="方正小标宋_GBK" w:cs="宋体"/>
          <w:b/>
          <w:color w:val="auto"/>
          <w:sz w:val="32"/>
          <w:szCs w:val="32"/>
          <w:highlight w:val="none"/>
        </w:rPr>
      </w:pPr>
      <w:r>
        <w:rPr>
          <w:rFonts w:hint="eastAsia" w:ascii="方正小标宋_GBK" w:hAnsi="宋体" w:eastAsia="方正小标宋_GBK" w:cs="宋体"/>
          <w:b/>
          <w:color w:val="auto"/>
          <w:sz w:val="32"/>
          <w:szCs w:val="32"/>
          <w:highlight w:val="none"/>
        </w:rPr>
        <w:t>竞争性比选邀请函</w:t>
      </w:r>
    </w:p>
    <w:p>
      <w:pPr>
        <w:widowControl/>
        <w:spacing w:line="500" w:lineRule="exact"/>
        <w:jc w:val="center"/>
        <w:rPr>
          <w:rFonts w:ascii="方正小标宋_GBK" w:hAnsi="宋体" w:eastAsia="方正小标宋_GBK" w:cs="宋体"/>
          <w:b/>
          <w:color w:val="auto"/>
          <w:sz w:val="32"/>
          <w:szCs w:val="32"/>
          <w:highlight w:val="none"/>
        </w:rPr>
      </w:pPr>
    </w:p>
    <w:p>
      <w:pPr>
        <w:rPr>
          <w:rFonts w:ascii="FangSong_GB2312" w:hAnsi="FangSong_GB2312" w:eastAsia="FangSong_GB2312" w:cs="FangSong_GB2312"/>
          <w:color w:val="auto"/>
          <w:sz w:val="28"/>
          <w:szCs w:val="28"/>
          <w:highlight w:val="none"/>
        </w:rPr>
      </w:pPr>
      <w:bookmarkStart w:id="0" w:name="_GoBack"/>
      <w:bookmarkEnd w:id="0"/>
      <w:r>
        <w:rPr>
          <w:rFonts w:hint="eastAsia" w:ascii="FangSong_GB2312" w:hAnsi="FangSong_GB2312" w:eastAsia="FangSong_GB2312" w:cs="FangSong_GB2312"/>
          <w:color w:val="auto"/>
          <w:sz w:val="28"/>
          <w:szCs w:val="28"/>
          <w:highlight w:val="none"/>
          <w:u w:val="single"/>
        </w:rPr>
        <w:t xml:space="preserve">                </w:t>
      </w:r>
      <w:r>
        <w:rPr>
          <w:rFonts w:hint="eastAsia" w:ascii="FangSong_GB2312" w:hAnsi="FangSong_GB2312" w:eastAsia="FangSong_GB2312" w:cs="FangSong_GB2312"/>
          <w:color w:val="auto"/>
          <w:sz w:val="28"/>
          <w:szCs w:val="28"/>
          <w:highlight w:val="none"/>
        </w:rPr>
        <w:t>：</w:t>
      </w:r>
    </w:p>
    <w:p>
      <w:pPr>
        <w:ind w:firstLine="560" w:firstLineChars="200"/>
        <w:jc w:val="left"/>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我司拟开展</w:t>
      </w:r>
      <w:r>
        <w:rPr>
          <w:rFonts w:hint="eastAsia" w:ascii="方正仿宋_GBK" w:hAnsi="FangSong_GB2312" w:eastAsia="方正仿宋_GBK" w:cs="FangSong_GB2312"/>
          <w:color w:val="auto"/>
          <w:sz w:val="28"/>
          <w:szCs w:val="28"/>
          <w:highlight w:val="none"/>
        </w:rPr>
        <w:t>南坪、红旗河沟枢纽站装饰设计工作</w:t>
      </w:r>
      <w:r>
        <w:rPr>
          <w:rFonts w:hint="eastAsia" w:ascii="方正仿宋_GBK" w:hAnsi="FangSong_GB2312" w:eastAsia="方正仿宋_GBK" w:cs="FangSong_GB2312"/>
          <w:color w:val="auto"/>
          <w:sz w:val="28"/>
          <w:szCs w:val="28"/>
          <w:highlight w:val="none"/>
        </w:rPr>
        <w:t>，本次</w:t>
      </w:r>
      <w:r>
        <w:rPr>
          <w:rFonts w:hint="eastAsia" w:ascii="方正仿宋_GBK" w:hAnsi="FangSong_GB2312" w:eastAsia="方正仿宋_GBK" w:cs="FangSong_GB2312"/>
          <w:color w:val="auto"/>
          <w:sz w:val="28"/>
          <w:szCs w:val="28"/>
          <w:highlight w:val="none"/>
        </w:rPr>
        <w:t>方案设计、施工图设计及施工配合</w:t>
      </w:r>
      <w:r>
        <w:rPr>
          <w:rFonts w:hint="eastAsia" w:ascii="方正仿宋_GBK" w:hAnsi="FangSong_GB2312" w:eastAsia="方正仿宋_GBK" w:cs="FangSong_GB2312"/>
          <w:color w:val="auto"/>
          <w:sz w:val="28"/>
          <w:szCs w:val="28"/>
          <w:highlight w:val="none"/>
        </w:rPr>
        <w:t xml:space="preserve">工作实施单位的确定将采用挂网比选方式进行。现邀请贵单位作为潜在竞选人之一参加报价和比选。具体项目情况如下： </w:t>
      </w:r>
    </w:p>
    <w:tbl>
      <w:tblPr>
        <w:tblStyle w:val="15"/>
        <w:tblW w:w="9876"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6" w:type="dxa"/>
            <w:gridSpan w:val="2"/>
            <w:vAlign w:val="center"/>
          </w:tcPr>
          <w:p>
            <w:pPr>
              <w:rPr>
                <w:rFonts w:ascii="方正仿宋_GBK" w:hAnsi="FangSong_GB2312" w:eastAsia="方正仿宋_GBK" w:cs="FangSong_GB2312"/>
                <w:color w:val="auto"/>
                <w:sz w:val="24"/>
                <w:szCs w:val="24"/>
                <w:highlight w:val="none"/>
              </w:rPr>
            </w:pPr>
            <w:r>
              <w:rPr>
                <w:rFonts w:hint="eastAsia" w:ascii="FangSong_GB2312" w:hAnsi="FangSong_GB2312" w:eastAsia="FangSong_GB2312" w:cs="FangSong_GB2312"/>
                <w:color w:val="auto"/>
                <w:sz w:val="24"/>
                <w:szCs w:val="24"/>
                <w:highlight w:val="none"/>
              </w:rPr>
              <w:t>一、</w:t>
            </w:r>
            <w:r>
              <w:rPr>
                <w:rFonts w:hint="eastAsia" w:ascii="方正仿宋_GBK" w:hAnsi="FangSong_GB2312" w:eastAsia="方正仿宋_GBK" w:cs="FangSong_GB2312"/>
                <w:color w:val="auto"/>
                <w:sz w:val="24"/>
                <w:szCs w:val="24"/>
                <w:highlight w:val="none"/>
              </w:rPr>
              <w:t xml:space="preserve">项目概况 </w:t>
            </w:r>
          </w:p>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项目名称</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南坪、红旗河沟枢纽站装饰设计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421" w:type="dxa"/>
            <w:vAlign w:val="center"/>
          </w:tcPr>
          <w:p>
            <w:pPr>
              <w:rPr>
                <w:rFonts w:eastAsia="方正仿宋_GBK"/>
                <w:color w:val="auto"/>
                <w:sz w:val="24"/>
                <w:szCs w:val="24"/>
                <w:highlight w:val="none"/>
              </w:rPr>
            </w:pPr>
            <w:r>
              <w:rPr>
                <w:rFonts w:hint="eastAsia" w:ascii="方正仿宋_GBK" w:hAnsi="FangSong_GB2312" w:eastAsia="方正仿宋_GBK" w:cs="FangSong_GB2312"/>
                <w:color w:val="auto"/>
                <w:sz w:val="24"/>
                <w:szCs w:val="24"/>
                <w:highlight w:val="none"/>
              </w:rPr>
              <w:t>项目投资及具体概况</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（一）红旗河沟公交枢纽站项目：公交站场10494.43㎡，换乘大厅2546.78㎡。按照单方造价500元/m2计算预估装饰工程造价652.06万元。</w:t>
            </w:r>
          </w:p>
          <w:p>
            <w:pPr>
              <w:ind w:firstLine="480" w:firstLineChars="200"/>
              <w:rPr>
                <w:color w:val="auto"/>
                <w:highlight w:val="none"/>
              </w:rPr>
            </w:pPr>
            <w:r>
              <w:rPr>
                <w:rFonts w:hint="eastAsia" w:ascii="方正仿宋_GBK" w:hAnsi="FangSong_GB2312" w:eastAsia="方正仿宋_GBK" w:cs="FangSong_GB2312"/>
                <w:color w:val="auto"/>
                <w:sz w:val="24"/>
                <w:szCs w:val="24"/>
                <w:highlight w:val="none"/>
              </w:rPr>
              <w:t>（二）南坪公交枢纽站项目：公交站场面积13230.27㎡。按照单方造价500元/m2计算预估装饰工程造价661.51万元。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工期</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w:t>
            </w:r>
            <w:r>
              <w:rPr>
                <w:rFonts w:ascii="方正仿宋_GBK" w:hAnsi="FangSong_GB2312" w:eastAsia="方正仿宋_GBK" w:cs="FangSong_GB2312"/>
                <w:color w:val="auto"/>
                <w:sz w:val="24"/>
                <w:szCs w:val="24"/>
                <w:highlight w:val="none"/>
              </w:rPr>
              <w:t>0</w:t>
            </w:r>
            <w:r>
              <w:rPr>
                <w:rFonts w:hint="eastAsia" w:ascii="方正仿宋_GBK" w:hAnsi="FangSong_GB2312" w:eastAsia="方正仿宋_GBK" w:cs="FangSong_GB2312"/>
                <w:color w:val="auto"/>
                <w:sz w:val="24"/>
                <w:szCs w:val="24"/>
                <w:highlight w:val="none"/>
              </w:rPr>
              <w:t>个自然日提供方案设计报告，</w:t>
            </w:r>
            <w:r>
              <w:rPr>
                <w:rFonts w:hint="eastAsia" w:ascii="方正仿宋_GBK" w:hAnsi="FangSong_GB2312" w:eastAsia="方正仿宋_GBK" w:cs="FangSong_GB2312"/>
                <w:color w:val="auto"/>
                <w:sz w:val="24"/>
                <w:szCs w:val="24"/>
                <w:highlight w:val="none"/>
              </w:rPr>
              <w:t>2</w:t>
            </w:r>
            <w:r>
              <w:rPr>
                <w:rFonts w:ascii="方正仿宋_GBK" w:hAnsi="FangSong_GB2312" w:eastAsia="方正仿宋_GBK" w:cs="FangSong_GB2312"/>
                <w:color w:val="auto"/>
                <w:sz w:val="24"/>
                <w:szCs w:val="24"/>
                <w:highlight w:val="none"/>
              </w:rPr>
              <w:t>0</w:t>
            </w:r>
            <w:r>
              <w:rPr>
                <w:rFonts w:hint="eastAsia" w:ascii="方正仿宋_GBK" w:hAnsi="FangSong_GB2312" w:eastAsia="方正仿宋_GBK" w:cs="FangSong_GB2312"/>
                <w:color w:val="auto"/>
                <w:sz w:val="24"/>
                <w:szCs w:val="24"/>
                <w:highlight w:val="none"/>
              </w:rPr>
              <w:t>个自然日提供施工图设计报告</w:t>
            </w:r>
            <w:r>
              <w:rPr>
                <w:rFonts w:hint="eastAsia" w:ascii="方正仿宋_GBK" w:hAnsi="FangSong_GB2312" w:eastAsia="方正仿宋_GBK" w:cs="FangSong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21" w:type="dxa"/>
            <w:vAlign w:val="center"/>
          </w:tcPr>
          <w:p>
            <w:pPr>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标段划分</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无标段划分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预计开完工时间</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预计2022年</w:t>
            </w:r>
            <w:r>
              <w:rPr>
                <w:rFonts w:ascii="方正仿宋_GBK" w:hAnsi="FangSong_GB2312" w:eastAsia="方正仿宋_GBK" w:cs="FangSong_GB2312"/>
                <w:color w:val="auto"/>
                <w:sz w:val="24"/>
                <w:szCs w:val="24"/>
                <w:highlight w:val="none"/>
              </w:rPr>
              <w:t>12</w:t>
            </w:r>
            <w:r>
              <w:rPr>
                <w:rFonts w:hint="eastAsia" w:ascii="方正仿宋_GBK" w:hAnsi="FangSong_GB2312" w:eastAsia="方正仿宋_GBK" w:cs="FangSong_GB2312"/>
                <w:color w:val="auto"/>
                <w:sz w:val="24"/>
                <w:szCs w:val="24"/>
                <w:highlight w:val="none"/>
              </w:rPr>
              <w:t>月开工，以比选人书面通知为准。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rPr>
                <w:color w:val="auto"/>
                <w:sz w:val="24"/>
                <w:szCs w:val="24"/>
                <w:highlight w:val="none"/>
              </w:rPr>
            </w:pPr>
            <w:r>
              <w:rPr>
                <w:rFonts w:hint="eastAsia" w:ascii="FangSong_GB2312" w:hAnsi="FangSong_GB2312" w:eastAsia="FangSong_GB2312" w:cs="FangSong_GB2312"/>
                <w:color w:val="auto"/>
                <w:sz w:val="24"/>
                <w:szCs w:val="24"/>
                <w:highlight w:val="none"/>
              </w:rPr>
              <w:t>二、</w:t>
            </w:r>
            <w:r>
              <w:rPr>
                <w:rFonts w:hint="eastAsia" w:ascii="方正仿宋_GBK" w:hAnsi="FangSong_GB2312" w:eastAsia="方正仿宋_GBK" w:cs="FangSong_GB2312"/>
                <w:color w:val="auto"/>
                <w:sz w:val="24"/>
                <w:szCs w:val="24"/>
                <w:highlight w:val="none"/>
              </w:rPr>
              <w:t>竞选人须知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421" w:type="dxa"/>
            <w:vAlign w:val="center"/>
          </w:tcPr>
          <w:p>
            <w:pPr>
              <w:rPr>
                <w:color w:val="auto"/>
                <w:sz w:val="24"/>
                <w:szCs w:val="24"/>
                <w:highlight w:val="none"/>
              </w:rPr>
            </w:pPr>
            <w:r>
              <w:rPr>
                <w:rFonts w:hint="eastAsia" w:ascii="方正仿宋_GBK" w:hAnsi="FangSong_GB2312" w:eastAsia="方正仿宋_GBK" w:cs="FangSong_GB2312"/>
                <w:color w:val="auto"/>
                <w:sz w:val="24"/>
                <w:szCs w:val="24"/>
                <w:highlight w:val="none"/>
              </w:rPr>
              <w:t>比选范围及内容</w:t>
            </w:r>
          </w:p>
        </w:tc>
        <w:tc>
          <w:tcPr>
            <w:tcW w:w="8455" w:type="dxa"/>
            <w:vAlign w:val="center"/>
          </w:tcPr>
          <w:p>
            <w:pPr>
              <w:ind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设计内容：主要设计内容为交通标线标牌、防护设施、公共区域装修（包含但不限于过道、上客区、卫生间、大厅等）、办公室装修、视频监控系统、智能道闸系统、综合网络布线、照明系统、暖通工程及机电消防配合调整等。包含方案设计、施工图设计及施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质量要求</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符合相关法律法规、规范、规定、规程、标准、规划和要求，咨询设计深度达到国家及重庆市相关规定要求,并通过相关部门审核。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竞选人资格要求</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1．营业执照</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具备有效的营业执照。</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2．资质要求：</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须具备以下资质：</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建设行政主管部门颁发建筑设计综合甲级资质或建筑行业乙级及以上设计资质或建筑行业（建筑工程）甲级及以上设计资质；</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3．业绩要求</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2019年10月1日至比选截止日止（以合同签订时间为准），竞选人须具备单个合同金额在16.5万元以上的公共建筑装饰装修设计业绩1个。</w:t>
            </w:r>
          </w:p>
          <w:p>
            <w:pPr>
              <w:rPr>
                <w:color w:val="auto"/>
                <w:highlight w:val="none"/>
              </w:rPr>
            </w:pPr>
            <w:r>
              <w:rPr>
                <w:rFonts w:hint="eastAsia" w:ascii="方正仿宋_GBK" w:hAnsi="FangSong_GB2312" w:eastAsia="方正仿宋_GBK" w:cs="FangSong_GB2312"/>
                <w:color w:val="auto"/>
                <w:sz w:val="24"/>
                <w:szCs w:val="24"/>
                <w:highlight w:val="none"/>
              </w:rPr>
              <w:t>证明材料要求：提供合同复印件。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比选文件递交时间、地点及比选文件份数</w:t>
            </w:r>
          </w:p>
        </w:tc>
        <w:tc>
          <w:tcPr>
            <w:tcW w:w="8455" w:type="dxa"/>
            <w:vAlign w:val="center"/>
          </w:tcPr>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递交时间：2022年</w:t>
            </w:r>
            <w:r>
              <w:rPr>
                <w:rFonts w:ascii="方正仿宋_GBK" w:hAnsi="FangSong_GB2312" w:eastAsia="方正仿宋_GBK" w:cs="FangSong_GB2312"/>
                <w:color w:val="auto"/>
                <w:sz w:val="24"/>
                <w:szCs w:val="24"/>
                <w:highlight w:val="none"/>
              </w:rPr>
              <w:t>12</w:t>
            </w:r>
            <w:r>
              <w:rPr>
                <w:rFonts w:hint="eastAsia" w:ascii="方正仿宋_GBK" w:hAnsi="FangSong_GB2312" w:eastAsia="方正仿宋_GBK" w:cs="FangSong_GB2312"/>
                <w:color w:val="auto"/>
                <w:sz w:val="24"/>
                <w:szCs w:val="24"/>
                <w:highlight w:val="none"/>
              </w:rPr>
              <w:t xml:space="preserve">月 </w:t>
            </w:r>
            <w:r>
              <w:rPr>
                <w:rFonts w:ascii="方正仿宋_GBK" w:hAnsi="FangSong_GB2312" w:eastAsia="方正仿宋_GBK" w:cs="FangSong_GB2312"/>
                <w:color w:val="auto"/>
                <w:sz w:val="24"/>
                <w:szCs w:val="24"/>
                <w:highlight w:val="none"/>
              </w:rPr>
              <w:t>5</w:t>
            </w:r>
            <w:r>
              <w:rPr>
                <w:rFonts w:hint="eastAsia" w:ascii="方正仿宋_GBK" w:hAnsi="FangSong_GB2312" w:eastAsia="方正仿宋_GBK" w:cs="FangSong_GB2312"/>
                <w:color w:val="auto"/>
                <w:sz w:val="24"/>
                <w:szCs w:val="24"/>
                <w:highlight w:val="none"/>
              </w:rPr>
              <w:t>日</w:t>
            </w:r>
            <w:r>
              <w:rPr>
                <w:rFonts w:hint="eastAsia" w:ascii="方正仿宋_GBK" w:hAnsi="FangSong_GB2312" w:eastAsia="方正仿宋_GBK" w:cs="FangSong_GB2312"/>
                <w:color w:val="auto"/>
                <w:sz w:val="24"/>
                <w:szCs w:val="24"/>
                <w:highlight w:val="none"/>
              </w:rPr>
              <w:t>14时25分至2022年</w:t>
            </w:r>
            <w:r>
              <w:rPr>
                <w:rFonts w:ascii="方正仿宋_GBK" w:hAnsi="FangSong_GB2312" w:eastAsia="方正仿宋_GBK" w:cs="FangSong_GB2312"/>
                <w:color w:val="auto"/>
                <w:sz w:val="24"/>
                <w:szCs w:val="24"/>
                <w:highlight w:val="none"/>
              </w:rPr>
              <w:t>12</w:t>
            </w:r>
            <w:r>
              <w:rPr>
                <w:rFonts w:hint="eastAsia" w:ascii="方正仿宋_GBK" w:hAnsi="FangSong_GB2312" w:eastAsia="方正仿宋_GBK" w:cs="FangSong_GB2312"/>
                <w:color w:val="auto"/>
                <w:sz w:val="24"/>
                <w:szCs w:val="24"/>
                <w:highlight w:val="none"/>
              </w:rPr>
              <w:t>月</w:t>
            </w:r>
            <w:r>
              <w:rPr>
                <w:rFonts w:ascii="方正仿宋_GBK" w:hAnsi="FangSong_GB2312" w:eastAsia="方正仿宋_GBK" w:cs="FangSong_GB2312"/>
                <w:color w:val="auto"/>
                <w:sz w:val="24"/>
                <w:szCs w:val="24"/>
                <w:highlight w:val="none"/>
              </w:rPr>
              <w:t>5</w:t>
            </w:r>
            <w:r>
              <w:rPr>
                <w:rFonts w:hint="eastAsia" w:ascii="方正仿宋_GBK" w:hAnsi="FangSong_GB2312" w:eastAsia="方正仿宋_GBK" w:cs="FangSong_GB2312"/>
                <w:color w:val="auto"/>
                <w:sz w:val="24"/>
                <w:szCs w:val="24"/>
                <w:highlight w:val="none"/>
              </w:rPr>
              <w:t>日14时30分</w:t>
            </w:r>
            <w:r>
              <w:rPr>
                <w:rFonts w:hint="eastAsia" w:ascii="方正仿宋_GBK" w:hAnsi="FangSong_GB2312" w:eastAsia="方正仿宋_GBK" w:cs="FangSong_GB2312"/>
                <w:color w:val="auto"/>
                <w:sz w:val="24"/>
                <w:szCs w:val="24"/>
                <w:highlight w:val="none"/>
              </w:rPr>
              <w:t xml:space="preserve">。（请严格按照规定时间提交，在规定递交时间以外递交的不予接收）     </w:t>
            </w:r>
          </w:p>
          <w:p>
            <w:pPr>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递交地点：盖章扫描版</w:t>
            </w:r>
            <w:r>
              <w:rPr>
                <w:rFonts w:hint="eastAsia" w:ascii="方正仿宋_GBK" w:hAnsi="FangSong_GB2312" w:eastAsia="方正仿宋_GBK" w:cs="FangSong_GB2312"/>
                <w:color w:val="auto"/>
                <w:sz w:val="24"/>
                <w:szCs w:val="24"/>
                <w:highlight w:val="none"/>
              </w:rPr>
              <w:fldChar w:fldCharType="begin"/>
            </w:r>
            <w:r>
              <w:rPr>
                <w:rFonts w:hint="eastAsia" w:ascii="方正仿宋_GBK" w:hAnsi="FangSong_GB2312" w:eastAsia="方正仿宋_GBK" w:cs="FangSong_GB2312"/>
                <w:color w:val="auto"/>
                <w:sz w:val="24"/>
                <w:szCs w:val="24"/>
                <w:highlight w:val="none"/>
              </w:rPr>
              <w:instrText xml:space="preserve"> HYPERLINK "mailto:发送至317310611@qq.com" </w:instrText>
            </w:r>
            <w:r>
              <w:rPr>
                <w:rFonts w:hint="eastAsia" w:ascii="方正仿宋_GBK" w:hAnsi="FangSong_GB2312" w:eastAsia="方正仿宋_GBK" w:cs="FangSong_GB2312"/>
                <w:color w:val="auto"/>
                <w:sz w:val="24"/>
                <w:szCs w:val="24"/>
                <w:highlight w:val="none"/>
              </w:rPr>
              <w:fldChar w:fldCharType="separate"/>
            </w:r>
            <w:r>
              <w:rPr>
                <w:rFonts w:hint="eastAsia" w:ascii="方正仿宋_GBK" w:hAnsi="FangSong_GB2312" w:eastAsia="方正仿宋_GBK" w:cs="FangSong_GB2312"/>
                <w:color w:val="auto"/>
                <w:sz w:val="24"/>
                <w:szCs w:val="24"/>
                <w:highlight w:val="none"/>
              </w:rPr>
              <w:t>发送至</w:t>
            </w:r>
            <w:r>
              <w:rPr>
                <w:rFonts w:ascii="方正仿宋_GBK" w:hAnsi="FangSong_GB2312" w:eastAsia="方正仿宋_GBK" w:cs="FangSong_GB2312"/>
                <w:color w:val="auto"/>
                <w:sz w:val="24"/>
                <w:szCs w:val="24"/>
                <w:highlight w:val="none"/>
              </w:rPr>
              <w:t>1509229574</w:t>
            </w:r>
            <w:r>
              <w:rPr>
                <w:rFonts w:hint="eastAsia" w:ascii="方正仿宋_GBK" w:hAnsi="FangSong_GB2312" w:eastAsia="方正仿宋_GBK" w:cs="FangSong_GB2312"/>
                <w:color w:val="auto"/>
                <w:sz w:val="24"/>
                <w:szCs w:val="24"/>
                <w:highlight w:val="none"/>
              </w:rPr>
              <w:t>@qq.com</w:t>
            </w:r>
            <w:r>
              <w:rPr>
                <w:rFonts w:hint="eastAsia" w:ascii="方正仿宋_GBK" w:hAnsi="FangSong_GB2312" w:eastAsia="方正仿宋_GBK" w:cs="FangSong_GB2312"/>
                <w:color w:val="auto"/>
                <w:sz w:val="24"/>
                <w:szCs w:val="24"/>
                <w:highlight w:val="none"/>
              </w:rPr>
              <w:fldChar w:fldCharType="end"/>
            </w:r>
            <w:r>
              <w:rPr>
                <w:rFonts w:hint="eastAsia" w:ascii="方正仿宋_GBK" w:hAnsi="FangSong_GB2312" w:eastAsia="方正仿宋_GBK" w:cs="FangSong_GB2312"/>
                <w:color w:val="auto"/>
                <w:sz w:val="24"/>
                <w:szCs w:val="24"/>
                <w:highlight w:val="none"/>
              </w:rPr>
              <w:t>，邮件命名为“</w:t>
            </w:r>
            <w:r>
              <w:rPr>
                <w:rFonts w:hint="eastAsia" w:ascii="方正仿宋_GBK" w:hAnsi="FangSong_GB2312" w:eastAsia="方正仿宋_GBK" w:cs="FangSong_GB2312"/>
                <w:color w:val="auto"/>
                <w:sz w:val="24"/>
                <w:szCs w:val="24"/>
                <w:highlight w:val="none"/>
              </w:rPr>
              <w:t>单位全称+南坪、红旗河沟枢纽站装饰设计单位竞争性比选文件</w:t>
            </w:r>
            <w:r>
              <w:rPr>
                <w:rFonts w:hint="eastAsia" w:ascii="方正仿宋_GBK" w:hAnsi="FangSong_GB2312" w:eastAsia="方正仿宋_GBK" w:cs="FangSong_GB2312"/>
                <w:color w:val="auto"/>
                <w:sz w:val="24"/>
                <w:szCs w:val="24"/>
                <w:highlight w:val="none"/>
              </w:rPr>
              <w:t>”</w:t>
            </w:r>
          </w:p>
          <w:p>
            <w:pPr>
              <w:ind w:firstLine="480" w:firstLineChars="200"/>
              <w:rPr>
                <w:color w:val="auto"/>
                <w:highlight w:val="none"/>
              </w:rPr>
            </w:pPr>
            <w:r>
              <w:rPr>
                <w:rFonts w:hint="eastAsia" w:ascii="方正仿宋_GBK" w:hAnsi="FangSong_GB2312" w:eastAsia="方正仿宋_GBK" w:cs="FangSong_GB2312"/>
                <w:color w:val="auto"/>
                <w:sz w:val="24"/>
                <w:szCs w:val="24"/>
                <w:highlight w:val="none"/>
              </w:rPr>
              <w:t>比选时间：2022年</w:t>
            </w:r>
            <w:r>
              <w:rPr>
                <w:rFonts w:ascii="方正仿宋_GBK" w:hAnsi="FangSong_GB2312" w:eastAsia="方正仿宋_GBK" w:cs="FangSong_GB2312"/>
                <w:color w:val="auto"/>
                <w:sz w:val="24"/>
                <w:szCs w:val="24"/>
                <w:highlight w:val="none"/>
              </w:rPr>
              <w:t>12</w:t>
            </w:r>
            <w:r>
              <w:rPr>
                <w:rFonts w:hint="eastAsia" w:ascii="方正仿宋_GBK" w:hAnsi="FangSong_GB2312" w:eastAsia="方正仿宋_GBK" w:cs="FangSong_GB2312"/>
                <w:color w:val="auto"/>
                <w:sz w:val="24"/>
                <w:szCs w:val="24"/>
                <w:highlight w:val="none"/>
              </w:rPr>
              <w:t>月</w:t>
            </w:r>
            <w:r>
              <w:rPr>
                <w:rFonts w:ascii="方正仿宋_GBK" w:hAnsi="FangSong_GB2312" w:eastAsia="方正仿宋_GBK" w:cs="FangSong_GB2312"/>
                <w:color w:val="auto"/>
                <w:sz w:val="24"/>
                <w:szCs w:val="24"/>
                <w:highlight w:val="none"/>
              </w:rPr>
              <w:t>5</w:t>
            </w:r>
            <w:r>
              <w:rPr>
                <w:rFonts w:hint="eastAsia" w:ascii="方正仿宋_GBK" w:hAnsi="FangSong_GB2312" w:eastAsia="方正仿宋_GBK" w:cs="FangSong_GB2312"/>
                <w:color w:val="auto"/>
                <w:sz w:val="24"/>
                <w:szCs w:val="24"/>
                <w:highlight w:val="none"/>
              </w:rPr>
              <w:t>日</w:t>
            </w:r>
            <w:r>
              <w:rPr>
                <w:rFonts w:hint="eastAsia" w:ascii="方正仿宋_GBK" w:hAnsi="FangSong_GB2312" w:eastAsia="方正仿宋_GBK" w:cs="FangSong_GB2312"/>
                <w:color w:val="auto"/>
                <w:sz w:val="24"/>
                <w:szCs w:val="24"/>
                <w:highlight w:val="none"/>
              </w:rPr>
              <w:t>14时30分比选文件份数：扫描文件1份（</w:t>
            </w:r>
            <w:r>
              <w:rPr>
                <w:rFonts w:hint="eastAsia" w:ascii="方正仿宋_GBK" w:hAnsi="FangSong_GB2312" w:eastAsia="方正仿宋_GBK" w:cs="FangSong_GB2312"/>
                <w:color w:val="auto"/>
                <w:sz w:val="24"/>
                <w:szCs w:val="24"/>
                <w:highlight w:val="none"/>
              </w:rPr>
              <w:t>疫情原因，无需提交纸质版本，也无需参与现场开标，后期评审结果将在交通枢纽集团官网公示</w:t>
            </w:r>
            <w:r>
              <w:rPr>
                <w:rFonts w:hint="eastAsia" w:ascii="方正仿宋_GBK" w:hAnsi="FangSong_GB2312" w:eastAsia="方正仿宋_GBK" w:cs="FangSong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限价及比选报价要求</w:t>
            </w:r>
          </w:p>
        </w:tc>
        <w:tc>
          <w:tcPr>
            <w:tcW w:w="8455" w:type="dxa"/>
            <w:vAlign w:val="center"/>
          </w:tcPr>
          <w:p>
            <w:pPr>
              <w:ind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采用总价包干，各项目包干限价：红旗河沟项目22.39万元，南坪22.68万元，总限价4</w:t>
            </w:r>
            <w:r>
              <w:rPr>
                <w:rFonts w:ascii="方正仿宋_GBK" w:hAnsi="FangSong_GB2312" w:eastAsia="方正仿宋_GBK" w:cs="FangSong_GB2312"/>
                <w:color w:val="auto"/>
                <w:sz w:val="24"/>
                <w:szCs w:val="24"/>
                <w:highlight w:val="none"/>
              </w:rPr>
              <w:t>5.07</w:t>
            </w:r>
            <w:r>
              <w:rPr>
                <w:rFonts w:hint="eastAsia" w:ascii="方正仿宋_GBK" w:hAnsi="FangSong_GB2312" w:eastAsia="方正仿宋_GBK" w:cs="FangSong_GB2312"/>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center"/>
          </w:tcPr>
          <w:p>
            <w:pPr>
              <w:spacing w:line="440" w:lineRule="exact"/>
              <w:rPr>
                <w:color w:val="auto"/>
                <w:sz w:val="24"/>
                <w:szCs w:val="24"/>
                <w:highlight w:val="none"/>
              </w:rPr>
            </w:pPr>
          </w:p>
        </w:tc>
        <w:tc>
          <w:tcPr>
            <w:tcW w:w="8455" w:type="dxa"/>
            <w:vAlign w:val="center"/>
          </w:tcPr>
          <w:p>
            <w:pPr>
              <w:tabs>
                <w:tab w:val="left" w:pos="4520"/>
                <w:tab w:val="left" w:pos="5980"/>
              </w:tabs>
              <w:autoSpaceDE w:val="0"/>
              <w:autoSpaceDN w:val="0"/>
              <w:adjustRightInd w:val="0"/>
              <w:snapToGrid w:val="0"/>
              <w:spacing w:line="324" w:lineRule="auto"/>
              <w:ind w:right="-23"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本次比选费用报价为</w:t>
            </w:r>
            <w:r>
              <w:rPr>
                <w:rFonts w:hint="eastAsia" w:ascii="方正仿宋_GBK" w:hAnsi="FangSong_GB2312" w:eastAsia="方正仿宋_GBK" w:cs="FangSong_GB2312"/>
                <w:color w:val="auto"/>
                <w:sz w:val="24"/>
                <w:szCs w:val="24"/>
                <w:highlight w:val="none"/>
              </w:rPr>
              <w:t>总价包干</w:t>
            </w:r>
            <w:r>
              <w:rPr>
                <w:rFonts w:hint="eastAsia" w:ascii="方正仿宋_GBK" w:hAnsi="FangSong_GB2312" w:eastAsia="方正仿宋_GBK" w:cs="FangSong_GB2312"/>
                <w:color w:val="auto"/>
                <w:sz w:val="24"/>
                <w:szCs w:val="24"/>
                <w:highlight w:val="none"/>
              </w:rPr>
              <w:t>，以上费用包含但不限于</w:t>
            </w:r>
            <w:r>
              <w:rPr>
                <w:rFonts w:hint="eastAsia" w:ascii="方正仿宋_GBK" w:hAnsi="FangSong_GB2312" w:eastAsia="方正仿宋_GBK" w:cs="FangSong_GB2312"/>
                <w:color w:val="auto"/>
                <w:sz w:val="24"/>
                <w:szCs w:val="24"/>
                <w:highlight w:val="none"/>
              </w:rPr>
              <w:t>设计费</w:t>
            </w:r>
            <w:r>
              <w:rPr>
                <w:rFonts w:hint="eastAsia" w:ascii="方正仿宋_GBK" w:hAnsi="FangSong_GB2312" w:eastAsia="方正仿宋_GBK" w:cs="FangSong_GB2312"/>
                <w:color w:val="auto"/>
                <w:sz w:val="24"/>
                <w:szCs w:val="24"/>
                <w:highlight w:val="none"/>
              </w:rPr>
              <w:t>、专家评审费、人工费、材料费、企业管理费、利润、风险费用、赶工补偿费、水电费、规费、税金以及本工程备案与验收、其他风险等为完成项目</w:t>
            </w:r>
            <w:r>
              <w:rPr>
                <w:rFonts w:hint="eastAsia" w:ascii="方正仿宋_GBK" w:hAnsi="FangSong_GB2312" w:eastAsia="方正仿宋_GBK" w:cs="FangSong_GB2312"/>
                <w:color w:val="auto"/>
                <w:sz w:val="24"/>
                <w:szCs w:val="24"/>
                <w:highlight w:val="none"/>
              </w:rPr>
              <w:t>方案设计、施工图设计及施工配合</w:t>
            </w:r>
            <w:r>
              <w:rPr>
                <w:rFonts w:hint="eastAsia" w:ascii="方正仿宋_GBK" w:hAnsi="FangSong_GB2312" w:eastAsia="方正仿宋_GBK" w:cs="FangSong_GB2312"/>
                <w:color w:val="auto"/>
                <w:sz w:val="24"/>
                <w:szCs w:val="24"/>
                <w:highlight w:val="none"/>
              </w:rPr>
              <w:t>工作所需的所有费用。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费用支付方式</w:t>
            </w:r>
          </w:p>
        </w:tc>
        <w:tc>
          <w:tcPr>
            <w:tcW w:w="8455" w:type="dxa"/>
            <w:vAlign w:val="center"/>
          </w:tcPr>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各项目分别支付。</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（1）方案设计取得发包人认可后，28日内委托人（实际支付方）支付合同设计费30%。</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（2）取得施工图审查合格书或技术审查报告后，28日内委托人（实际支付方）支付至合同设计费的7</w:t>
            </w:r>
            <w:r>
              <w:rPr>
                <w:rFonts w:ascii="方正仿宋_GBK" w:hAnsi="FangSong_GB2312" w:eastAsia="方正仿宋_GBK" w:cs="FangSong_GB2312"/>
                <w:color w:val="auto"/>
                <w:sz w:val="24"/>
                <w:szCs w:val="24"/>
                <w:highlight w:val="none"/>
              </w:rPr>
              <w:t>0</w:t>
            </w:r>
            <w:r>
              <w:rPr>
                <w:rFonts w:hint="eastAsia" w:ascii="方正仿宋_GBK" w:hAnsi="FangSong_GB2312" w:eastAsia="方正仿宋_GBK" w:cs="FangSong_GB2312"/>
                <w:color w:val="auto"/>
                <w:sz w:val="24"/>
                <w:szCs w:val="24"/>
                <w:highlight w:val="none"/>
              </w:rPr>
              <w:t>%。</w:t>
            </w:r>
          </w:p>
          <w:p>
            <w:pPr>
              <w:spacing w:line="440" w:lineRule="exact"/>
              <w:ind w:firstLine="480" w:firstLineChars="200"/>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（3）工程竣工验收后28日内，委托人（实际支付方）结清剩余设计费。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其他需告知竞选人的要求</w:t>
            </w:r>
          </w:p>
        </w:tc>
        <w:tc>
          <w:tcPr>
            <w:tcW w:w="8455" w:type="dxa"/>
            <w:vAlign w:val="center"/>
          </w:tcPr>
          <w:p>
            <w:pPr>
              <w:numPr>
                <w:ilvl w:val="0"/>
                <w:numId w:val="1"/>
              </w:num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若因土地或其他政策原因项目取消，竞选人将无条件接受。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876" w:type="dxa"/>
            <w:gridSpan w:val="2"/>
            <w:vAlign w:val="center"/>
          </w:tcPr>
          <w:p>
            <w:pPr>
              <w:spacing w:line="440" w:lineRule="exact"/>
              <w:ind w:firstLine="480" w:firstLineChars="200"/>
              <w:rPr>
                <w:color w:val="auto"/>
                <w:sz w:val="24"/>
                <w:szCs w:val="24"/>
                <w:highlight w:val="none"/>
              </w:rPr>
            </w:pPr>
            <w:r>
              <w:rPr>
                <w:rFonts w:hint="eastAsia" w:ascii="方正仿宋_GBK" w:hAnsi="FangSong_GB2312" w:eastAsia="方正仿宋_GBK" w:cs="FangSong_GB2312"/>
                <w:color w:val="auto"/>
                <w:sz w:val="24"/>
                <w:szCs w:val="24"/>
                <w:highlight w:val="none"/>
              </w:rPr>
              <w:t>当众开封查验响应性文件，宣读报价书，评选小组对比选文件进行评审。先对报价最低的潜在比选单位提供的比选文件进行评审，</w:t>
            </w:r>
            <w:r>
              <w:rPr>
                <w:rFonts w:hint="eastAsia" w:ascii="方正仿宋_GBK" w:hAnsi="宋体" w:eastAsia="方正仿宋_GBK"/>
                <w:color w:val="auto"/>
                <w:sz w:val="24"/>
                <w:szCs w:val="24"/>
                <w:highlight w:val="none"/>
              </w:rPr>
              <w:t>在满足比选文件邀请函要求的情况下（参考否决比选条款），该单位为</w:t>
            </w:r>
            <w:r>
              <w:rPr>
                <w:rFonts w:hint="eastAsia" w:ascii="方正仿宋_GBK" w:hAnsi="FangSong_GB2312" w:eastAsia="方正仿宋_GBK" w:cs="FangSong_GB2312"/>
                <w:color w:val="auto"/>
                <w:sz w:val="24"/>
                <w:szCs w:val="24"/>
                <w:highlight w:val="none"/>
              </w:rPr>
              <w:t>第一中选候选单位。若不</w:t>
            </w:r>
            <w:r>
              <w:rPr>
                <w:rFonts w:hint="eastAsia" w:ascii="方正仿宋_GBK" w:hAnsi="宋体" w:eastAsia="方正仿宋_GBK"/>
                <w:color w:val="auto"/>
                <w:sz w:val="24"/>
                <w:szCs w:val="24"/>
                <w:highlight w:val="none"/>
              </w:rPr>
              <w:t>满足比选文件邀请函要求，对排名第二的候选单位进行评审，以此类推。</w:t>
            </w:r>
            <w:r>
              <w:rPr>
                <w:rFonts w:hint="eastAsia" w:ascii="方正仿宋_GBK" w:hAnsi="FangSong_GB2312" w:eastAsia="方正仿宋_GBK" w:cs="FangSong_GB2312"/>
                <w:color w:val="auto"/>
                <w:sz w:val="24"/>
                <w:szCs w:val="24"/>
                <w:highlight w:val="none"/>
              </w:rPr>
              <w:t>对未中选情况不做解释。</w:t>
            </w:r>
            <w:r>
              <w:rPr>
                <w:rFonts w:hint="eastAsia" w:ascii="方正仿宋_GBK" w:hAnsi="FangSong_GB2312" w:eastAsia="方正仿宋_GBK" w:cs="FangSong_GB2312"/>
                <w:color w:val="auto"/>
                <w:sz w:val="24"/>
                <w:szCs w:val="24"/>
                <w:highlight w:val="none"/>
              </w:rPr>
              <w:t>若出现各单位报价完全一致的情况，由评选小组通过抽签的方式确定第一中选候选人。若排名第一的候选单位在重庆城市综合交通枢纽(集团)有限公司以往承接设计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76" w:type="dxa"/>
            <w:gridSpan w:val="2"/>
            <w:vAlign w:val="center"/>
          </w:tcPr>
          <w:p>
            <w:pPr>
              <w:spacing w:line="440" w:lineRule="exact"/>
              <w:rPr>
                <w:color w:val="auto"/>
                <w:sz w:val="24"/>
                <w:szCs w:val="24"/>
                <w:highlight w:val="none"/>
              </w:rPr>
            </w:pPr>
            <w:r>
              <w:rPr>
                <w:rFonts w:hint="eastAsia" w:ascii="方正仿宋_GBK" w:hAnsi="FangSong_GB2312" w:eastAsia="方正仿宋_GBK" w:cs="FangSong_GB2312"/>
                <w:color w:val="auto"/>
                <w:sz w:val="24"/>
                <w:szCs w:val="24"/>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9876" w:type="dxa"/>
            <w:gridSpan w:val="2"/>
            <w:vAlign w:val="center"/>
          </w:tcPr>
          <w:p>
            <w:pPr>
              <w:spacing w:line="440" w:lineRule="exact"/>
              <w:ind w:firstLine="48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1、比选文件包括但不限于以下内容：（1）比选函；（2）营业执照、企业资质证书复印件；（3）法定代表人或授权代理人身份证明及授权委托书；（4）公司业绩证明材料；</w:t>
            </w:r>
            <w:r>
              <w:rPr>
                <w:rFonts w:ascii="方正仿宋_GBK" w:hAnsi="宋体" w:eastAsia="方正仿宋_GBK"/>
                <w:color w:val="auto"/>
                <w:sz w:val="24"/>
                <w:szCs w:val="24"/>
                <w:highlight w:val="none"/>
              </w:rPr>
              <w:t xml:space="preserve"> </w:t>
            </w:r>
          </w:p>
          <w:p>
            <w:pPr>
              <w:spacing w:line="440" w:lineRule="exact"/>
              <w:ind w:firstLine="480"/>
              <w:rPr>
                <w:color w:val="auto"/>
                <w:sz w:val="24"/>
                <w:szCs w:val="24"/>
                <w:highlight w:val="none"/>
              </w:rPr>
            </w:pPr>
            <w:r>
              <w:rPr>
                <w:rFonts w:hint="eastAsia" w:ascii="方正仿宋_GBK" w:hAnsi="宋体" w:eastAsia="方正仿宋_GBK"/>
                <w:color w:val="auto"/>
                <w:sz w:val="24"/>
                <w:szCs w:val="24"/>
                <w:highlight w:val="none"/>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spacing w:line="440" w:lineRule="exact"/>
              <w:rPr>
                <w:color w:val="auto"/>
                <w:sz w:val="24"/>
                <w:szCs w:val="24"/>
                <w:highlight w:val="none"/>
              </w:rPr>
            </w:pPr>
            <w:r>
              <w:rPr>
                <w:rFonts w:hint="eastAsia" w:ascii="FangSong_GB2312" w:hAnsi="FangSong_GB2312" w:eastAsia="FangSong_GB2312" w:cs="FangSong_GB2312"/>
                <w:color w:val="auto"/>
                <w:sz w:val="28"/>
                <w:szCs w:val="28"/>
                <w:highlight w:val="none"/>
              </w:rPr>
              <w:t>★</w:t>
            </w:r>
            <w:r>
              <w:rPr>
                <w:rFonts w:hint="eastAsia" w:ascii="方正仿宋_GBK" w:hAnsi="FangSong_GB2312" w:eastAsia="方正仿宋_GBK" w:cs="FangSong_GB2312"/>
                <w:color w:val="auto"/>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76" w:type="dxa"/>
            <w:gridSpan w:val="2"/>
            <w:vAlign w:val="center"/>
          </w:tcPr>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1、未在规定的时间内递交比选文件。</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2、报价超过最高限价。</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3、法定代表人或其委托代理人的签字（或盖章）不齐全，授权代表人身份证明不相符。</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4、资质、营业执照不符合“竞选人资格要求”的。</w:t>
            </w:r>
          </w:p>
          <w:p>
            <w:pPr>
              <w:spacing w:line="440" w:lineRule="exact"/>
              <w:rPr>
                <w:rFonts w:ascii="方正仿宋_GBK" w:hAnsi="FangSong_GB2312" w:eastAsia="方正仿宋_GBK" w:cs="FangSong_GB2312"/>
                <w:color w:val="auto"/>
                <w:sz w:val="24"/>
                <w:szCs w:val="24"/>
                <w:highlight w:val="none"/>
              </w:rPr>
            </w:pPr>
            <w:r>
              <w:rPr>
                <w:rFonts w:hint="eastAsia" w:ascii="方正仿宋_GBK" w:hAnsi="FangSong_GB2312" w:eastAsia="方正仿宋_GBK" w:cs="FangSong_GB2312"/>
                <w:color w:val="auto"/>
                <w:sz w:val="24"/>
                <w:szCs w:val="24"/>
                <w:highlight w:val="none"/>
              </w:rPr>
              <w:t>5、业绩证明材料不符合“竞选人资格要求”。字迹不清晰或难以辨认视为不符合要求。</w:t>
            </w:r>
          </w:p>
          <w:p>
            <w:pPr>
              <w:spacing w:line="440" w:lineRule="exact"/>
              <w:rPr>
                <w:rFonts w:ascii="方正仿宋_GBK" w:hAnsi="FangSong_GB2312" w:eastAsia="方正仿宋_GBK" w:cs="FangSong_GB2312"/>
                <w:color w:val="auto"/>
                <w:sz w:val="24"/>
                <w:szCs w:val="24"/>
                <w:highlight w:val="none"/>
              </w:rPr>
            </w:pPr>
            <w:r>
              <w:rPr>
                <w:rFonts w:ascii="方正仿宋_GBK" w:hAnsi="FangSong_GB2312" w:eastAsia="方正仿宋_GBK" w:cs="FangSong_GB2312"/>
                <w:color w:val="auto"/>
                <w:sz w:val="24"/>
                <w:szCs w:val="24"/>
                <w:highlight w:val="none"/>
              </w:rPr>
              <w:t>6</w:t>
            </w:r>
            <w:r>
              <w:rPr>
                <w:rFonts w:hint="eastAsia" w:ascii="方正仿宋_GBK" w:hAnsi="FangSong_GB2312" w:eastAsia="方正仿宋_GBK" w:cs="FangSong_GB2312"/>
                <w:color w:val="auto"/>
                <w:sz w:val="24"/>
                <w:szCs w:val="24"/>
                <w:highlight w:val="none"/>
              </w:rPr>
              <w:t>、比选文件未按要求加盖公章。</w:t>
            </w:r>
          </w:p>
          <w:p>
            <w:pPr>
              <w:spacing w:line="440" w:lineRule="exact"/>
              <w:rPr>
                <w:rFonts w:ascii="方正仿宋_GBK" w:hAnsi="FangSong_GB2312" w:eastAsia="方正仿宋_GBK" w:cs="FangSong_GB2312"/>
                <w:color w:val="auto"/>
                <w:sz w:val="24"/>
                <w:szCs w:val="24"/>
                <w:highlight w:val="none"/>
              </w:rPr>
            </w:pPr>
            <w:r>
              <w:rPr>
                <w:rFonts w:ascii="方正仿宋_GBK" w:hAnsi="FangSong_GB2312" w:eastAsia="方正仿宋_GBK" w:cs="FangSong_GB2312"/>
                <w:color w:val="auto"/>
                <w:sz w:val="24"/>
                <w:szCs w:val="24"/>
                <w:highlight w:val="none"/>
              </w:rPr>
              <w:t>7</w:t>
            </w:r>
            <w:r>
              <w:rPr>
                <w:rFonts w:hint="eastAsia" w:ascii="方正仿宋_GBK" w:hAnsi="FangSong_GB2312" w:eastAsia="方正仿宋_GBK" w:cs="FangSong_GB2312"/>
                <w:color w:val="auto"/>
                <w:sz w:val="24"/>
                <w:szCs w:val="24"/>
                <w:highlight w:val="none"/>
              </w:rPr>
              <w:t>、发现串通投标或弄虚作假或有其他违法行为的。</w:t>
            </w:r>
          </w:p>
          <w:p>
            <w:pPr>
              <w:spacing w:line="440" w:lineRule="exact"/>
              <w:rPr>
                <w:rFonts w:ascii="方正仿宋_GBK" w:hAnsi="FangSong_GB2312" w:eastAsia="方正仿宋_GBK" w:cs="FangSong_GB2312"/>
                <w:color w:val="auto"/>
                <w:sz w:val="24"/>
                <w:szCs w:val="24"/>
                <w:highlight w:val="none"/>
              </w:rPr>
            </w:pPr>
            <w:r>
              <w:rPr>
                <w:rFonts w:ascii="方正仿宋_GBK" w:hAnsi="FangSong_GB2312" w:eastAsia="方正仿宋_GBK" w:cs="FangSong_GB2312"/>
                <w:color w:val="auto"/>
                <w:sz w:val="24"/>
                <w:szCs w:val="24"/>
                <w:highlight w:val="none"/>
              </w:rPr>
              <w:t>8</w:t>
            </w:r>
            <w:r>
              <w:rPr>
                <w:rFonts w:hint="eastAsia" w:ascii="方正仿宋_GBK" w:hAnsi="FangSong_GB2312" w:eastAsia="方正仿宋_GBK" w:cs="FangSong_GB2312"/>
                <w:color w:val="auto"/>
                <w:sz w:val="24"/>
                <w:szCs w:val="24"/>
                <w:highlight w:val="none"/>
              </w:rPr>
              <w:t xml:space="preserve">、 </w:t>
            </w:r>
            <w:r>
              <w:rPr>
                <w:rFonts w:hint="eastAsia" w:ascii="方正仿宋_GBK" w:hAnsi="FangSong_GB2312" w:eastAsia="方正仿宋_GBK" w:cs="FangSong_GB2312"/>
                <w:color w:val="auto"/>
                <w:sz w:val="24"/>
                <w:szCs w:val="24"/>
                <w:highlight w:val="none"/>
              </w:rPr>
              <w:t>在重庆城市综合交通枢纽(集团)有限公司以往承接设计任务中合同履约情况较差，服务配合不好</w:t>
            </w:r>
            <w:r>
              <w:rPr>
                <w:rFonts w:hint="eastAsia" w:ascii="方正仿宋_GBK" w:hAnsi="FangSong_GB2312" w:eastAsia="方正仿宋_GBK" w:cs="FangSong_GB2312"/>
                <w:color w:val="auto"/>
                <w:sz w:val="24"/>
                <w:szCs w:val="24"/>
                <w:highlight w:val="none"/>
              </w:rPr>
              <w:t>。</w:t>
            </w:r>
          </w:p>
        </w:tc>
      </w:tr>
    </w:tbl>
    <w:p>
      <w:pPr>
        <w:widowControl/>
        <w:spacing w:before="100" w:beforeAutospacing="1" w:after="100" w:afterAutospacing="1" w:line="300" w:lineRule="exact"/>
        <w:ind w:firstLine="3360" w:firstLineChars="1200"/>
        <w:rPr>
          <w:rFonts w:ascii="FangSong_GB2312" w:hAnsi="FangSong_GB2312" w:eastAsia="FangSong_GB2312" w:cs="FangSong_GB2312"/>
          <w:bCs/>
          <w:color w:val="auto"/>
          <w:kern w:val="0"/>
          <w:sz w:val="28"/>
          <w:szCs w:val="28"/>
          <w:highlight w:val="none"/>
        </w:rPr>
      </w:pPr>
    </w:p>
    <w:p>
      <w:pPr>
        <w:widowControl/>
        <w:spacing w:before="100" w:beforeAutospacing="1" w:after="100" w:afterAutospacing="1" w:line="300" w:lineRule="exact"/>
        <w:ind w:firstLine="3360" w:firstLineChars="1200"/>
        <w:rPr>
          <w:rFonts w:eastAsia="方正仿宋_GBK"/>
          <w:bCs/>
          <w:color w:val="auto"/>
          <w:kern w:val="0"/>
          <w:sz w:val="28"/>
          <w:szCs w:val="28"/>
          <w:highlight w:val="none"/>
        </w:rPr>
      </w:pPr>
      <w:r>
        <w:rPr>
          <w:rFonts w:eastAsia="方正仿宋_GBK"/>
          <w:bCs/>
          <w:color w:val="auto"/>
          <w:kern w:val="0"/>
          <w:sz w:val="28"/>
          <w:szCs w:val="28"/>
          <w:highlight w:val="none"/>
        </w:rPr>
        <w:t>重庆城市综合交通枢纽（集团）有限公司</w:t>
      </w:r>
    </w:p>
    <w:p>
      <w:pPr>
        <w:widowControl/>
        <w:spacing w:before="100" w:beforeAutospacing="1" w:after="100" w:afterAutospacing="1" w:line="300" w:lineRule="exact"/>
        <w:jc w:val="center"/>
        <w:rPr>
          <w:rFonts w:eastAsia="方正仿宋_GBK"/>
          <w:color w:val="auto"/>
          <w:sz w:val="28"/>
          <w:szCs w:val="28"/>
          <w:highlight w:val="none"/>
        </w:rPr>
      </w:pPr>
      <w:r>
        <w:rPr>
          <w:rFonts w:eastAsia="方正仿宋_GBK"/>
          <w:bCs/>
          <w:color w:val="auto"/>
          <w:kern w:val="0"/>
          <w:sz w:val="28"/>
          <w:szCs w:val="28"/>
          <w:highlight w:val="none"/>
        </w:rPr>
        <w:t xml:space="preserve">                           2022 年    月    日</w:t>
      </w:r>
    </w:p>
    <w:p>
      <w:pPr>
        <w:rPr>
          <w:rFonts w:eastAsia="方正仿宋_GBK"/>
          <w:color w:val="auto"/>
          <w:sz w:val="28"/>
          <w:szCs w:val="28"/>
          <w:highlight w:val="none"/>
        </w:rPr>
        <w:sectPr>
          <w:pgSz w:w="11906" w:h="16838"/>
          <w:pgMar w:top="1440" w:right="1800" w:bottom="1440" w:left="1800" w:header="851" w:footer="992" w:gutter="0"/>
          <w:cols w:space="425" w:num="1"/>
          <w:docGrid w:type="lines" w:linePitch="312" w:charSpace="0"/>
        </w:sectPr>
      </w:pP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比选文件格式</w:t>
      </w:r>
    </w:p>
    <w:p>
      <w:pPr>
        <w:jc w:val="cente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格式一   比 选 函</w:t>
      </w:r>
    </w:p>
    <w:p>
      <w:pPr>
        <w:rPr>
          <w:rFonts w:ascii="方正仿宋_GBK" w:hAnsi="FangSong_GB2312" w:eastAsia="方正仿宋_GBK" w:cs="FangSong_GB2312"/>
          <w:color w:val="auto"/>
          <w:sz w:val="28"/>
          <w:szCs w:val="28"/>
          <w:highlight w:val="none"/>
          <w:u w:val="single"/>
        </w:rPr>
      </w:pPr>
      <w:r>
        <w:rPr>
          <w:rFonts w:hint="eastAsia" w:ascii="方正仿宋_GBK" w:hAnsi="FangSong_GB2312" w:eastAsia="方正仿宋_GBK" w:cs="FangSong_GB2312"/>
          <w:color w:val="auto"/>
          <w:sz w:val="28"/>
          <w:szCs w:val="28"/>
          <w:highlight w:val="none"/>
          <w:u w:val="single"/>
        </w:rPr>
        <w:t xml:space="preserve">                           ：</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     根据贵方</w:t>
      </w:r>
      <w:r>
        <w:rPr>
          <w:rFonts w:hint="eastAsia" w:ascii="方正仿宋_GBK" w:hAnsi="FangSong_GB2312" w:eastAsia="方正仿宋_GBK" w:cs="FangSong_GB2312"/>
          <w:color w:val="auto"/>
          <w:sz w:val="28"/>
          <w:szCs w:val="28"/>
          <w:highlight w:val="none"/>
          <w:u w:val="single"/>
        </w:rPr>
        <w:t>南坪、红旗河沟枢纽站装饰设计</w:t>
      </w:r>
      <w:r>
        <w:rPr>
          <w:rFonts w:hint="eastAsia" w:ascii="方正仿宋_GBK" w:hAnsi="FangSong_GB2312" w:eastAsia="方正仿宋_GBK" w:cs="FangSong_GB2312"/>
          <w:color w:val="auto"/>
          <w:sz w:val="28"/>
          <w:szCs w:val="28"/>
          <w:highlight w:val="none"/>
        </w:rPr>
        <w:t>项目的比选函文件，本公司正式授权的下述签字人</w:t>
      </w:r>
      <w:r>
        <w:rPr>
          <w:rFonts w:hint="eastAsia" w:ascii="方正仿宋_GBK" w:hAnsi="FangSong_GB2312" w:eastAsia="方正仿宋_GBK" w:cs="FangSong_GB2312"/>
          <w:color w:val="auto"/>
          <w:sz w:val="28"/>
          <w:szCs w:val="28"/>
          <w:highlight w:val="none"/>
          <w:u w:val="single"/>
        </w:rPr>
        <w:t xml:space="preserve">          </w:t>
      </w:r>
      <w:r>
        <w:rPr>
          <w:rFonts w:hint="eastAsia" w:ascii="方正仿宋_GBK" w:hAnsi="FangSong_GB2312" w:eastAsia="方正仿宋_GBK" w:cs="FangSong_GB2312"/>
          <w:color w:val="auto"/>
          <w:sz w:val="28"/>
          <w:szCs w:val="28"/>
          <w:highlight w:val="none"/>
        </w:rPr>
        <w:t>（姓名和职务）代表本公司</w:t>
      </w:r>
      <w:r>
        <w:rPr>
          <w:rFonts w:hint="eastAsia" w:ascii="方正仿宋_GBK" w:hAnsi="FangSong_GB2312" w:eastAsia="方正仿宋_GBK" w:cs="FangSong_GB2312"/>
          <w:color w:val="auto"/>
          <w:sz w:val="28"/>
          <w:szCs w:val="28"/>
          <w:highlight w:val="none"/>
          <w:u w:val="single"/>
        </w:rPr>
        <w:t xml:space="preserve">        </w:t>
      </w:r>
      <w:r>
        <w:rPr>
          <w:rFonts w:hint="eastAsia" w:ascii="方正仿宋_GBK" w:hAnsi="FangSong_GB2312" w:eastAsia="方正仿宋_GBK" w:cs="FangSong_GB2312"/>
          <w:color w:val="auto"/>
          <w:sz w:val="28"/>
          <w:szCs w:val="28"/>
          <w:highlight w:val="none"/>
        </w:rPr>
        <w:t>（竞选人名称），提交本比选函。</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据此函，签字人兹宣布同意如下：</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(1)愿意接受比选邀请函中提出的酬金支付方式与合同条款</w:t>
      </w:r>
      <w:r>
        <w:rPr>
          <w:rFonts w:hint="eastAsia" w:ascii="方正仿宋_GBK" w:hAnsi="FangSong_GB2312" w:eastAsia="方正仿宋_GBK" w:cs="FangSong_GB2312"/>
          <w:color w:val="auto"/>
          <w:sz w:val="28"/>
          <w:szCs w:val="28"/>
          <w:highlight w:val="none"/>
        </w:rPr>
        <w:t>按照比选函报价函中的包干设计费</w:t>
      </w:r>
      <w:r>
        <w:rPr>
          <w:rFonts w:hint="eastAsia" w:ascii="方正仿宋_GBK" w:hAnsi="FangSong_GB2312" w:eastAsia="方正仿宋_GBK" w:cs="FangSong_GB2312"/>
          <w:color w:val="auto"/>
          <w:sz w:val="28"/>
          <w:szCs w:val="28"/>
          <w:highlight w:val="none"/>
          <w:u w:val="single"/>
        </w:rPr>
        <w:t xml:space="preserve">         </w:t>
      </w:r>
      <w:r>
        <w:rPr>
          <w:rFonts w:hint="eastAsia" w:ascii="方正仿宋_GBK" w:hAnsi="FangSong_GB2312" w:eastAsia="方正仿宋_GBK" w:cs="FangSong_GB2312"/>
          <w:color w:val="auto"/>
          <w:sz w:val="28"/>
          <w:szCs w:val="28"/>
          <w:highlight w:val="none"/>
        </w:rPr>
        <w:t>（总限价</w:t>
      </w:r>
      <w:r>
        <w:rPr>
          <w:rFonts w:ascii="方正仿宋_GBK" w:hAnsi="FangSong_GB2312" w:eastAsia="方正仿宋_GBK" w:cs="FangSong_GB2312"/>
          <w:color w:val="auto"/>
          <w:sz w:val="28"/>
          <w:szCs w:val="28"/>
          <w:highlight w:val="none"/>
        </w:rPr>
        <w:t>45.07</w:t>
      </w:r>
      <w:r>
        <w:rPr>
          <w:rFonts w:hint="eastAsia" w:ascii="方正仿宋_GBK" w:hAnsi="FangSong_GB2312" w:eastAsia="方正仿宋_GBK" w:cs="FangSong_GB2312"/>
          <w:color w:val="auto"/>
          <w:sz w:val="28"/>
          <w:szCs w:val="28"/>
          <w:highlight w:val="none"/>
        </w:rPr>
        <w:t xml:space="preserve">万元），作为本项目报价；其中南坪项目包干设计费为      </w:t>
      </w:r>
      <w:r>
        <w:rPr>
          <w:rFonts w:ascii="方正仿宋_GBK" w:hAnsi="FangSong_GB2312" w:eastAsia="方正仿宋_GBK" w:cs="FangSong_GB2312"/>
          <w:color w:val="auto"/>
          <w:sz w:val="28"/>
          <w:szCs w:val="28"/>
          <w:highlight w:val="none"/>
        </w:rPr>
        <w:t xml:space="preserve"> </w:t>
      </w:r>
      <w:r>
        <w:rPr>
          <w:rFonts w:hint="eastAsia" w:ascii="方正仿宋_GBK" w:hAnsi="FangSong_GB2312" w:eastAsia="方正仿宋_GBK" w:cs="FangSong_GB2312"/>
          <w:color w:val="auto"/>
          <w:sz w:val="28"/>
          <w:szCs w:val="28"/>
          <w:highlight w:val="none"/>
        </w:rPr>
        <w:t>万元（限价22.68万元），红旗河沟项目包干设计费为      万元（限价</w:t>
      </w:r>
      <w:r>
        <w:rPr>
          <w:rFonts w:ascii="方正仿宋_GBK" w:hAnsi="FangSong_GB2312" w:eastAsia="方正仿宋_GBK" w:cs="FangSong_GB2312"/>
          <w:color w:val="auto"/>
          <w:sz w:val="28"/>
          <w:szCs w:val="28"/>
          <w:highlight w:val="none"/>
        </w:rPr>
        <w:t>22.39</w:t>
      </w:r>
      <w:r>
        <w:rPr>
          <w:rFonts w:hint="eastAsia" w:ascii="方正仿宋_GBK" w:hAnsi="FangSong_GB2312" w:eastAsia="方正仿宋_GBK" w:cs="FangSong_GB2312"/>
          <w:color w:val="auto"/>
          <w:sz w:val="28"/>
          <w:szCs w:val="28"/>
          <w:highlight w:val="none"/>
        </w:rPr>
        <w:t>万元），该报价全费用总价包干。</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该费用包干使用，包含但不限于可行性研究编制费、设计费、专家评审费、人工费、材料费、企业管理费、利润、风险费用、赶工补偿费、水电费、规费、税金以及本工程备案与验收、其他风险等为完成项目方案设计、施工图设计及施工配合工作所需的所有费用。</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(2)我司承诺满足贵单位比选邀请函中的“竞选人资格要求”</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 xml:space="preserve">资质要求  </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业绩要求</w:t>
      </w:r>
      <w:r>
        <w:rPr>
          <w:rFonts w:ascii="方正仿宋_GBK" w:hAnsi="FangSong_GB2312" w:eastAsia="方正仿宋_GBK" w:cs="FangSong_GB2312"/>
          <w:color w:val="auto"/>
          <w:sz w:val="28"/>
          <w:szCs w:val="28"/>
          <w:highlight w:val="none"/>
        </w:rPr>
        <w:t xml:space="preserve"> </w:t>
      </w:r>
      <w:r>
        <w:rPr>
          <w:rFonts w:hint="eastAsia" w:ascii="方正仿宋_GBK" w:hAnsi="FangSong_GB2312" w:eastAsia="方正仿宋_GBK" w:cs="FangSong_GB2312"/>
          <w:color w:val="auto"/>
          <w:sz w:val="28"/>
          <w:szCs w:val="28"/>
          <w:highlight w:val="none"/>
        </w:rPr>
        <w:sym w:font="Wingdings" w:char="00A8"/>
      </w:r>
      <w:r>
        <w:rPr>
          <w:rFonts w:hint="eastAsia" w:ascii="方正仿宋_GBK" w:hAnsi="FangSong_GB2312" w:eastAsia="方正仿宋_GBK" w:cs="FangSong_GB2312"/>
          <w:color w:val="auto"/>
          <w:sz w:val="28"/>
          <w:szCs w:val="28"/>
          <w:highlight w:val="none"/>
        </w:rPr>
        <w:t>工期要求的指标（勾选）。</w:t>
      </w:r>
    </w:p>
    <w:p>
      <w:pPr>
        <w:ind w:firstLine="560"/>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(3)我们已详细阅读了比选邀请函全部内容，我们知道必须放弃提出含糊不清或误解的问题的权利。</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    (4)我们保证根据规定履行合同责任和义务，不得要求变更我司报价。</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    (5)本比选函自开启之日起至项目全部完成之内有效。</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报价人全称（公章）：</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通信地址：                              </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电话、传真：</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报价人法定代表人或授权代理人签字 </w:t>
      </w:r>
    </w:p>
    <w:p>
      <w:pPr>
        <w:rPr>
          <w:rFonts w:ascii="方正仿宋_GBK" w:hAnsi="FangSong_GB2312" w:eastAsia="方正仿宋_GBK" w:cs="FangSong_GB2312"/>
          <w:color w:val="auto"/>
          <w:sz w:val="28"/>
          <w:szCs w:val="28"/>
          <w:highlight w:val="none"/>
        </w:rPr>
      </w:pPr>
      <w:r>
        <w:rPr>
          <w:rFonts w:hint="eastAsia" w:ascii="方正仿宋_GBK" w:hAnsi="FangSong_GB2312" w:eastAsia="方正仿宋_GBK" w:cs="FangSong_GB2312"/>
          <w:color w:val="auto"/>
          <w:sz w:val="28"/>
          <w:szCs w:val="28"/>
          <w:highlight w:val="none"/>
        </w:rPr>
        <w:t xml:space="preserve">日期： </w:t>
      </w:r>
    </w:p>
    <w:p>
      <w:pPr>
        <w:rPr>
          <w:rFonts w:ascii="FangSong_GB2312" w:hAnsi="FangSong_GB2312" w:eastAsia="FangSong_GB2312" w:cs="FangSong_GB2312"/>
          <w:color w:val="auto"/>
          <w:sz w:val="28"/>
          <w:szCs w:val="28"/>
          <w:highlight w:val="none"/>
        </w:rPr>
      </w:pPr>
      <w:r>
        <w:rPr>
          <w:rFonts w:hint="eastAsia" w:ascii="FangSong_GB2312" w:hAnsi="FangSong_GB2312" w:eastAsia="FangSong_GB2312" w:cs="FangSong_GB2312"/>
          <w:color w:val="auto"/>
          <w:sz w:val="28"/>
          <w:szCs w:val="28"/>
          <w:highlight w:val="none"/>
        </w:rPr>
        <w:br w:type="page"/>
      </w:r>
    </w:p>
    <w:p>
      <w:pPr>
        <w:jc w:val="center"/>
        <w:rPr>
          <w:rFonts w:ascii="方正仿宋_GBK" w:hAnsi="宋体" w:eastAsia="方正仿宋_GBK" w:cs="宋体"/>
          <w:b/>
          <w:color w:val="auto"/>
          <w:kern w:val="0"/>
          <w:sz w:val="24"/>
          <w:highlight w:val="none"/>
        </w:rPr>
      </w:pPr>
      <w:r>
        <w:rPr>
          <w:rFonts w:hint="eastAsia" w:ascii="方正仿宋_GBK" w:hAnsi="FangSong_GB2312" w:eastAsia="方正仿宋_GBK" w:cs="FangSong_GB2312"/>
          <w:color w:val="auto"/>
          <w:sz w:val="28"/>
          <w:szCs w:val="28"/>
          <w:highlight w:val="none"/>
        </w:rPr>
        <w:t>格式二   法定代表人授权委托书</w:t>
      </w:r>
    </w:p>
    <w:p>
      <w:pPr>
        <w:widowControl/>
        <w:snapToGrid w:val="0"/>
        <w:spacing w:before="100" w:beforeAutospacing="1" w:after="100" w:afterAutospacing="1" w:line="360" w:lineRule="auto"/>
        <w:jc w:val="left"/>
        <w:textAlignment w:val="bottom"/>
        <w:rPr>
          <w:rFonts w:ascii="方正仿宋_GBK" w:hAnsi="FangSong_GB2312" w:eastAsia="方正仿宋_GBK" w:cs="FangSong_GB2312"/>
          <w:bCs/>
          <w:color w:val="auto"/>
          <w:kern w:val="0"/>
          <w:sz w:val="28"/>
          <w:szCs w:val="28"/>
          <w:highlight w:val="none"/>
        </w:rPr>
      </w:pPr>
      <w:r>
        <w:rPr>
          <w:rFonts w:hint="eastAsia" w:ascii="方正仿宋_GBK" w:hAnsi="FangSong_GB2312" w:eastAsia="方正仿宋_GBK" w:cs="FangSong_GB2312"/>
          <w:bCs/>
          <w:color w:val="auto"/>
          <w:kern w:val="0"/>
          <w:sz w:val="28"/>
          <w:szCs w:val="28"/>
          <w:highlight w:val="none"/>
        </w:rPr>
        <w:t xml:space="preserve">    本授权书声明：注册于</w:t>
      </w:r>
      <w:r>
        <w:rPr>
          <w:rFonts w:hint="eastAsia" w:ascii="方正仿宋_GBK" w:hAnsi="FangSong_GB2312" w:eastAsia="方正仿宋_GBK" w:cs="FangSong_GB2312"/>
          <w:bCs/>
          <w:color w:val="auto"/>
          <w:kern w:val="0"/>
          <w:sz w:val="28"/>
          <w:szCs w:val="28"/>
          <w:highlight w:val="none"/>
          <w:u w:val="single"/>
        </w:rPr>
        <w:t xml:space="preserve">                     （注册地址）</w:t>
      </w:r>
      <w:r>
        <w:rPr>
          <w:rFonts w:hint="eastAsia" w:ascii="方正仿宋_GBK" w:hAnsi="FangSong_GB2312" w:eastAsia="方正仿宋_GBK" w:cs="FangSong_GB2312"/>
          <w:bCs/>
          <w:color w:val="auto"/>
          <w:kern w:val="0"/>
          <w:sz w:val="28"/>
          <w:szCs w:val="28"/>
          <w:highlight w:val="none"/>
        </w:rPr>
        <w:t xml:space="preserve">的  </w:t>
      </w:r>
      <w:r>
        <w:rPr>
          <w:rFonts w:hint="eastAsia" w:ascii="方正仿宋_GBK" w:hAnsi="FangSong_GB2312" w:eastAsia="方正仿宋_GBK" w:cs="FangSong_GB2312"/>
          <w:bCs/>
          <w:color w:val="auto"/>
          <w:kern w:val="0"/>
          <w:sz w:val="28"/>
          <w:szCs w:val="28"/>
          <w:highlight w:val="none"/>
          <w:u w:val="single"/>
        </w:rPr>
        <w:t xml:space="preserve">               （公司名称）</w:t>
      </w:r>
      <w:r>
        <w:rPr>
          <w:rFonts w:hint="eastAsia" w:ascii="方正仿宋_GBK" w:hAnsi="FangSong_GB2312" w:eastAsia="方正仿宋_GBK" w:cs="FangSong_GB2312"/>
          <w:bCs/>
          <w:color w:val="auto"/>
          <w:kern w:val="0"/>
          <w:sz w:val="28"/>
          <w:szCs w:val="28"/>
          <w:highlight w:val="none"/>
        </w:rPr>
        <w:t>公司的在下面签字的</w:t>
      </w:r>
      <w:r>
        <w:rPr>
          <w:rFonts w:hint="eastAsia" w:ascii="方正仿宋_GBK" w:hAnsi="FangSong_GB2312" w:eastAsia="方正仿宋_GBK" w:cs="FangSong_GB2312"/>
          <w:bCs/>
          <w:color w:val="auto"/>
          <w:kern w:val="0"/>
          <w:sz w:val="28"/>
          <w:szCs w:val="28"/>
          <w:highlight w:val="none"/>
          <w:u w:val="single"/>
        </w:rPr>
        <w:t xml:space="preserve">        </w:t>
      </w:r>
      <w:r>
        <w:rPr>
          <w:rFonts w:hint="eastAsia" w:ascii="方正仿宋_GBK" w:hAnsi="FangSong_GB2312" w:eastAsia="方正仿宋_GBK" w:cs="FangSong_GB2312"/>
          <w:bCs/>
          <w:color w:val="auto"/>
          <w:kern w:val="0"/>
          <w:sz w:val="28"/>
          <w:szCs w:val="28"/>
          <w:highlight w:val="none"/>
        </w:rPr>
        <w:t>（法定代表人姓名、职务）代表本公司授权在下面签字的</w:t>
      </w:r>
      <w:r>
        <w:rPr>
          <w:rFonts w:hint="eastAsia" w:ascii="方正仿宋_GBK" w:hAnsi="FangSong_GB2312" w:eastAsia="方正仿宋_GBK" w:cs="FangSong_GB2312"/>
          <w:bCs/>
          <w:i/>
          <w:iCs/>
          <w:color w:val="auto"/>
          <w:kern w:val="0"/>
          <w:sz w:val="28"/>
          <w:szCs w:val="28"/>
          <w:highlight w:val="none"/>
          <w:u w:val="single"/>
        </w:rPr>
        <w:t xml:space="preserve">       </w:t>
      </w:r>
      <w:r>
        <w:rPr>
          <w:rFonts w:hint="eastAsia" w:ascii="方正仿宋_GBK" w:hAnsi="FangSong_GB2312" w:eastAsia="方正仿宋_GBK" w:cs="FangSong_GB2312"/>
          <w:bCs/>
          <w:color w:val="auto"/>
          <w:kern w:val="0"/>
          <w:sz w:val="28"/>
          <w:szCs w:val="28"/>
          <w:highlight w:val="none"/>
        </w:rPr>
        <w:t>（被授权人的姓名、职务）为本公司的合法代理人，就</w:t>
      </w:r>
      <w:r>
        <w:rPr>
          <w:rFonts w:hint="eastAsia" w:ascii="方正仿宋_GBK" w:hAnsi="FangSong_GB2312" w:eastAsia="方正仿宋_GBK" w:cs="FangSong_GB2312"/>
          <w:color w:val="auto"/>
          <w:sz w:val="28"/>
          <w:szCs w:val="28"/>
          <w:highlight w:val="none"/>
          <w:u w:val="single"/>
        </w:rPr>
        <w:t>南坪、红旗河沟枢纽站装饰设计项目</w:t>
      </w:r>
      <w:r>
        <w:rPr>
          <w:rFonts w:hint="eastAsia" w:ascii="方正仿宋_GBK" w:hAnsi="FangSong_GB2312" w:eastAsia="方正仿宋_GBK" w:cs="FangSong_GB2312"/>
          <w:bCs/>
          <w:color w:val="auto"/>
          <w:kern w:val="0"/>
          <w:sz w:val="28"/>
          <w:szCs w:val="28"/>
          <w:highlight w:val="none"/>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FangSong_GB2312" w:eastAsia="方正仿宋_GBK" w:cs="FangSong_GB2312"/>
          <w:bCs/>
          <w:color w:val="auto"/>
          <w:kern w:val="0"/>
          <w:sz w:val="28"/>
          <w:szCs w:val="28"/>
          <w:highlight w:val="none"/>
        </w:rPr>
      </w:pPr>
      <w:r>
        <w:rPr>
          <w:rFonts w:hint="eastAsia" w:ascii="方正仿宋_GBK" w:hAnsi="FangSong_GB2312" w:eastAsia="方正仿宋_GBK" w:cs="FangSong_GB2312"/>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报价单位名称（盖章）：</w:t>
      </w:r>
      <w:r>
        <w:rPr>
          <w:rFonts w:hint="eastAsia" w:ascii="宋体" w:hAnsi="宋体" w:eastAsia="方正仿宋_GBK" w:cs="华文楷体"/>
          <w:color w:val="auto"/>
          <w:kern w:val="0"/>
          <w:sz w:val="28"/>
          <w:szCs w:val="28"/>
          <w:highlight w:val="none"/>
        </w:rPr>
        <w:t>         </w:t>
      </w:r>
      <w:r>
        <w:rPr>
          <w:rFonts w:hint="eastAsia" w:ascii="方正仿宋_GBK" w:hAnsi="宋体" w:eastAsia="方正仿宋_GBK" w:cs="华文楷体"/>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highlight w:val="none"/>
        </w:rPr>
      </w:pPr>
      <w:r>
        <w:rPr>
          <w:rFonts w:hint="eastAsia" w:ascii="方正仿宋_GBK" w:hAnsi="宋体" w:eastAsia="方正仿宋_GBK" w:cs="华文楷体"/>
          <w:color w:val="auto"/>
          <w:kern w:val="0"/>
          <w:sz w:val="28"/>
          <w:szCs w:val="28"/>
          <w:highlight w:val="none"/>
        </w:rPr>
        <w:t>授权人（法定代表人）签字：</w:t>
      </w:r>
      <w:r>
        <w:rPr>
          <w:rFonts w:hint="eastAsia" w:ascii="宋体" w:hAnsi="宋体" w:eastAsia="方正仿宋_GBK" w:cs="华文楷体"/>
          <w:color w:val="auto"/>
          <w:kern w:val="0"/>
          <w:sz w:val="28"/>
          <w:szCs w:val="28"/>
          <w:highlight w:val="none"/>
        </w:rPr>
        <w:t>                    </w:t>
      </w:r>
      <w:r>
        <w:rPr>
          <w:rFonts w:hint="eastAsia" w:ascii="方正仿宋_GBK" w:hAnsi="宋体" w:eastAsia="方正仿宋_GBK" w:cs="华文楷体"/>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ascii="方正仿宋_GBK" w:hAnsi="FangSong_GB2312" w:eastAsia="方正仿宋_GBK" w:cs="FangSong_GB2312"/>
          <w:bCs/>
          <w:color w:val="auto"/>
          <w:kern w:val="0"/>
          <w:sz w:val="28"/>
          <w:szCs w:val="28"/>
          <w:highlight w:val="none"/>
        </w:rPr>
      </w:pPr>
      <w:r>
        <w:rPr>
          <w:rFonts w:hint="eastAsia" w:ascii="方正仿宋_GBK" w:hAnsi="宋体" w:eastAsia="方正仿宋_GBK" w:cs="华文楷体"/>
          <w:color w:val="auto"/>
          <w:kern w:val="0"/>
          <w:sz w:val="28"/>
          <w:szCs w:val="28"/>
          <w:highlight w:val="none"/>
        </w:rPr>
        <w:t>被授权人（代理人）签字：</w:t>
      </w:r>
      <w:r>
        <w:rPr>
          <w:rFonts w:hint="eastAsia" w:ascii="宋体" w:hAnsi="宋体" w:eastAsia="方正仿宋_GBK" w:cs="华文楷体"/>
          <w:color w:val="auto"/>
          <w:kern w:val="0"/>
          <w:sz w:val="28"/>
          <w:szCs w:val="28"/>
          <w:highlight w:val="none"/>
        </w:rPr>
        <w:t>  </w:t>
      </w:r>
      <w:r>
        <w:rPr>
          <w:rFonts w:hint="eastAsia" w:ascii="宋体" w:hAnsi="宋体" w:eastAsia="方正仿宋_GBK" w:cs="华文楷体"/>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r>
        <w:rPr>
          <w:rFonts w:ascii="FangSong_GB2312" w:hAnsi="FangSong_GB2312" w:eastAsia="FangSong_GB2312" w:cs="FangSong_GB2312"/>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被授权人身份证复印件（正反面）</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被授权人身份证复印件（正反面）</w:t>
                      </w:r>
                    </w:p>
                    <w:p/>
                  </w:txbxContent>
                </v:textbox>
              </v:shape>
            </w:pict>
          </mc:Fallback>
        </mc:AlternateContent>
      </w:r>
      <w:r>
        <w:rPr>
          <w:rFonts w:ascii="FangSong_GB2312" w:hAnsi="FangSong_GB2312" w:eastAsia="FangSong_GB2312" w:cs="FangSong_GB2312"/>
          <w:b/>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授权人身份证复印件（正反面）</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color w:val="auto"/>
          <w:kern w:val="0"/>
          <w:sz w:val="28"/>
          <w:szCs w:val="28"/>
          <w:highlight w:val="none"/>
        </w:rPr>
      </w:pPr>
      <w:r>
        <w:rPr>
          <w:rFonts w:hint="eastAsia" w:ascii="FangSong_GB2312" w:hAnsi="FangSong_GB2312" w:eastAsia="FangSong_GB2312" w:cs="FangSong_GB2312"/>
          <w:b/>
          <w:color w:val="auto"/>
          <w:kern w:val="0"/>
          <w:sz w:val="28"/>
          <w:szCs w:val="28"/>
          <w:highlight w:val="none"/>
        </w:rPr>
        <w:t> </w:t>
      </w:r>
    </w:p>
    <w:p>
      <w:pPr>
        <w:widowControl/>
        <w:spacing w:before="100" w:beforeAutospacing="1" w:after="100" w:afterAutospacing="1" w:line="252" w:lineRule="atLeast"/>
        <w:jc w:val="center"/>
        <w:rPr>
          <w:rFonts w:ascii="FangSong_GB2312" w:hAnsi="FangSong_GB2312" w:eastAsia="FangSong_GB2312" w:cs="FangSong_GB2312"/>
          <w:b/>
          <w:color w:val="auto"/>
          <w:kern w:val="0"/>
          <w:sz w:val="28"/>
          <w:szCs w:val="28"/>
          <w:highlight w:val="none"/>
        </w:rPr>
      </w:pPr>
    </w:p>
    <w:p>
      <w:pPr>
        <w:widowControl/>
        <w:spacing w:before="100" w:beforeAutospacing="1" w:after="100" w:afterAutospacing="1" w:line="252" w:lineRule="atLeast"/>
        <w:jc w:val="center"/>
        <w:rPr>
          <w:rFonts w:ascii="FangSong_GB2312" w:hAnsi="FangSong_GB2312" w:eastAsia="FangSong_GB2312" w:cs="FangSong_GB2312"/>
          <w:b/>
          <w:color w:val="auto"/>
          <w:kern w:val="0"/>
          <w:sz w:val="28"/>
          <w:szCs w:val="28"/>
          <w:highlight w:val="none"/>
        </w:rPr>
      </w:pP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br w:type="page"/>
      </w:r>
    </w:p>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格式三  业绩证明材料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项目名称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发包人名称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发包人地址</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发包人电话</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合同价格</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开工日期</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竣工日期</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承担的工作</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工程质量</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项目描述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备注</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color w:val="auto"/>
                <w:kern w:val="0"/>
                <w:sz w:val="28"/>
                <w:szCs w:val="28"/>
                <w:highlight w:val="none"/>
              </w:rPr>
            </w:pPr>
          </w:p>
        </w:tc>
      </w:tr>
    </w:tbl>
    <w:p>
      <w:pPr>
        <w:widowControl/>
        <w:spacing w:before="100" w:beforeAutospacing="1" w:after="100" w:afterAutospacing="1" w:line="252" w:lineRule="atLeast"/>
        <w:rPr>
          <w:rFonts w:ascii="FangSong_GB2312" w:hAnsi="FangSong_GB2312" w:eastAsia="FangSong_GB2312" w:cs="FangSong_GB2312"/>
          <w:bCs/>
          <w:color w:val="auto"/>
          <w:kern w:val="0"/>
          <w:sz w:val="28"/>
          <w:szCs w:val="28"/>
          <w:highlight w:val="none"/>
        </w:rPr>
      </w:pPr>
      <w:r>
        <w:rPr>
          <w:rFonts w:hint="eastAsia" w:ascii="FangSong_GB2312" w:hAnsi="FangSong_GB2312" w:eastAsia="FangSong_GB2312" w:cs="FangSong_GB2312"/>
          <w:bCs/>
          <w:color w:val="auto"/>
          <w:kern w:val="0"/>
          <w:sz w:val="28"/>
          <w:szCs w:val="28"/>
          <w:highlight w:val="none"/>
        </w:rPr>
        <w:t>注：以上工程需提供合同复印件并加盖鲜章。</w:t>
      </w:r>
    </w:p>
    <w:p>
      <w:pPr>
        <w:widowControl/>
        <w:spacing w:before="100" w:beforeAutospacing="1" w:after="100" w:afterAutospacing="1" w:line="252" w:lineRule="atLeast"/>
        <w:rPr>
          <w:rFonts w:ascii="FangSong_GB2312" w:hAnsi="FangSong_GB2312" w:eastAsia="FangSong_GB2312" w:cs="FangSong_GB2312"/>
          <w:color w:val="auto"/>
          <w:sz w:val="28"/>
          <w:szCs w:val="28"/>
          <w:highlight w:val="none"/>
        </w:rPr>
        <w:sectPr>
          <w:pgSz w:w="11906" w:h="16838"/>
          <w:pgMar w:top="1440" w:right="1800" w:bottom="1440" w:left="1800" w:header="851" w:footer="992" w:gutter="0"/>
          <w:cols w:space="425" w:num="1"/>
          <w:docGrid w:type="lines" w:linePitch="312" w:charSpace="0"/>
        </w:sectPr>
      </w:pPr>
      <w:r>
        <w:rPr>
          <w:rFonts w:hint="eastAsia" w:ascii="FangSong_GB2312" w:hAnsi="FangSong_GB2312" w:eastAsia="FangSong_GB2312" w:cs="FangSong_GB2312"/>
          <w:b/>
          <w:color w:val="auto"/>
          <w:kern w:val="0"/>
          <w:sz w:val="28"/>
          <w:szCs w:val="28"/>
          <w:highlight w:val="none"/>
        </w:rPr>
        <w:t xml:space="preserve"> </w:t>
      </w:r>
    </w:p>
    <w:p>
      <w:pPr>
        <w:jc w:val="center"/>
        <w:rPr>
          <w:rFonts w:eastAsia="仿宋"/>
          <w:color w:val="auto"/>
          <w:sz w:val="28"/>
          <w:szCs w:val="28"/>
          <w:highlight w:val="none"/>
        </w:rPr>
      </w:pPr>
      <w:r>
        <w:rPr>
          <w:rFonts w:hint="eastAsia" w:eastAsia="仿宋"/>
          <w:color w:val="auto"/>
          <w:sz w:val="28"/>
          <w:szCs w:val="28"/>
          <w:highlight w:val="none"/>
        </w:rPr>
        <w:t>四、</w:t>
      </w:r>
      <w:r>
        <w:rPr>
          <w:rFonts w:eastAsia="仿宋"/>
          <w:color w:val="auto"/>
          <w:sz w:val="28"/>
          <w:szCs w:val="28"/>
          <w:highlight w:val="none"/>
        </w:rPr>
        <w:t>合同文件</w:t>
      </w:r>
    </w:p>
    <w:p>
      <w:pPr>
        <w:jc w:val="center"/>
        <w:rPr>
          <w:rFonts w:eastAsia="黑体"/>
          <w:b/>
          <w:bCs/>
          <w:color w:val="auto"/>
          <w:sz w:val="62"/>
          <w:highlight w:val="none"/>
        </w:rPr>
      </w:pPr>
      <w:r>
        <w:rPr>
          <w:rFonts w:eastAsia="黑体"/>
          <w:b/>
          <w:bCs/>
          <w:color w:val="auto"/>
          <w:sz w:val="62"/>
          <w:highlight w:val="none"/>
        </w:rPr>
        <w:t>建设工程设计合同（一）</w:t>
      </w:r>
    </w:p>
    <w:p>
      <w:pPr>
        <w:jc w:val="center"/>
        <w:rPr>
          <w:rFonts w:eastAsia="FangSong_GB2312"/>
          <w:color w:val="auto"/>
          <w:sz w:val="30"/>
          <w:highlight w:val="none"/>
        </w:rPr>
      </w:pPr>
      <w:r>
        <w:rPr>
          <w:rFonts w:eastAsia="FangSong_GB2312"/>
          <w:color w:val="auto"/>
          <w:sz w:val="30"/>
          <w:highlight w:val="none"/>
        </w:rPr>
        <w:t>（民用建筑工程设计合同）</w:t>
      </w:r>
    </w:p>
    <w:p>
      <w:pPr>
        <w:spacing w:line="360" w:lineRule="auto"/>
        <w:ind w:firstLine="960" w:firstLineChars="300"/>
        <w:jc w:val="left"/>
        <w:rPr>
          <w:rFonts w:eastAsia="FangSong_GB2312"/>
          <w:color w:val="auto"/>
          <w:sz w:val="32"/>
          <w:szCs w:val="32"/>
          <w:highlight w:val="none"/>
        </w:rPr>
      </w:pPr>
    </w:p>
    <w:p>
      <w:pPr>
        <w:spacing w:line="360" w:lineRule="auto"/>
        <w:ind w:left="2238" w:leftChars="399" w:hanging="1400" w:hangingChars="500"/>
        <w:jc w:val="left"/>
        <w:rPr>
          <w:rFonts w:eastAsia="FangSong_GB2312"/>
          <w:color w:val="auto"/>
          <w:sz w:val="28"/>
          <w:szCs w:val="28"/>
          <w:highlight w:val="none"/>
          <w:u w:val="single"/>
        </w:rPr>
      </w:pPr>
      <w:r>
        <w:rPr>
          <w:rFonts w:eastAsia="FangSong_GB2312"/>
          <w:color w:val="auto"/>
          <w:sz w:val="28"/>
          <w:szCs w:val="28"/>
          <w:highlight w:val="none"/>
        </w:rPr>
        <w:t>工程</w:t>
      </w:r>
      <w:r>
        <w:rPr>
          <w:rFonts w:eastAsia="FangSong_GB2312"/>
          <w:color w:val="auto"/>
          <w:spacing w:val="20"/>
          <w:sz w:val="28"/>
          <w:szCs w:val="28"/>
          <w:highlight w:val="none"/>
        </w:rPr>
        <w:t>名称</w:t>
      </w:r>
      <w:r>
        <w:rPr>
          <w:rFonts w:eastAsia="FangSong_GB2312"/>
          <w:color w:val="auto"/>
          <w:sz w:val="28"/>
          <w:szCs w:val="28"/>
          <w:highlight w:val="none"/>
        </w:rPr>
        <w:t>：</w:t>
      </w:r>
      <w:r>
        <w:rPr>
          <w:rFonts w:hint="eastAsia" w:eastAsia="FangSong_GB2312"/>
          <w:color w:val="auto"/>
          <w:sz w:val="28"/>
          <w:szCs w:val="28"/>
          <w:highlight w:val="none"/>
          <w:u w:val="single"/>
        </w:rPr>
        <w:t xml:space="preserve">南坪、红旗河沟枢纽站装饰设计 </w:t>
      </w:r>
      <w:r>
        <w:rPr>
          <w:rFonts w:eastAsia="FangSong_GB2312"/>
          <w:color w:val="auto"/>
          <w:sz w:val="28"/>
          <w:szCs w:val="28"/>
          <w:highlight w:val="none"/>
          <w:u w:val="single"/>
        </w:rPr>
        <w:t xml:space="preserve">              </w:t>
      </w:r>
    </w:p>
    <w:p>
      <w:pPr>
        <w:spacing w:line="360" w:lineRule="auto"/>
        <w:ind w:firstLine="840" w:firstLineChars="300"/>
        <w:jc w:val="left"/>
        <w:rPr>
          <w:rFonts w:eastAsia="FangSong_GB2312"/>
          <w:color w:val="auto"/>
          <w:sz w:val="28"/>
          <w:szCs w:val="28"/>
          <w:highlight w:val="none"/>
        </w:rPr>
      </w:pPr>
      <w:r>
        <w:rPr>
          <w:rFonts w:eastAsia="FangSong_GB2312"/>
          <w:color w:val="auto"/>
          <w:sz w:val="28"/>
          <w:szCs w:val="28"/>
          <w:highlight w:val="none"/>
        </w:rPr>
        <w:t>合同</w:t>
      </w:r>
      <w:r>
        <w:rPr>
          <w:rFonts w:eastAsia="FangSong_GB2312"/>
          <w:color w:val="auto"/>
          <w:spacing w:val="20"/>
          <w:sz w:val="28"/>
          <w:szCs w:val="28"/>
          <w:highlight w:val="none"/>
        </w:rPr>
        <w:t>编号</w:t>
      </w:r>
      <w:r>
        <w:rPr>
          <w:rFonts w:eastAsia="FangSong_GB2312"/>
          <w:color w:val="auto"/>
          <w:sz w:val="28"/>
          <w:szCs w:val="28"/>
          <w:highlight w:val="none"/>
        </w:rPr>
        <w:t>：</w:t>
      </w:r>
      <w:r>
        <w:rPr>
          <w:rFonts w:eastAsia="FangSong_GB2312"/>
          <w:color w:val="auto"/>
          <w:sz w:val="28"/>
          <w:szCs w:val="28"/>
          <w:highlight w:val="none"/>
          <w:u w:val="single"/>
        </w:rPr>
        <w:t xml:space="preserve">                                         </w:t>
      </w:r>
      <w:r>
        <w:rPr>
          <w:rFonts w:hint="eastAsia" w:eastAsia="FangSong_GB2312"/>
          <w:color w:val="auto"/>
          <w:sz w:val="28"/>
          <w:szCs w:val="28"/>
          <w:highlight w:val="none"/>
          <w:u w:val="single"/>
        </w:rPr>
        <w:t xml:space="preserve"> </w:t>
      </w:r>
      <w:r>
        <w:rPr>
          <w:rFonts w:eastAsia="FangSong_GB2312"/>
          <w:color w:val="auto"/>
          <w:sz w:val="28"/>
          <w:szCs w:val="28"/>
          <w:highlight w:val="none"/>
          <w:u w:val="single"/>
        </w:rPr>
        <w:t xml:space="preserve"> </w:t>
      </w:r>
    </w:p>
    <w:p>
      <w:pPr>
        <w:spacing w:line="360" w:lineRule="auto"/>
        <w:ind w:firstLine="720" w:firstLineChars="300"/>
        <w:jc w:val="left"/>
        <w:rPr>
          <w:rFonts w:eastAsia="FangSong_GB2312"/>
          <w:color w:val="auto"/>
          <w:sz w:val="24"/>
          <w:highlight w:val="none"/>
        </w:rPr>
      </w:pPr>
      <w:r>
        <w:rPr>
          <w:rFonts w:eastAsia="FangSong_GB2312"/>
          <w:color w:val="auto"/>
          <w:sz w:val="24"/>
          <w:highlight w:val="none"/>
        </w:rPr>
        <w:t>（由设计人编填）</w:t>
      </w:r>
    </w:p>
    <w:p>
      <w:pPr>
        <w:spacing w:line="360" w:lineRule="auto"/>
        <w:ind w:firstLine="840" w:firstLineChars="300"/>
        <w:jc w:val="left"/>
        <w:rPr>
          <w:rFonts w:eastAsia="FangSong_GB2312"/>
          <w:color w:val="auto"/>
          <w:sz w:val="28"/>
          <w:szCs w:val="28"/>
          <w:highlight w:val="none"/>
        </w:rPr>
      </w:pPr>
      <w:r>
        <w:rPr>
          <w:rFonts w:eastAsia="FangSong_GB2312"/>
          <w:color w:val="auto"/>
          <w:sz w:val="28"/>
          <w:szCs w:val="28"/>
          <w:highlight w:val="none"/>
        </w:rPr>
        <w:t>设计证书等级：</w:t>
      </w:r>
      <w:r>
        <w:rPr>
          <w:rFonts w:eastAsia="FangSong_GB2312"/>
          <w:color w:val="auto"/>
          <w:sz w:val="28"/>
          <w:szCs w:val="28"/>
          <w:highlight w:val="none"/>
          <w:u w:val="single"/>
        </w:rPr>
        <w:t xml:space="preserve">                                   </w:t>
      </w:r>
      <w:r>
        <w:rPr>
          <w:rFonts w:hint="eastAsia" w:eastAsia="FangSong_GB2312"/>
          <w:color w:val="auto"/>
          <w:sz w:val="28"/>
          <w:szCs w:val="28"/>
          <w:highlight w:val="none"/>
          <w:u w:val="single"/>
        </w:rPr>
        <w:t xml:space="preserve">   </w:t>
      </w:r>
      <w:r>
        <w:rPr>
          <w:rFonts w:eastAsia="FangSong_GB2312"/>
          <w:color w:val="auto"/>
          <w:sz w:val="28"/>
          <w:szCs w:val="28"/>
          <w:highlight w:val="none"/>
          <w:u w:val="single"/>
        </w:rPr>
        <w:t xml:space="preserve"> </w:t>
      </w:r>
    </w:p>
    <w:p>
      <w:pPr>
        <w:spacing w:line="360" w:lineRule="auto"/>
        <w:ind w:firstLine="840" w:firstLineChars="300"/>
        <w:jc w:val="left"/>
        <w:rPr>
          <w:color w:val="auto"/>
          <w:sz w:val="28"/>
          <w:szCs w:val="28"/>
          <w:highlight w:val="none"/>
          <w:u w:val="single"/>
        </w:rPr>
      </w:pPr>
      <w:r>
        <w:rPr>
          <w:rFonts w:eastAsia="FangSong_GB2312"/>
          <w:color w:val="auto"/>
          <w:sz w:val="28"/>
          <w:szCs w:val="28"/>
          <w:highlight w:val="none"/>
        </w:rPr>
        <w:t>发包人：</w:t>
      </w:r>
      <w:r>
        <w:rPr>
          <w:rFonts w:eastAsia="FangSong_GB2312"/>
          <w:color w:val="auto"/>
          <w:sz w:val="28"/>
          <w:szCs w:val="28"/>
          <w:highlight w:val="none"/>
          <w:u w:val="single"/>
        </w:rPr>
        <w:t xml:space="preserve">重庆城市综合交通枢纽(集团)有限公司        </w:t>
      </w:r>
      <w:r>
        <w:rPr>
          <w:rFonts w:hint="eastAsia" w:eastAsia="FangSong_GB2312"/>
          <w:color w:val="auto"/>
          <w:sz w:val="28"/>
          <w:szCs w:val="28"/>
          <w:highlight w:val="none"/>
          <w:u w:val="single"/>
        </w:rPr>
        <w:t xml:space="preserve"> </w:t>
      </w:r>
      <w:r>
        <w:rPr>
          <w:rFonts w:eastAsia="FangSong_GB2312"/>
          <w:color w:val="auto"/>
          <w:sz w:val="28"/>
          <w:szCs w:val="28"/>
          <w:highlight w:val="none"/>
          <w:u w:val="single"/>
        </w:rPr>
        <w:t xml:space="preserve">   </w:t>
      </w:r>
    </w:p>
    <w:p>
      <w:pPr>
        <w:spacing w:line="360" w:lineRule="auto"/>
        <w:ind w:firstLine="840" w:firstLineChars="300"/>
        <w:jc w:val="left"/>
        <w:rPr>
          <w:rFonts w:eastAsia="FangSong_GB2312"/>
          <w:color w:val="auto"/>
          <w:sz w:val="28"/>
          <w:szCs w:val="28"/>
          <w:highlight w:val="none"/>
          <w:u w:val="single"/>
        </w:rPr>
      </w:pPr>
      <w:r>
        <w:rPr>
          <w:rFonts w:eastAsia="FangSong_GB2312"/>
          <w:color w:val="auto"/>
          <w:sz w:val="28"/>
          <w:szCs w:val="28"/>
          <w:highlight w:val="none"/>
        </w:rPr>
        <w:t>设计人：</w:t>
      </w:r>
      <w:r>
        <w:rPr>
          <w:rFonts w:eastAsia="FangSong_GB2312"/>
          <w:color w:val="auto"/>
          <w:sz w:val="28"/>
          <w:szCs w:val="28"/>
          <w:highlight w:val="none"/>
          <w:u w:val="single"/>
        </w:rPr>
        <w:t xml:space="preserve"> </w:t>
      </w:r>
      <w:r>
        <w:rPr>
          <w:rFonts w:eastAsia="方正仿宋_GBK"/>
          <w:color w:val="auto"/>
          <w:sz w:val="28"/>
          <w:szCs w:val="28"/>
          <w:highlight w:val="none"/>
          <w:u w:val="single"/>
        </w:rPr>
        <w:t xml:space="preserve"> </w:t>
      </w:r>
      <w:r>
        <w:rPr>
          <w:rFonts w:eastAsia="FangSong_GB2312"/>
          <w:color w:val="auto"/>
          <w:sz w:val="28"/>
          <w:szCs w:val="28"/>
          <w:highlight w:val="none"/>
          <w:u w:val="single"/>
        </w:rPr>
        <w:t xml:space="preserve">                                           </w:t>
      </w:r>
    </w:p>
    <w:p>
      <w:pPr>
        <w:spacing w:line="360" w:lineRule="auto"/>
        <w:ind w:firstLine="840" w:firstLineChars="300"/>
        <w:jc w:val="left"/>
        <w:rPr>
          <w:color w:val="auto"/>
          <w:sz w:val="28"/>
          <w:szCs w:val="28"/>
          <w:highlight w:val="none"/>
          <w:u w:val="single"/>
        </w:rPr>
      </w:pPr>
      <w:r>
        <w:rPr>
          <w:rFonts w:eastAsia="FangSong_GB2312"/>
          <w:color w:val="auto"/>
          <w:sz w:val="28"/>
          <w:szCs w:val="28"/>
          <w:highlight w:val="none"/>
        </w:rPr>
        <w:t>签订日期：</w:t>
      </w:r>
      <w:r>
        <w:rPr>
          <w:rFonts w:eastAsia="FangSong_GB2312"/>
          <w:color w:val="auto"/>
          <w:sz w:val="28"/>
          <w:szCs w:val="28"/>
          <w:highlight w:val="none"/>
          <w:u w:val="single"/>
        </w:rPr>
        <w:t xml:space="preserve">    </w:t>
      </w:r>
      <w:r>
        <w:rPr>
          <w:color w:val="auto"/>
          <w:sz w:val="28"/>
          <w:szCs w:val="28"/>
          <w:highlight w:val="none"/>
          <w:u w:val="single"/>
        </w:rPr>
        <w:t xml:space="preserve">二〇二二年     月    日   </w:t>
      </w:r>
      <w:r>
        <w:rPr>
          <w:rFonts w:eastAsia="FangSong_GB2312"/>
          <w:color w:val="auto"/>
          <w:sz w:val="28"/>
          <w:szCs w:val="28"/>
          <w:highlight w:val="none"/>
          <w:u w:val="single"/>
        </w:rPr>
        <w:t xml:space="preserve">            </w:t>
      </w:r>
      <w:r>
        <w:rPr>
          <w:color w:val="auto"/>
          <w:sz w:val="28"/>
          <w:szCs w:val="28"/>
          <w:highlight w:val="none"/>
          <w:u w:val="single"/>
        </w:rPr>
        <w:t xml:space="preserve"> </w:t>
      </w:r>
    </w:p>
    <w:p>
      <w:pPr>
        <w:spacing w:line="360" w:lineRule="auto"/>
        <w:rPr>
          <w:rFonts w:eastAsia="FangSong_GB2312"/>
          <w:color w:val="auto"/>
          <w:sz w:val="28"/>
          <w:szCs w:val="28"/>
          <w:highlight w:val="none"/>
        </w:rPr>
      </w:pPr>
    </w:p>
    <w:p>
      <w:pPr>
        <w:spacing w:line="360" w:lineRule="exact"/>
        <w:ind w:firstLine="1386" w:firstLineChars="495"/>
        <w:rPr>
          <w:rFonts w:eastAsia="FangSong_GB2312"/>
          <w:color w:val="auto"/>
          <w:sz w:val="28"/>
          <w:szCs w:val="28"/>
          <w:highlight w:val="none"/>
        </w:rPr>
      </w:pPr>
      <w:r>
        <w:rPr>
          <w:rFonts w:eastAsia="FangSong_GB2312"/>
          <w:color w:val="auto"/>
          <w:sz w:val="28"/>
          <w:szCs w:val="28"/>
          <w:highlight w:val="none"/>
        </w:rPr>
        <w:t>中华人民共和国建设部</w:t>
      </w:r>
    </w:p>
    <w:p>
      <w:pPr>
        <w:spacing w:line="360" w:lineRule="exact"/>
        <w:ind w:firstLine="4589" w:firstLineChars="1639"/>
        <w:rPr>
          <w:rFonts w:eastAsia="FangSong_GB2312"/>
          <w:color w:val="auto"/>
          <w:sz w:val="28"/>
          <w:szCs w:val="28"/>
          <w:highlight w:val="none"/>
        </w:rPr>
      </w:pPr>
      <w:r>
        <w:rPr>
          <w:rFonts w:eastAsia="FangSong_GB2312"/>
          <w:color w:val="auto"/>
          <w:sz w:val="28"/>
          <w:szCs w:val="28"/>
          <w:highlight w:val="none"/>
        </w:rPr>
        <w:t>监制</w:t>
      </w:r>
    </w:p>
    <w:p>
      <w:pPr>
        <w:spacing w:line="360" w:lineRule="exact"/>
        <w:ind w:firstLine="1386" w:firstLineChars="495"/>
        <w:rPr>
          <w:rFonts w:eastAsia="FangSong_GB2312"/>
          <w:color w:val="auto"/>
          <w:sz w:val="28"/>
          <w:szCs w:val="28"/>
          <w:highlight w:val="none"/>
        </w:rPr>
      </w:pPr>
      <w:r>
        <w:rPr>
          <w:rFonts w:eastAsia="FangSong_GB2312"/>
          <w:color w:val="auto"/>
          <w:sz w:val="28"/>
          <w:szCs w:val="28"/>
          <w:highlight w:val="none"/>
        </w:rPr>
        <w:t>国家工商行政管理局</w:t>
      </w:r>
    </w:p>
    <w:p>
      <w:pPr>
        <w:spacing w:line="400" w:lineRule="exact"/>
        <w:rPr>
          <w:rFonts w:eastAsia="方正仿宋_GBK"/>
          <w:color w:val="auto"/>
          <w:sz w:val="24"/>
          <w:highlight w:val="none"/>
        </w:rPr>
      </w:pPr>
      <w:r>
        <w:rPr>
          <w:rFonts w:eastAsia="FangSong_GB2312"/>
          <w:color w:val="auto"/>
          <w:sz w:val="32"/>
          <w:szCs w:val="32"/>
          <w:highlight w:val="none"/>
        </w:rPr>
        <w:br w:type="page"/>
      </w:r>
      <w:r>
        <w:rPr>
          <w:rFonts w:eastAsia="方正仿宋_GBK"/>
          <w:color w:val="auto"/>
          <w:sz w:val="24"/>
          <w:highlight w:val="none"/>
        </w:rPr>
        <w:t>发包人：</w:t>
      </w:r>
      <w:r>
        <w:rPr>
          <w:rFonts w:eastAsia="方正仿宋_GBK"/>
          <w:color w:val="auto"/>
          <w:sz w:val="24"/>
          <w:highlight w:val="none"/>
          <w:u w:val="single"/>
        </w:rPr>
        <w:t>重庆城市综合交通枢纽(集团)有限公司（以下简称“发包人”）</w:t>
      </w:r>
    </w:p>
    <w:p>
      <w:pPr>
        <w:spacing w:line="400" w:lineRule="exact"/>
        <w:rPr>
          <w:rFonts w:eastAsia="方正仿宋_GBK"/>
          <w:color w:val="auto"/>
          <w:sz w:val="24"/>
          <w:highlight w:val="none"/>
        </w:rPr>
      </w:pPr>
      <w:r>
        <w:rPr>
          <w:rFonts w:eastAsia="方正仿宋_GBK"/>
          <w:color w:val="auto"/>
          <w:sz w:val="24"/>
          <w:highlight w:val="none"/>
        </w:rPr>
        <w:t>设计人：</w:t>
      </w:r>
      <w:r>
        <w:rPr>
          <w:rFonts w:eastAsia="方正仿宋_GBK"/>
          <w:color w:val="auto"/>
          <w:sz w:val="24"/>
          <w:highlight w:val="none"/>
          <w:u w:val="single"/>
        </w:rPr>
        <w:t xml:space="preserve">                       （以下简称“设计人”） </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发包人委托设计人承担</w:t>
      </w:r>
      <w:r>
        <w:rPr>
          <w:rFonts w:hint="eastAsia" w:eastAsia="方正仿宋_GBK"/>
          <w:color w:val="auto"/>
          <w:sz w:val="24"/>
          <w:highlight w:val="none"/>
        </w:rPr>
        <w:t>南坪、红旗河沟枢纽站装饰设计</w:t>
      </w:r>
      <w:r>
        <w:rPr>
          <w:rFonts w:eastAsia="方正仿宋_GBK"/>
          <w:color w:val="auto"/>
          <w:sz w:val="24"/>
          <w:highlight w:val="none"/>
        </w:rPr>
        <w:t>项目</w:t>
      </w:r>
      <w:r>
        <w:rPr>
          <w:rFonts w:hint="eastAsia" w:eastAsia="方正仿宋_GBK"/>
          <w:color w:val="auto"/>
          <w:sz w:val="24"/>
          <w:highlight w:val="none"/>
        </w:rPr>
        <w:t>方案设计、施工图设计及施工配合。</w:t>
      </w:r>
      <w:r>
        <w:rPr>
          <w:rFonts w:eastAsia="方正仿宋_GBK"/>
          <w:color w:val="auto"/>
          <w:sz w:val="24"/>
          <w:highlight w:val="none"/>
        </w:rPr>
        <w:t>经双方协商一致，签订本合同。</w:t>
      </w:r>
    </w:p>
    <w:p>
      <w:pPr>
        <w:spacing w:line="400" w:lineRule="exact"/>
        <w:ind w:firstLine="480" w:firstLineChars="200"/>
        <w:rPr>
          <w:rFonts w:eastAsia="方正仿宋_GBK"/>
          <w:bCs/>
          <w:color w:val="auto"/>
          <w:sz w:val="24"/>
          <w:highlight w:val="none"/>
        </w:rPr>
      </w:pPr>
      <w:r>
        <w:rPr>
          <w:rFonts w:eastAsia="方正仿宋_GBK"/>
          <w:b/>
          <w:color w:val="auto"/>
          <w:sz w:val="24"/>
          <w:highlight w:val="none"/>
        </w:rPr>
        <w:t xml:space="preserve">第一条  </w:t>
      </w:r>
      <w:r>
        <w:rPr>
          <w:rFonts w:eastAsia="方正仿宋_GBK"/>
          <w:bCs/>
          <w:color w:val="auto"/>
          <w:sz w:val="24"/>
          <w:highlight w:val="none"/>
        </w:rPr>
        <w:t>合同依据</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本合同依据下列文件签订：</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1.1 《</w:t>
      </w:r>
      <w:r>
        <w:rPr>
          <w:rFonts w:eastAsia="方正仿宋_GBK"/>
          <w:color w:val="auto"/>
          <w:sz w:val="24"/>
          <w:highlight w:val="none"/>
        </w:rPr>
        <w:t>中华人民共和国民法典</w:t>
      </w:r>
      <w:r>
        <w:rPr>
          <w:rFonts w:eastAsia="方正仿宋_GBK"/>
          <w:color w:val="auto"/>
          <w:sz w:val="24"/>
          <w:highlight w:val="none"/>
        </w:rPr>
        <w:t>》《中华人民共和国建筑法》《建设工程勘察设计市场管理规定》</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1.2 国家及地方有关建设工程勘察设计管理法规和规章。</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1.3 建设工程批准文件。</w:t>
      </w:r>
    </w:p>
    <w:p>
      <w:pPr>
        <w:spacing w:line="400" w:lineRule="exact"/>
        <w:ind w:firstLine="480" w:firstLineChars="200"/>
        <w:rPr>
          <w:rFonts w:eastAsia="方正仿宋_GBK"/>
          <w:b/>
          <w:color w:val="auto"/>
          <w:sz w:val="24"/>
          <w:highlight w:val="none"/>
        </w:rPr>
      </w:pPr>
      <w:r>
        <w:rPr>
          <w:rFonts w:eastAsia="方正仿宋_GBK"/>
          <w:b/>
          <w:color w:val="auto"/>
          <w:sz w:val="24"/>
          <w:highlight w:val="none"/>
        </w:rPr>
        <w:t xml:space="preserve">第二条  </w:t>
      </w:r>
      <w:r>
        <w:rPr>
          <w:rFonts w:eastAsia="方正仿宋_GBK"/>
          <w:bCs/>
          <w:color w:val="auto"/>
          <w:sz w:val="24"/>
          <w:highlight w:val="none"/>
        </w:rPr>
        <w:t>项目概况及设计内容</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2.1工程名称：</w:t>
      </w:r>
    </w:p>
    <w:p>
      <w:pPr>
        <w:spacing w:line="400" w:lineRule="exact"/>
        <w:ind w:firstLine="480" w:firstLineChars="200"/>
        <w:rPr>
          <w:rFonts w:eastAsia="方正仿宋_GBK"/>
          <w:color w:val="auto"/>
          <w:sz w:val="24"/>
          <w:highlight w:val="none"/>
        </w:rPr>
      </w:pPr>
      <w:r>
        <w:rPr>
          <w:rFonts w:hint="eastAsia" w:eastAsia="方正仿宋_GBK"/>
          <w:color w:val="auto"/>
          <w:sz w:val="24"/>
          <w:highlight w:val="none"/>
        </w:rPr>
        <w:t>南坪、红旗河沟枢纽站装饰设计</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2.2工程建设规模及投资：</w:t>
      </w:r>
    </w:p>
    <w:p>
      <w:pPr>
        <w:spacing w:line="400" w:lineRule="exact"/>
        <w:ind w:firstLine="480" w:firstLineChars="200"/>
        <w:rPr>
          <w:rFonts w:eastAsia="方正仿宋_GBK"/>
          <w:color w:val="auto"/>
          <w:sz w:val="24"/>
          <w:highlight w:val="none"/>
          <w:u w:val="single"/>
        </w:rPr>
      </w:pPr>
      <w:r>
        <w:rPr>
          <w:rFonts w:hint="eastAsia" w:eastAsia="方正仿宋_GBK"/>
          <w:color w:val="auto"/>
          <w:sz w:val="24"/>
          <w:highlight w:val="none"/>
          <w:u w:val="single"/>
        </w:rPr>
        <w:t>（一）红旗河沟公交枢纽站项目：公交站场10494.43㎡，换乘大厅2546.78㎡。按照单方造价500元/m</w:t>
      </w:r>
      <w:r>
        <w:rPr>
          <w:rFonts w:eastAsia="方正仿宋_GBK"/>
          <w:color w:val="auto"/>
          <w:sz w:val="24"/>
          <w:highlight w:val="none"/>
          <w:u w:val="single"/>
          <w:vertAlign w:val="superscript"/>
        </w:rPr>
        <w:t>2</w:t>
      </w:r>
      <w:r>
        <w:rPr>
          <w:rFonts w:hint="eastAsia" w:eastAsia="方正仿宋_GBK"/>
          <w:color w:val="auto"/>
          <w:sz w:val="24"/>
          <w:highlight w:val="none"/>
          <w:u w:val="single"/>
        </w:rPr>
        <w:t>计算预估装饰工程造价652.06万元。</w:t>
      </w:r>
    </w:p>
    <w:p>
      <w:pPr>
        <w:spacing w:line="400" w:lineRule="exact"/>
        <w:ind w:firstLine="480" w:firstLineChars="200"/>
        <w:rPr>
          <w:rFonts w:eastAsia="方正仿宋_GBK"/>
          <w:color w:val="auto"/>
          <w:sz w:val="24"/>
          <w:highlight w:val="none"/>
          <w:u w:val="single"/>
        </w:rPr>
      </w:pPr>
      <w:r>
        <w:rPr>
          <w:rFonts w:hint="eastAsia" w:eastAsia="方正仿宋_GBK"/>
          <w:color w:val="auto"/>
          <w:sz w:val="24"/>
          <w:highlight w:val="none"/>
          <w:u w:val="single"/>
        </w:rPr>
        <w:t>（二）南坪公交枢纽站项目：公交站场面积13230.27㎡。按照单方造价500元/m</w:t>
      </w:r>
      <w:r>
        <w:rPr>
          <w:rFonts w:eastAsia="方正仿宋_GBK"/>
          <w:color w:val="auto"/>
          <w:sz w:val="24"/>
          <w:highlight w:val="none"/>
          <w:u w:val="single"/>
          <w:vertAlign w:val="superscript"/>
        </w:rPr>
        <w:t>2</w:t>
      </w:r>
      <w:r>
        <w:rPr>
          <w:rFonts w:hint="eastAsia" w:eastAsia="方正仿宋_GBK"/>
          <w:color w:val="auto"/>
          <w:sz w:val="24"/>
          <w:highlight w:val="none"/>
          <w:u w:val="single"/>
        </w:rPr>
        <w:t>计算预估装饰工程造价661.51万元。</w:t>
      </w:r>
    </w:p>
    <w:p>
      <w:pPr>
        <w:spacing w:line="400" w:lineRule="exact"/>
        <w:ind w:firstLine="480" w:firstLineChars="200"/>
        <w:rPr>
          <w:rFonts w:eastAsia="方正仿宋_GBK"/>
          <w:color w:val="auto"/>
          <w:highlight w:val="none"/>
        </w:rPr>
      </w:pPr>
      <w:r>
        <w:rPr>
          <w:rFonts w:eastAsia="方正仿宋_GBK"/>
          <w:color w:val="auto"/>
          <w:sz w:val="24"/>
          <w:highlight w:val="none"/>
        </w:rPr>
        <w:t>2.3主要建设内容：</w:t>
      </w:r>
      <w:r>
        <w:rPr>
          <w:rFonts w:eastAsia="方正仿宋_GBK"/>
          <w:color w:val="auto"/>
          <w:sz w:val="24"/>
          <w:highlight w:val="none"/>
          <w:u w:val="single"/>
        </w:rPr>
        <w:t>公交停车场，配套站务用房，配套设施，园林绿化，站场交通工程，室内装饰，视频监控系统、智能道闸系统等。</w:t>
      </w:r>
    </w:p>
    <w:p>
      <w:pPr>
        <w:spacing w:line="400" w:lineRule="exact"/>
        <w:ind w:firstLine="480" w:firstLineChars="200"/>
        <w:rPr>
          <w:rFonts w:eastAsia="方正仿宋_GBK"/>
          <w:color w:val="auto"/>
          <w:sz w:val="24"/>
          <w:highlight w:val="none"/>
          <w:u w:val="single"/>
        </w:rPr>
      </w:pPr>
      <w:r>
        <w:rPr>
          <w:rFonts w:eastAsia="方正仿宋_GBK"/>
          <w:color w:val="auto"/>
          <w:sz w:val="24"/>
          <w:highlight w:val="none"/>
        </w:rPr>
        <w:t>2.4设计阶段：</w:t>
      </w:r>
      <w:r>
        <w:rPr>
          <w:rFonts w:hint="eastAsia" w:eastAsia="方正仿宋_GBK"/>
          <w:color w:val="auto"/>
          <w:sz w:val="24"/>
          <w:highlight w:val="none"/>
          <w:u w:val="single"/>
        </w:rPr>
        <w:t>方案设计、施工图设计</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2.5设计范围：</w:t>
      </w:r>
    </w:p>
    <w:p>
      <w:pPr>
        <w:spacing w:line="400" w:lineRule="exact"/>
        <w:ind w:firstLine="480" w:firstLineChars="200"/>
        <w:outlineLvl w:val="0"/>
        <w:rPr>
          <w:rFonts w:eastAsia="方正仿宋_GBK"/>
          <w:color w:val="auto"/>
          <w:sz w:val="24"/>
          <w:szCs w:val="24"/>
          <w:highlight w:val="none"/>
        </w:rPr>
      </w:pPr>
      <w:r>
        <w:rPr>
          <w:rFonts w:hint="eastAsia" w:eastAsia="方正仿宋_GBK"/>
          <w:color w:val="auto"/>
          <w:sz w:val="24"/>
          <w:szCs w:val="24"/>
          <w:highlight w:val="none"/>
        </w:rPr>
        <w:t>设计内容：主要设计内容为交通标线标牌、防护设施、公共区域装修（包含但不限于过道、上客区、卫生间、大厅等）、办公室装修、视频监控系统、智能道闸系统、综合网络布线、照明系统、暖通工程及机电消防配合调整等。包含方案设计、施工图设计及施工配合。以上设计内容需提供对应的设计文件。</w:t>
      </w:r>
    </w:p>
    <w:p>
      <w:pPr>
        <w:spacing w:line="400" w:lineRule="exact"/>
        <w:ind w:firstLine="480" w:firstLineChars="200"/>
        <w:rPr>
          <w:rFonts w:eastAsia="方正仿宋_GBK"/>
          <w:b/>
          <w:color w:val="auto"/>
          <w:sz w:val="24"/>
          <w:highlight w:val="none"/>
        </w:rPr>
      </w:pPr>
      <w:r>
        <w:rPr>
          <w:rFonts w:eastAsia="方正仿宋_GBK"/>
          <w:b/>
          <w:color w:val="auto"/>
          <w:sz w:val="24"/>
          <w:highlight w:val="none"/>
        </w:rPr>
        <w:t xml:space="preserve">第三条  </w:t>
      </w:r>
      <w:r>
        <w:rPr>
          <w:rFonts w:eastAsia="方正仿宋_GBK"/>
          <w:bCs/>
          <w:color w:val="auto"/>
          <w:sz w:val="24"/>
          <w:highlight w:val="none"/>
        </w:rPr>
        <w:t>发包人应向设计人提交的有关资料及文件</w:t>
      </w:r>
    </w:p>
    <w:tbl>
      <w:tblPr>
        <w:tblStyle w:val="14"/>
        <w:tblW w:w="92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6"/>
        <w:gridCol w:w="3258"/>
        <w:gridCol w:w="815"/>
        <w:gridCol w:w="2667"/>
        <w:gridCol w:w="16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876" w:type="dxa"/>
            <w:tcBorders>
              <w:top w:val="single" w:color="auto" w:sz="8" w:space="0"/>
              <w:left w:val="single" w:color="auto" w:sz="8" w:space="0"/>
              <w:bottom w:val="single" w:color="auto" w:sz="6" w:space="0"/>
              <w:right w:val="single" w:color="auto" w:sz="6" w:space="0"/>
            </w:tcBorders>
            <w:vAlign w:val="center"/>
          </w:tcPr>
          <w:p>
            <w:pPr>
              <w:spacing w:line="400" w:lineRule="exact"/>
              <w:jc w:val="left"/>
              <w:rPr>
                <w:rFonts w:eastAsia="方正仿宋_GBK"/>
                <w:color w:val="auto"/>
                <w:sz w:val="22"/>
                <w:szCs w:val="22"/>
                <w:highlight w:val="none"/>
              </w:rPr>
            </w:pPr>
            <w:r>
              <w:rPr>
                <w:rFonts w:eastAsia="方正仿宋_GBK"/>
                <w:color w:val="auto"/>
                <w:sz w:val="22"/>
                <w:szCs w:val="22"/>
                <w:highlight w:val="none"/>
              </w:rPr>
              <w:t>序号</w:t>
            </w:r>
          </w:p>
        </w:tc>
        <w:tc>
          <w:tcPr>
            <w:tcW w:w="3258" w:type="dxa"/>
            <w:tcBorders>
              <w:top w:val="single" w:color="auto" w:sz="8" w:space="0"/>
              <w:left w:val="single" w:color="auto" w:sz="6" w:space="0"/>
              <w:bottom w:val="single" w:color="auto" w:sz="6" w:space="0"/>
              <w:right w:val="single" w:color="auto" w:sz="6" w:space="0"/>
            </w:tcBorders>
            <w:vAlign w:val="center"/>
          </w:tcPr>
          <w:p>
            <w:pPr>
              <w:spacing w:line="400" w:lineRule="exact"/>
              <w:jc w:val="left"/>
              <w:rPr>
                <w:rFonts w:eastAsia="方正仿宋_GBK"/>
                <w:color w:val="auto"/>
                <w:sz w:val="22"/>
                <w:szCs w:val="22"/>
                <w:highlight w:val="none"/>
              </w:rPr>
            </w:pPr>
            <w:r>
              <w:rPr>
                <w:rFonts w:eastAsia="方正仿宋_GBK"/>
                <w:color w:val="auto"/>
                <w:sz w:val="22"/>
                <w:szCs w:val="22"/>
                <w:highlight w:val="none"/>
              </w:rPr>
              <w:t>资料及文件名称</w:t>
            </w:r>
          </w:p>
        </w:tc>
        <w:tc>
          <w:tcPr>
            <w:tcW w:w="815" w:type="dxa"/>
            <w:tcBorders>
              <w:top w:val="single" w:color="auto" w:sz="8" w:space="0"/>
              <w:left w:val="single" w:color="auto" w:sz="6" w:space="0"/>
              <w:bottom w:val="single" w:color="auto" w:sz="6" w:space="0"/>
              <w:right w:val="single" w:color="auto" w:sz="6" w:space="0"/>
            </w:tcBorders>
            <w:vAlign w:val="center"/>
          </w:tcPr>
          <w:p>
            <w:pPr>
              <w:spacing w:line="400" w:lineRule="exact"/>
              <w:jc w:val="left"/>
              <w:rPr>
                <w:rFonts w:eastAsia="方正仿宋_GBK"/>
                <w:color w:val="auto"/>
                <w:sz w:val="22"/>
                <w:szCs w:val="22"/>
                <w:highlight w:val="none"/>
              </w:rPr>
            </w:pPr>
            <w:r>
              <w:rPr>
                <w:rFonts w:eastAsia="方正仿宋_GBK"/>
                <w:color w:val="auto"/>
                <w:sz w:val="22"/>
                <w:szCs w:val="22"/>
                <w:highlight w:val="none"/>
              </w:rPr>
              <w:t>份数</w:t>
            </w:r>
          </w:p>
        </w:tc>
        <w:tc>
          <w:tcPr>
            <w:tcW w:w="2667" w:type="dxa"/>
            <w:tcBorders>
              <w:top w:val="single" w:color="auto" w:sz="8" w:space="0"/>
              <w:left w:val="single" w:color="auto" w:sz="6" w:space="0"/>
              <w:bottom w:val="single" w:color="auto" w:sz="6" w:space="0"/>
              <w:right w:val="single" w:color="auto" w:sz="6" w:space="0"/>
            </w:tcBorders>
            <w:vAlign w:val="center"/>
          </w:tcPr>
          <w:p>
            <w:pPr>
              <w:spacing w:line="400" w:lineRule="exact"/>
              <w:jc w:val="center"/>
              <w:rPr>
                <w:rFonts w:eastAsia="方正仿宋_GBK"/>
                <w:color w:val="auto"/>
                <w:sz w:val="22"/>
                <w:szCs w:val="22"/>
                <w:highlight w:val="none"/>
              </w:rPr>
            </w:pPr>
            <w:r>
              <w:rPr>
                <w:rFonts w:eastAsia="方正仿宋_GBK"/>
                <w:color w:val="auto"/>
                <w:sz w:val="22"/>
                <w:szCs w:val="22"/>
                <w:highlight w:val="none"/>
              </w:rPr>
              <w:t>提交日期</w:t>
            </w:r>
          </w:p>
        </w:tc>
        <w:tc>
          <w:tcPr>
            <w:tcW w:w="1610" w:type="dxa"/>
            <w:tcBorders>
              <w:top w:val="single" w:color="auto" w:sz="8" w:space="0"/>
              <w:left w:val="single" w:color="auto" w:sz="6" w:space="0"/>
              <w:bottom w:val="single" w:color="auto" w:sz="6" w:space="0"/>
              <w:right w:val="single" w:color="auto" w:sz="8" w:space="0"/>
            </w:tcBorders>
            <w:vAlign w:val="center"/>
          </w:tcPr>
          <w:p>
            <w:pPr>
              <w:spacing w:line="400" w:lineRule="exact"/>
              <w:jc w:val="left"/>
              <w:rPr>
                <w:rFonts w:eastAsia="方正仿宋_GBK"/>
                <w:color w:val="auto"/>
                <w:sz w:val="22"/>
                <w:szCs w:val="22"/>
                <w:highlight w:val="none"/>
              </w:rPr>
            </w:pPr>
            <w:r>
              <w:rPr>
                <w:rFonts w:eastAsia="方正仿宋_GBK"/>
                <w:color w:val="auto"/>
                <w:sz w:val="22"/>
                <w:szCs w:val="22"/>
                <w:highlight w:val="none"/>
              </w:rPr>
              <w:t>有关事宜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76" w:type="dxa"/>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eastAsia="方正仿宋_GBK"/>
                <w:color w:val="auto"/>
                <w:sz w:val="22"/>
                <w:szCs w:val="22"/>
                <w:highlight w:val="none"/>
              </w:rPr>
            </w:pPr>
            <w:r>
              <w:rPr>
                <w:rFonts w:eastAsia="方正仿宋_GBK"/>
                <w:color w:val="auto"/>
                <w:sz w:val="22"/>
                <w:szCs w:val="22"/>
                <w:highlight w:val="none"/>
              </w:rPr>
              <w:t>1</w:t>
            </w:r>
          </w:p>
        </w:tc>
        <w:tc>
          <w:tcPr>
            <w:tcW w:w="3258"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eastAsia="方正仿宋_GBK"/>
                <w:color w:val="auto"/>
                <w:sz w:val="22"/>
                <w:szCs w:val="22"/>
                <w:highlight w:val="none"/>
              </w:rPr>
            </w:pPr>
            <w:r>
              <w:rPr>
                <w:rFonts w:eastAsia="方正仿宋_GBK"/>
                <w:color w:val="auto"/>
                <w:sz w:val="22"/>
                <w:szCs w:val="22"/>
                <w:highlight w:val="none"/>
              </w:rPr>
              <w:t xml:space="preserve">项目用地规划红线、现状地形图(1:500)、控规资料、周边路网资料、综合管网资料; </w:t>
            </w:r>
          </w:p>
        </w:tc>
        <w:tc>
          <w:tcPr>
            <w:tcW w:w="81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方正仿宋_GBK"/>
                <w:color w:val="auto"/>
                <w:sz w:val="22"/>
                <w:szCs w:val="22"/>
                <w:highlight w:val="none"/>
              </w:rPr>
            </w:pPr>
            <w:r>
              <w:rPr>
                <w:rFonts w:eastAsia="方正仿宋_GBK"/>
                <w:color w:val="auto"/>
                <w:sz w:val="22"/>
                <w:szCs w:val="22"/>
                <w:highlight w:val="none"/>
              </w:rPr>
              <w:t>1</w:t>
            </w:r>
          </w:p>
        </w:tc>
        <w:tc>
          <w:tcPr>
            <w:tcW w:w="26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方正仿宋_GBK"/>
                <w:color w:val="auto"/>
                <w:sz w:val="22"/>
                <w:szCs w:val="22"/>
                <w:highlight w:val="none"/>
              </w:rPr>
            </w:pPr>
            <w:r>
              <w:rPr>
                <w:rFonts w:eastAsia="方正仿宋_GBK"/>
                <w:color w:val="auto"/>
                <w:sz w:val="22"/>
                <w:szCs w:val="22"/>
                <w:highlight w:val="none"/>
              </w:rPr>
              <w:t>合同签定后7个日历天</w:t>
            </w:r>
          </w:p>
        </w:tc>
        <w:tc>
          <w:tcPr>
            <w:tcW w:w="1610" w:type="dxa"/>
            <w:tcBorders>
              <w:top w:val="single" w:color="auto" w:sz="6" w:space="0"/>
              <w:left w:val="single" w:color="auto" w:sz="6" w:space="0"/>
              <w:bottom w:val="single" w:color="auto" w:sz="6" w:space="0"/>
              <w:right w:val="single" w:color="auto" w:sz="8" w:space="0"/>
            </w:tcBorders>
            <w:vAlign w:val="center"/>
          </w:tcPr>
          <w:p>
            <w:pPr>
              <w:spacing w:line="400" w:lineRule="exact"/>
              <w:jc w:val="left"/>
              <w:rPr>
                <w:rFonts w:eastAsia="方正仿宋_GBK"/>
                <w:color w:val="auto"/>
                <w:sz w:val="22"/>
                <w:szCs w:val="22"/>
                <w:highlight w:val="none"/>
              </w:rPr>
            </w:pPr>
          </w:p>
        </w:tc>
      </w:tr>
    </w:tbl>
    <w:p>
      <w:pPr>
        <w:spacing w:line="400" w:lineRule="exact"/>
        <w:ind w:firstLine="480" w:firstLineChars="200"/>
        <w:rPr>
          <w:rFonts w:eastAsia="方正仿宋_GBK"/>
          <w:b/>
          <w:color w:val="auto"/>
          <w:sz w:val="24"/>
          <w:highlight w:val="none"/>
        </w:rPr>
      </w:pPr>
      <w:r>
        <w:rPr>
          <w:rFonts w:eastAsia="方正仿宋_GBK"/>
          <w:b/>
          <w:color w:val="auto"/>
          <w:sz w:val="24"/>
          <w:highlight w:val="none"/>
        </w:rPr>
        <w:t xml:space="preserve">第四条  </w:t>
      </w:r>
      <w:r>
        <w:rPr>
          <w:rFonts w:eastAsia="方正仿宋_GBK"/>
          <w:bCs/>
          <w:color w:val="auto"/>
          <w:sz w:val="24"/>
          <w:highlight w:val="none"/>
        </w:rPr>
        <w:t>设计人应向发包人交付的设计资料及文件</w:t>
      </w:r>
    </w:p>
    <w:tbl>
      <w:tblPr>
        <w:tblStyle w:val="14"/>
        <w:tblW w:w="9214"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150"/>
        <w:gridCol w:w="875"/>
        <w:gridCol w:w="1112"/>
        <w:gridCol w:w="4155"/>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889"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序号</w:t>
            </w:r>
          </w:p>
        </w:tc>
        <w:tc>
          <w:tcPr>
            <w:tcW w:w="1150"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资料及文件名称</w:t>
            </w:r>
          </w:p>
        </w:tc>
        <w:tc>
          <w:tcPr>
            <w:tcW w:w="875"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份数</w:t>
            </w:r>
          </w:p>
        </w:tc>
        <w:tc>
          <w:tcPr>
            <w:tcW w:w="1112"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光盘份数</w:t>
            </w:r>
          </w:p>
        </w:tc>
        <w:tc>
          <w:tcPr>
            <w:tcW w:w="4155"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提交日期</w:t>
            </w:r>
          </w:p>
        </w:tc>
        <w:tc>
          <w:tcPr>
            <w:tcW w:w="1033"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有关</w:t>
            </w:r>
          </w:p>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89" w:type="dxa"/>
            <w:vAlign w:val="center"/>
          </w:tcPr>
          <w:p>
            <w:pPr>
              <w:spacing w:line="400" w:lineRule="exact"/>
              <w:jc w:val="center"/>
              <w:rPr>
                <w:rFonts w:eastAsia="方正仿宋_GBK"/>
                <w:bCs/>
                <w:color w:val="auto"/>
                <w:sz w:val="22"/>
                <w:szCs w:val="22"/>
                <w:highlight w:val="none"/>
              </w:rPr>
            </w:pPr>
            <w:r>
              <w:rPr>
                <w:rFonts w:hint="eastAsia" w:eastAsia="方正仿宋_GBK"/>
                <w:bCs/>
                <w:color w:val="auto"/>
                <w:sz w:val="22"/>
                <w:szCs w:val="22"/>
                <w:highlight w:val="none"/>
              </w:rPr>
              <w:t>1</w:t>
            </w:r>
          </w:p>
        </w:tc>
        <w:tc>
          <w:tcPr>
            <w:tcW w:w="1150" w:type="dxa"/>
            <w:vAlign w:val="center"/>
          </w:tcPr>
          <w:p>
            <w:pPr>
              <w:spacing w:line="400" w:lineRule="exact"/>
              <w:jc w:val="center"/>
              <w:rPr>
                <w:rFonts w:eastAsia="方正仿宋_GBK"/>
                <w:bCs/>
                <w:color w:val="auto"/>
                <w:sz w:val="22"/>
                <w:szCs w:val="22"/>
                <w:highlight w:val="none"/>
              </w:rPr>
            </w:pPr>
            <w:r>
              <w:rPr>
                <w:rFonts w:hint="eastAsia" w:eastAsia="方正仿宋_GBK"/>
                <w:bCs/>
                <w:color w:val="auto"/>
                <w:sz w:val="22"/>
                <w:szCs w:val="22"/>
                <w:highlight w:val="none"/>
              </w:rPr>
              <w:t>方案</w:t>
            </w:r>
            <w:r>
              <w:rPr>
                <w:rFonts w:eastAsia="方正仿宋_GBK"/>
                <w:bCs/>
                <w:color w:val="auto"/>
                <w:sz w:val="22"/>
                <w:szCs w:val="22"/>
                <w:highlight w:val="none"/>
              </w:rPr>
              <w:t>设计</w:t>
            </w:r>
          </w:p>
        </w:tc>
        <w:tc>
          <w:tcPr>
            <w:tcW w:w="875" w:type="dxa"/>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4</w:t>
            </w:r>
          </w:p>
        </w:tc>
        <w:tc>
          <w:tcPr>
            <w:tcW w:w="1112" w:type="dxa"/>
            <w:tcBorders>
              <w:bottom w:val="single" w:color="auto" w:sz="4" w:space="0"/>
            </w:tcBorders>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1</w:t>
            </w:r>
          </w:p>
        </w:tc>
        <w:tc>
          <w:tcPr>
            <w:tcW w:w="4155" w:type="dxa"/>
            <w:vMerge w:val="restart"/>
            <w:vAlign w:val="center"/>
          </w:tcPr>
          <w:p>
            <w:pPr>
              <w:adjustRightInd w:val="0"/>
              <w:spacing w:line="400" w:lineRule="exact"/>
              <w:ind w:firstLine="440" w:firstLineChars="200"/>
              <w:jc w:val="left"/>
              <w:rPr>
                <w:rFonts w:eastAsia="方正仿宋_GBK"/>
                <w:bCs/>
                <w:color w:val="auto"/>
                <w:sz w:val="22"/>
                <w:szCs w:val="22"/>
                <w:highlight w:val="none"/>
              </w:rPr>
            </w:pPr>
            <w:r>
              <w:rPr>
                <w:rFonts w:hint="eastAsia" w:eastAsia="方正仿宋_GBK"/>
                <w:bCs/>
                <w:color w:val="auto"/>
                <w:sz w:val="22"/>
                <w:szCs w:val="22"/>
                <w:highlight w:val="none"/>
              </w:rPr>
              <w:t>合同签订后10日提供方案设计，方案通过发包人确定后10日提供施工图设计。由于行政主管部门审批、疫情等不可抗力等非设计原因造成阶段设计工期延误的情况，总工期顺延。</w:t>
            </w:r>
          </w:p>
        </w:tc>
        <w:tc>
          <w:tcPr>
            <w:tcW w:w="1033" w:type="dxa"/>
            <w:vMerge w:val="restart"/>
            <w:tcBorders>
              <w:bottom w:val="single" w:color="auto" w:sz="4" w:space="0"/>
            </w:tcBorders>
            <w:vAlign w:val="center"/>
          </w:tcPr>
          <w:p>
            <w:pPr>
              <w:spacing w:line="400" w:lineRule="exact"/>
              <w:jc w:val="center"/>
              <w:rPr>
                <w:rFonts w:eastAsia="方正仿宋_GBK"/>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9" w:type="dxa"/>
            <w:tcBorders>
              <w:bottom w:val="single" w:color="auto" w:sz="4" w:space="0"/>
            </w:tcBorders>
            <w:vAlign w:val="center"/>
          </w:tcPr>
          <w:p>
            <w:pPr>
              <w:spacing w:line="400" w:lineRule="exact"/>
              <w:jc w:val="center"/>
              <w:rPr>
                <w:rFonts w:eastAsia="方正仿宋_GBK"/>
                <w:bCs/>
                <w:color w:val="auto"/>
                <w:sz w:val="22"/>
                <w:szCs w:val="22"/>
                <w:highlight w:val="none"/>
              </w:rPr>
            </w:pPr>
            <w:r>
              <w:rPr>
                <w:rFonts w:hint="eastAsia" w:eastAsia="方正仿宋_GBK"/>
                <w:bCs/>
                <w:color w:val="auto"/>
                <w:sz w:val="22"/>
                <w:szCs w:val="22"/>
                <w:highlight w:val="none"/>
              </w:rPr>
              <w:t>2</w:t>
            </w:r>
          </w:p>
        </w:tc>
        <w:tc>
          <w:tcPr>
            <w:tcW w:w="1150" w:type="dxa"/>
            <w:tcBorders>
              <w:bottom w:val="single" w:color="auto" w:sz="4" w:space="0"/>
            </w:tcBorders>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施工图</w:t>
            </w:r>
          </w:p>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设计</w:t>
            </w:r>
          </w:p>
        </w:tc>
        <w:tc>
          <w:tcPr>
            <w:tcW w:w="875" w:type="dxa"/>
            <w:tcBorders>
              <w:bottom w:val="single" w:color="auto" w:sz="4" w:space="0"/>
            </w:tcBorders>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10</w:t>
            </w:r>
          </w:p>
        </w:tc>
        <w:tc>
          <w:tcPr>
            <w:tcW w:w="1112" w:type="dxa"/>
            <w:tcBorders>
              <w:bottom w:val="single" w:color="auto" w:sz="4" w:space="0"/>
            </w:tcBorders>
            <w:vAlign w:val="center"/>
          </w:tcPr>
          <w:p>
            <w:pPr>
              <w:spacing w:line="400" w:lineRule="exact"/>
              <w:jc w:val="center"/>
              <w:rPr>
                <w:rFonts w:eastAsia="方正仿宋_GBK"/>
                <w:bCs/>
                <w:color w:val="auto"/>
                <w:sz w:val="22"/>
                <w:szCs w:val="22"/>
                <w:highlight w:val="none"/>
              </w:rPr>
            </w:pPr>
            <w:r>
              <w:rPr>
                <w:rFonts w:eastAsia="方正仿宋_GBK"/>
                <w:bCs/>
                <w:color w:val="auto"/>
                <w:sz w:val="22"/>
                <w:szCs w:val="22"/>
                <w:highlight w:val="none"/>
              </w:rPr>
              <w:t>1</w:t>
            </w:r>
          </w:p>
        </w:tc>
        <w:tc>
          <w:tcPr>
            <w:tcW w:w="4155" w:type="dxa"/>
            <w:vMerge w:val="continue"/>
            <w:tcBorders>
              <w:bottom w:val="single" w:color="auto" w:sz="4" w:space="0"/>
            </w:tcBorders>
            <w:vAlign w:val="center"/>
          </w:tcPr>
          <w:p>
            <w:pPr>
              <w:spacing w:line="400" w:lineRule="exact"/>
              <w:jc w:val="center"/>
              <w:rPr>
                <w:rFonts w:eastAsia="方正仿宋_GBK"/>
                <w:bCs/>
                <w:color w:val="auto"/>
                <w:sz w:val="22"/>
                <w:szCs w:val="22"/>
                <w:highlight w:val="none"/>
              </w:rPr>
            </w:pPr>
          </w:p>
        </w:tc>
        <w:tc>
          <w:tcPr>
            <w:tcW w:w="1033" w:type="dxa"/>
            <w:vMerge w:val="continue"/>
            <w:tcBorders>
              <w:bottom w:val="single" w:color="auto" w:sz="4" w:space="0"/>
            </w:tcBorders>
            <w:vAlign w:val="center"/>
          </w:tcPr>
          <w:p>
            <w:pPr>
              <w:spacing w:line="400" w:lineRule="exact"/>
              <w:jc w:val="center"/>
              <w:rPr>
                <w:rFonts w:eastAsia="方正仿宋_GBK"/>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889" w:type="dxa"/>
            <w:tcBorders>
              <w:bottom w:val="single" w:color="auto" w:sz="4" w:space="0"/>
            </w:tcBorders>
            <w:vAlign w:val="center"/>
          </w:tcPr>
          <w:p>
            <w:pPr>
              <w:spacing w:line="400" w:lineRule="exact"/>
              <w:jc w:val="center"/>
              <w:rPr>
                <w:rFonts w:eastAsia="方正仿宋_GBK"/>
                <w:bCs/>
                <w:color w:val="auto"/>
                <w:sz w:val="22"/>
                <w:szCs w:val="22"/>
                <w:highlight w:val="none"/>
              </w:rPr>
            </w:pPr>
          </w:p>
        </w:tc>
        <w:tc>
          <w:tcPr>
            <w:tcW w:w="8325" w:type="dxa"/>
            <w:gridSpan w:val="5"/>
            <w:tcBorders>
              <w:bottom w:val="single" w:color="auto" w:sz="4" w:space="0"/>
            </w:tcBorders>
            <w:vAlign w:val="center"/>
          </w:tcPr>
          <w:p>
            <w:pPr>
              <w:snapToGrid w:val="0"/>
              <w:spacing w:line="240" w:lineRule="atLeast"/>
              <w:jc w:val="left"/>
              <w:rPr>
                <w:rFonts w:eastAsia="方正仿宋_GBK"/>
                <w:bCs/>
                <w:color w:val="auto"/>
                <w:sz w:val="22"/>
                <w:szCs w:val="22"/>
                <w:highlight w:val="none"/>
              </w:rPr>
            </w:pPr>
            <w:r>
              <w:rPr>
                <w:rFonts w:eastAsia="方正仿宋_GBK"/>
                <w:bCs/>
                <w:color w:val="auto"/>
                <w:sz w:val="22"/>
                <w:szCs w:val="22"/>
                <w:highlight w:val="none"/>
              </w:rPr>
              <w:t>注：</w:t>
            </w:r>
          </w:p>
          <w:p>
            <w:pPr>
              <w:snapToGrid w:val="0"/>
              <w:spacing w:line="240" w:lineRule="atLeast"/>
              <w:jc w:val="left"/>
              <w:rPr>
                <w:rFonts w:eastAsia="方正仿宋_GBK"/>
                <w:bCs/>
                <w:color w:val="auto"/>
                <w:sz w:val="22"/>
                <w:szCs w:val="22"/>
                <w:highlight w:val="none"/>
              </w:rPr>
            </w:pPr>
            <w:r>
              <w:rPr>
                <w:rFonts w:eastAsia="方正仿宋_GBK"/>
                <w:bCs/>
                <w:color w:val="auto"/>
                <w:sz w:val="22"/>
                <w:szCs w:val="22"/>
                <w:highlight w:val="none"/>
              </w:rPr>
              <w:t>1.如发包方原因影响设计进度，则设计周期顺延。</w:t>
            </w:r>
          </w:p>
          <w:p>
            <w:pPr>
              <w:snapToGrid w:val="0"/>
              <w:spacing w:line="240" w:lineRule="atLeast"/>
              <w:jc w:val="left"/>
              <w:rPr>
                <w:rFonts w:eastAsia="方正仿宋_GBK"/>
                <w:bCs/>
                <w:color w:val="auto"/>
                <w:sz w:val="22"/>
                <w:szCs w:val="22"/>
                <w:highlight w:val="none"/>
              </w:rPr>
            </w:pPr>
            <w:r>
              <w:rPr>
                <w:rFonts w:eastAsia="方正仿宋_GBK"/>
                <w:bCs/>
                <w:color w:val="auto"/>
                <w:sz w:val="22"/>
                <w:szCs w:val="22"/>
                <w:highlight w:val="none"/>
              </w:rPr>
              <w:t>2.各阶段设计成果资料除提交文本资料外，均应提交电子成果存档，且电子成果必须与纸质资料保持一致。</w:t>
            </w:r>
          </w:p>
          <w:p>
            <w:pPr>
              <w:snapToGrid w:val="0"/>
              <w:spacing w:line="240" w:lineRule="atLeast"/>
              <w:jc w:val="left"/>
              <w:rPr>
                <w:rFonts w:eastAsia="方正仿宋_GBK"/>
                <w:bCs/>
                <w:color w:val="auto"/>
                <w:sz w:val="22"/>
                <w:szCs w:val="22"/>
                <w:highlight w:val="none"/>
              </w:rPr>
            </w:pPr>
            <w:r>
              <w:rPr>
                <w:rFonts w:eastAsia="方正仿宋_GBK"/>
                <w:bCs/>
                <w:color w:val="auto"/>
                <w:sz w:val="22"/>
                <w:szCs w:val="22"/>
                <w:highlight w:val="none"/>
              </w:rPr>
              <w:t>3.其他应按相关规定提交的设计文件资料。</w:t>
            </w:r>
          </w:p>
          <w:p>
            <w:pPr>
              <w:pStyle w:val="2"/>
              <w:snapToGrid w:val="0"/>
              <w:spacing w:line="240" w:lineRule="atLeast"/>
              <w:jc w:val="left"/>
              <w:rPr>
                <w:rFonts w:eastAsia="方正仿宋_GBK"/>
                <w:bCs/>
                <w:color w:val="auto"/>
                <w:sz w:val="22"/>
                <w:szCs w:val="22"/>
                <w:highlight w:val="none"/>
              </w:rPr>
            </w:pPr>
            <w:r>
              <w:rPr>
                <w:rFonts w:eastAsia="方正仿宋_GBK"/>
                <w:bCs/>
                <w:color w:val="auto"/>
                <w:sz w:val="22"/>
                <w:szCs w:val="22"/>
                <w:highlight w:val="none"/>
              </w:rPr>
              <w:t>4.所需成果份数超过规定数时由发包人按成本价购买。</w:t>
            </w:r>
          </w:p>
          <w:p>
            <w:pPr>
              <w:snapToGrid w:val="0"/>
              <w:spacing w:line="240" w:lineRule="atLeast"/>
              <w:rPr>
                <w:rFonts w:eastAsia="方正仿宋_GBK"/>
                <w:bCs/>
                <w:color w:val="auto"/>
                <w:sz w:val="22"/>
                <w:szCs w:val="22"/>
                <w:highlight w:val="none"/>
              </w:rPr>
            </w:pPr>
            <w:r>
              <w:rPr>
                <w:rFonts w:eastAsia="方正仿宋_GBK"/>
                <w:bCs/>
                <w:color w:val="auto"/>
                <w:sz w:val="22"/>
                <w:szCs w:val="22"/>
                <w:highlight w:val="none"/>
              </w:rPr>
              <w:t>5</w:t>
            </w:r>
            <w:r>
              <w:rPr>
                <w:rFonts w:hint="eastAsia" w:eastAsia="方正仿宋_GBK"/>
                <w:bCs/>
                <w:color w:val="auto"/>
                <w:sz w:val="22"/>
                <w:szCs w:val="22"/>
                <w:highlight w:val="none"/>
              </w:rPr>
              <w:t>、方案设计成果应包含以下内容：</w:t>
            </w:r>
            <w:r>
              <w:rPr>
                <w:rFonts w:hint="eastAsia" w:eastAsia="方正仿宋_GBK"/>
                <w:b/>
                <w:bCs/>
                <w:color w:val="auto"/>
                <w:sz w:val="22"/>
                <w:szCs w:val="22"/>
                <w:highlight w:val="none"/>
              </w:rPr>
              <w:t>包含</w:t>
            </w:r>
            <w:r>
              <w:rPr>
                <w:rFonts w:eastAsia="方正仿宋_GBK"/>
                <w:b/>
                <w:bCs/>
                <w:color w:val="auto"/>
                <w:sz w:val="22"/>
                <w:szCs w:val="22"/>
                <w:highlight w:val="none"/>
              </w:rPr>
              <w:t>2</w:t>
            </w:r>
            <w:r>
              <w:rPr>
                <w:rFonts w:hint="eastAsia" w:eastAsia="方正仿宋_GBK"/>
                <w:b/>
                <w:bCs/>
                <w:color w:val="auto"/>
                <w:sz w:val="22"/>
                <w:szCs w:val="22"/>
                <w:highlight w:val="none"/>
              </w:rPr>
              <w:t>种风格的方案设计</w:t>
            </w:r>
            <w:r>
              <w:rPr>
                <w:rFonts w:hint="eastAsia" w:eastAsia="方正仿宋_GBK"/>
                <w:bCs/>
                <w:color w:val="auto"/>
                <w:sz w:val="22"/>
                <w:szCs w:val="22"/>
                <w:highlight w:val="none"/>
              </w:rPr>
              <w:t>，应提供设计说明书、装修设计说明、工程费用估算，装饰效果图包含停车库、上下客区、关键出入口门头装饰、办公室、公共卫生间等。</w:t>
            </w:r>
          </w:p>
          <w:p>
            <w:pPr>
              <w:pStyle w:val="2"/>
              <w:snapToGrid w:val="0"/>
              <w:spacing w:line="240" w:lineRule="atLeast"/>
              <w:jc w:val="left"/>
              <w:rPr>
                <w:rFonts w:eastAsia="方正仿宋_GBK"/>
                <w:bCs/>
                <w:color w:val="auto"/>
                <w:sz w:val="22"/>
                <w:szCs w:val="22"/>
                <w:highlight w:val="none"/>
              </w:rPr>
            </w:pPr>
            <w:r>
              <w:rPr>
                <w:rFonts w:eastAsia="方正仿宋_GBK"/>
                <w:bCs/>
                <w:color w:val="auto"/>
                <w:sz w:val="22"/>
                <w:szCs w:val="22"/>
                <w:highlight w:val="none"/>
              </w:rPr>
              <w:t>6</w:t>
            </w:r>
            <w:r>
              <w:rPr>
                <w:rFonts w:hint="eastAsia" w:eastAsia="方正仿宋_GBK"/>
                <w:bCs/>
                <w:color w:val="auto"/>
                <w:sz w:val="22"/>
                <w:szCs w:val="22"/>
                <w:highlight w:val="none"/>
              </w:rPr>
              <w:t>、施工图设计内容应包含以下内容：内容主要包括天地墙装饰装修图、车库出入口装饰图、机电设计图（含视频监控系统、智能道闸系统、综合网络布线、照明系统、暖通工程及机电消防配合调整）、车库画线图（含交通设施、导线、防撞、标牌）、设施设备深化图、卫浴洁具选型建议、灯具选型建议、固定家具做法尺寸图等内容</w:t>
            </w:r>
          </w:p>
          <w:p>
            <w:pPr>
              <w:snapToGrid w:val="0"/>
              <w:spacing w:line="240" w:lineRule="atLeast"/>
              <w:jc w:val="left"/>
              <w:rPr>
                <w:rFonts w:eastAsia="方正仿宋_GBK"/>
                <w:bCs/>
                <w:color w:val="auto"/>
                <w:sz w:val="22"/>
                <w:szCs w:val="22"/>
                <w:highlight w:val="none"/>
              </w:rPr>
            </w:pPr>
          </w:p>
        </w:tc>
      </w:tr>
    </w:tbl>
    <w:p>
      <w:pPr>
        <w:spacing w:line="400" w:lineRule="exact"/>
        <w:ind w:firstLine="480" w:firstLineChars="200"/>
        <w:rPr>
          <w:rFonts w:eastAsia="方正仿宋_GBK"/>
          <w:b/>
          <w:color w:val="auto"/>
          <w:sz w:val="24"/>
          <w:highlight w:val="none"/>
        </w:rPr>
      </w:pPr>
    </w:p>
    <w:p>
      <w:pPr>
        <w:spacing w:line="400" w:lineRule="exact"/>
        <w:ind w:firstLine="480" w:firstLineChars="200"/>
        <w:rPr>
          <w:rFonts w:eastAsia="方正仿宋_GBK"/>
          <w:bCs/>
          <w:color w:val="auto"/>
          <w:sz w:val="24"/>
          <w:highlight w:val="none"/>
        </w:rPr>
      </w:pPr>
      <w:r>
        <w:rPr>
          <w:rFonts w:eastAsia="方正仿宋_GBK"/>
          <w:b/>
          <w:color w:val="auto"/>
          <w:sz w:val="24"/>
          <w:highlight w:val="none"/>
        </w:rPr>
        <w:t>第五条</w:t>
      </w:r>
      <w:r>
        <w:rPr>
          <w:rFonts w:eastAsia="方正仿宋_GBK"/>
          <w:bCs/>
          <w:color w:val="auto"/>
          <w:sz w:val="24"/>
          <w:highlight w:val="none"/>
        </w:rPr>
        <w:t xml:space="preserve">  </w:t>
      </w:r>
      <w:r>
        <w:rPr>
          <w:rFonts w:hint="eastAsia" w:eastAsia="方正仿宋_GBK"/>
          <w:bCs/>
          <w:color w:val="auto"/>
          <w:sz w:val="24"/>
          <w:highlight w:val="none"/>
        </w:rPr>
        <w:t>本项目</w:t>
      </w:r>
      <w:r>
        <w:rPr>
          <w:rFonts w:eastAsia="方正仿宋_GBK"/>
          <w:bCs/>
          <w:color w:val="auto"/>
          <w:sz w:val="24"/>
          <w:highlight w:val="none"/>
        </w:rPr>
        <w:t>设计费总价包干</w:t>
      </w:r>
      <w:r>
        <w:rPr>
          <w:rFonts w:hint="eastAsia" w:eastAsia="方正仿宋_GBK"/>
          <w:bCs/>
          <w:color w:val="auto"/>
          <w:sz w:val="24"/>
          <w:highlight w:val="none"/>
        </w:rPr>
        <w:t>，为      元（大写：         ）（本次比选包含2个项目，其中南坪占比49.</w:t>
      </w:r>
      <w:r>
        <w:rPr>
          <w:rFonts w:eastAsia="方正仿宋_GBK"/>
          <w:bCs/>
          <w:color w:val="auto"/>
          <w:sz w:val="24"/>
          <w:highlight w:val="none"/>
        </w:rPr>
        <w:t>7</w:t>
      </w:r>
      <w:r>
        <w:rPr>
          <w:rFonts w:hint="eastAsia" w:eastAsia="方正仿宋_GBK"/>
          <w:bCs/>
          <w:color w:val="auto"/>
          <w:sz w:val="24"/>
          <w:highlight w:val="none"/>
        </w:rPr>
        <w:t>%，红旗河沟占比50.3%，后续根据中选金额按比例分摊）。</w:t>
      </w:r>
    </w:p>
    <w:p>
      <w:pPr>
        <w:spacing w:line="400" w:lineRule="exact"/>
        <w:ind w:firstLine="480" w:firstLineChars="200"/>
        <w:rPr>
          <w:rFonts w:eastAsia="方正仿宋_GBK"/>
          <w:bCs/>
          <w:color w:val="auto"/>
          <w:sz w:val="24"/>
          <w:highlight w:val="none"/>
        </w:rPr>
      </w:pPr>
      <w:r>
        <w:rPr>
          <w:rFonts w:eastAsia="方正仿宋_GBK"/>
          <w:bCs/>
          <w:color w:val="auto"/>
          <w:sz w:val="24"/>
          <w:highlight w:val="none"/>
        </w:rPr>
        <w:t>费用支付方式</w:t>
      </w:r>
      <w:r>
        <w:rPr>
          <w:rFonts w:hint="eastAsia" w:eastAsia="方正仿宋_GBK"/>
          <w:bCs/>
          <w:color w:val="auto"/>
          <w:sz w:val="24"/>
          <w:highlight w:val="none"/>
        </w:rPr>
        <w:t>：各项目分别支付</w:t>
      </w:r>
    </w:p>
    <w:p>
      <w:pPr>
        <w:spacing w:line="400" w:lineRule="exact"/>
        <w:ind w:firstLine="480" w:firstLineChars="200"/>
        <w:rPr>
          <w:rFonts w:eastAsia="方正仿宋_GBK"/>
          <w:bCs/>
          <w:color w:val="auto"/>
          <w:sz w:val="24"/>
          <w:highlight w:val="none"/>
        </w:rPr>
      </w:pPr>
      <w:r>
        <w:rPr>
          <w:rFonts w:hint="eastAsia" w:eastAsia="方正仿宋_GBK"/>
          <w:bCs/>
          <w:color w:val="auto"/>
          <w:sz w:val="24"/>
          <w:highlight w:val="none"/>
        </w:rPr>
        <w:t>（1）方案设计取得发包人</w:t>
      </w:r>
      <w:r>
        <w:rPr>
          <w:rFonts w:hint="eastAsia" w:eastAsia="方正仿宋_GBK"/>
          <w:bCs/>
          <w:color w:val="auto"/>
          <w:sz w:val="24"/>
          <w:highlight w:val="none"/>
          <w:lang w:eastAsia="zh-Hans"/>
        </w:rPr>
        <w:t>书面</w:t>
      </w:r>
      <w:r>
        <w:rPr>
          <w:rFonts w:hint="eastAsia" w:eastAsia="方正仿宋_GBK"/>
          <w:bCs/>
          <w:color w:val="auto"/>
          <w:sz w:val="24"/>
          <w:highlight w:val="none"/>
        </w:rPr>
        <w:t>认可后，28日内发包人（实际支付方）支付合同设计费30%。</w:t>
      </w:r>
    </w:p>
    <w:p>
      <w:pPr>
        <w:spacing w:line="400" w:lineRule="exact"/>
        <w:ind w:firstLine="480" w:firstLineChars="200"/>
        <w:rPr>
          <w:rFonts w:eastAsia="方正仿宋_GBK"/>
          <w:bCs/>
          <w:color w:val="auto"/>
          <w:sz w:val="24"/>
          <w:highlight w:val="none"/>
        </w:rPr>
      </w:pPr>
      <w:r>
        <w:rPr>
          <w:rFonts w:hint="eastAsia" w:eastAsia="方正仿宋_GBK"/>
          <w:bCs/>
          <w:color w:val="auto"/>
          <w:sz w:val="24"/>
          <w:highlight w:val="none"/>
        </w:rPr>
        <w:t>（2）取得施工图审查合格书或技术审查报告后，28日内发包人（实际支付方）支付至合同设计费的7</w:t>
      </w:r>
      <w:r>
        <w:rPr>
          <w:rFonts w:eastAsia="方正仿宋_GBK"/>
          <w:bCs/>
          <w:color w:val="auto"/>
          <w:sz w:val="24"/>
          <w:highlight w:val="none"/>
        </w:rPr>
        <w:t>0</w:t>
      </w:r>
      <w:r>
        <w:rPr>
          <w:rFonts w:hint="eastAsia" w:eastAsia="方正仿宋_GBK"/>
          <w:bCs/>
          <w:color w:val="auto"/>
          <w:sz w:val="24"/>
          <w:highlight w:val="none"/>
        </w:rPr>
        <w:t>%。</w:t>
      </w:r>
    </w:p>
    <w:p>
      <w:pPr>
        <w:spacing w:line="400" w:lineRule="exact"/>
        <w:ind w:firstLine="480" w:firstLineChars="200"/>
        <w:rPr>
          <w:rFonts w:eastAsia="方正仿宋_GBK"/>
          <w:bCs/>
          <w:color w:val="auto"/>
          <w:sz w:val="24"/>
          <w:highlight w:val="none"/>
        </w:rPr>
      </w:pPr>
      <w:r>
        <w:rPr>
          <w:rFonts w:hint="eastAsia" w:eastAsia="方正仿宋_GBK"/>
          <w:bCs/>
          <w:color w:val="auto"/>
          <w:sz w:val="24"/>
          <w:highlight w:val="none"/>
        </w:rPr>
        <w:t>（3）工程竣工验收后28日内，发包人（实际支付方）结清剩余设计费。</w:t>
      </w:r>
    </w:p>
    <w:p>
      <w:pPr>
        <w:pStyle w:val="2"/>
        <w:spacing w:line="400" w:lineRule="exact"/>
        <w:ind w:firstLine="480" w:firstLineChars="200"/>
        <w:rPr>
          <w:rFonts w:eastAsia="方正仿宋_GBK"/>
          <w:bCs/>
          <w:color w:val="auto"/>
          <w:sz w:val="24"/>
          <w:szCs w:val="20"/>
          <w:highlight w:val="none"/>
        </w:rPr>
      </w:pPr>
      <w:r>
        <w:rPr>
          <w:rFonts w:eastAsia="方正仿宋_GBK"/>
          <w:bCs/>
          <w:color w:val="auto"/>
          <w:sz w:val="24"/>
          <w:szCs w:val="20"/>
          <w:highlight w:val="none"/>
        </w:rPr>
        <w:t>以上费用设计人按照发包人税收征管要求出具相应发票后，再进行支付。款项支付之前，设计人应按发包人要求提供相应金额的合法有效的增值税专用发票，否则支付时间顺延，且发包人不承担由此造成的任何责任。</w:t>
      </w:r>
    </w:p>
    <w:p>
      <w:pPr>
        <w:spacing w:line="400" w:lineRule="exact"/>
        <w:ind w:firstLine="480" w:firstLineChars="200"/>
        <w:rPr>
          <w:rFonts w:eastAsia="方正仿宋_GBK"/>
          <w:bCs/>
          <w:color w:val="auto"/>
          <w:sz w:val="24"/>
          <w:highlight w:val="none"/>
        </w:rPr>
      </w:pPr>
      <w:r>
        <w:rPr>
          <w:rFonts w:eastAsia="方正仿宋_GBK"/>
          <w:bCs/>
          <w:color w:val="auto"/>
          <w:sz w:val="24"/>
          <w:highlight w:val="none"/>
        </w:rPr>
        <w:t>发包人开户信息及地址：</w:t>
      </w:r>
    </w:p>
    <w:p>
      <w:pPr>
        <w:tabs>
          <w:tab w:val="left" w:pos="9072"/>
          <w:tab w:val="left" w:pos="9781"/>
        </w:tabs>
        <w:adjustRightInd w:val="0"/>
        <w:snapToGrid w:val="0"/>
        <w:spacing w:line="360" w:lineRule="exact"/>
        <w:ind w:left="479" w:leftChars="228" w:right="120" w:rightChars="57"/>
        <w:rPr>
          <w:rFonts w:ascii="宋体" w:hAnsi="宋体" w:cs="宋体"/>
          <w:color w:val="auto"/>
          <w:kern w:val="0"/>
          <w:szCs w:val="21"/>
          <w:highlight w:val="none"/>
        </w:rPr>
      </w:pPr>
      <w:r>
        <w:rPr>
          <w:rFonts w:eastAsia="方正仿宋_GBK"/>
          <w:bCs/>
          <w:color w:val="auto"/>
          <w:sz w:val="24"/>
          <w:highlight w:val="none"/>
        </w:rPr>
        <w:t>名   称：重庆城市综合交通枢纽（集团）有限公司</w:t>
      </w:r>
      <w:r>
        <w:rPr>
          <w:rFonts w:eastAsia="方正仿宋_GBK"/>
          <w:bCs/>
          <w:color w:val="auto"/>
          <w:sz w:val="24"/>
          <w:highlight w:val="none"/>
        </w:rPr>
        <w:br w:type="textWrapping"/>
      </w:r>
      <w:r>
        <w:rPr>
          <w:rFonts w:eastAsia="方正仿宋_GBK"/>
          <w:bCs/>
          <w:color w:val="auto"/>
          <w:sz w:val="24"/>
          <w:highlight w:val="none"/>
        </w:rPr>
        <w:t>纳税人识别号：915000002030278529</w:t>
      </w:r>
      <w:r>
        <w:rPr>
          <w:rFonts w:eastAsia="方正仿宋_GBK"/>
          <w:bCs/>
          <w:color w:val="auto"/>
          <w:sz w:val="24"/>
          <w:highlight w:val="none"/>
        </w:rPr>
        <w:br w:type="textWrapping"/>
      </w:r>
      <w:r>
        <w:rPr>
          <w:rFonts w:eastAsia="方正仿宋_GBK"/>
          <w:bCs/>
          <w:color w:val="auto"/>
          <w:sz w:val="24"/>
          <w:highlight w:val="none"/>
        </w:rPr>
        <w:t>地址、电话：</w:t>
      </w:r>
      <w:r>
        <w:rPr>
          <w:rFonts w:eastAsia="方正仿宋_GBK"/>
          <w:bCs/>
          <w:color w:val="auto"/>
          <w:sz w:val="24"/>
          <w:highlight w:val="none"/>
        </w:rPr>
        <w:t xml:space="preserve">重庆市渝中区健康路花园大厦B栋6楼023-88602686 </w:t>
      </w:r>
    </w:p>
    <w:p>
      <w:pPr>
        <w:spacing w:line="400" w:lineRule="exact"/>
        <w:ind w:firstLine="480" w:firstLineChars="200"/>
        <w:rPr>
          <w:rFonts w:eastAsia="方正仿宋_GBK"/>
          <w:bCs/>
          <w:color w:val="auto"/>
          <w:sz w:val="24"/>
          <w:highlight w:val="none"/>
        </w:rPr>
      </w:pPr>
      <w:r>
        <w:rPr>
          <w:rFonts w:eastAsia="方正仿宋_GBK"/>
          <w:bCs/>
          <w:color w:val="auto"/>
          <w:sz w:val="24"/>
          <w:highlight w:val="none"/>
        </w:rPr>
        <w:t>开户行及账号：浦发银行解放碑支行83150154900000062</w:t>
      </w:r>
    </w:p>
    <w:p>
      <w:pPr>
        <w:spacing w:line="400" w:lineRule="exact"/>
        <w:ind w:firstLine="480" w:firstLineChars="200"/>
        <w:rPr>
          <w:rFonts w:eastAsia="方正仿宋_GBK"/>
          <w:color w:val="auto"/>
          <w:sz w:val="24"/>
          <w:highlight w:val="none"/>
        </w:rPr>
      </w:pPr>
      <w:r>
        <w:rPr>
          <w:rFonts w:eastAsia="方正仿宋_GBK"/>
          <w:b/>
          <w:color w:val="auto"/>
          <w:sz w:val="24"/>
          <w:highlight w:val="none"/>
        </w:rPr>
        <w:t>第六条</w:t>
      </w:r>
      <w:r>
        <w:rPr>
          <w:rFonts w:eastAsia="方正仿宋_GBK"/>
          <w:color w:val="auto"/>
          <w:sz w:val="24"/>
          <w:highlight w:val="none"/>
        </w:rPr>
        <w:t xml:space="preserve">  双方责任</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6.1 发包人责任：</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6.1.1 发包人按本合同第三条规定的内容，在规定的时间内向设计人提交资料及文件，并对其合法性、完整性、正确性及时</w:t>
      </w:r>
      <w:r>
        <w:rPr>
          <w:rFonts w:hint="eastAsia" w:eastAsia="方正仿宋_GBK"/>
          <w:color w:val="auto"/>
          <w:sz w:val="24"/>
          <w:highlight w:val="none"/>
          <w:lang w:eastAsia="zh-Hans"/>
        </w:rPr>
        <w:t>性</w:t>
      </w:r>
      <w:r>
        <w:rPr>
          <w:rFonts w:eastAsia="方正仿宋_GBK"/>
          <w:color w:val="auto"/>
          <w:sz w:val="24"/>
          <w:highlight w:val="none"/>
        </w:rPr>
        <w:t>负责，发包人不得要求设计人违反国家有关标准进行设计。</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发包人提交上述资料及文件超过规定期限15天以内，设计人按合同第四条规定交付设计文件时间顺延；超过规定期限15天以上时，设计人员有权重新确定提交设计文件的时间。</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各项设计工作，应按收费标准，相应支付设计费。</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6.1.3 设计人派赴现场处理有关设计问题的工作人员，工作生活及交通等条件由设计人自己提供。</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6.1.4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 设计人责任：</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6.2.1 设计人应按国家技术规范、标准、规程及发包人提出的设计要求，进行工程设计，按合同规定的进度要求提交质量合格的设计资料，并对其负责。</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6.2.2 设计人采用的主要技术标准是：</w:t>
      </w:r>
    </w:p>
    <w:p>
      <w:pPr>
        <w:spacing w:line="400" w:lineRule="exact"/>
        <w:ind w:firstLine="480" w:firstLineChars="200"/>
        <w:rPr>
          <w:rFonts w:eastAsia="方正仿宋_GBK"/>
          <w:color w:val="auto"/>
          <w:sz w:val="24"/>
          <w:highlight w:val="none"/>
          <w:u w:val="single"/>
        </w:rPr>
      </w:pPr>
      <w:r>
        <w:rPr>
          <w:rFonts w:eastAsia="方正仿宋_GBK"/>
          <w:color w:val="auto"/>
          <w:sz w:val="24"/>
          <w:highlight w:val="none"/>
          <w:u w:val="single"/>
        </w:rPr>
        <w:t>国家和地方现行有关法律、法规、规范、规程和标准。</w:t>
      </w:r>
    </w:p>
    <w:p>
      <w:pPr>
        <w:spacing w:line="400" w:lineRule="exact"/>
        <w:ind w:firstLine="480" w:firstLineChars="200"/>
        <w:rPr>
          <w:rFonts w:eastAsia="方正仿宋_GBK"/>
          <w:color w:val="auto"/>
          <w:sz w:val="24"/>
          <w:highlight w:val="none"/>
          <w:u w:val="single"/>
        </w:rPr>
      </w:pPr>
      <w:r>
        <w:rPr>
          <w:rFonts w:eastAsia="方正仿宋_GBK"/>
          <w:color w:val="auto"/>
          <w:sz w:val="24"/>
          <w:highlight w:val="none"/>
          <w:u w:val="single"/>
        </w:rPr>
        <w:t>6.2.3 设计人的报告成果需通过国家行业主管部门和专业评估机构的审核，可研报告须附单体平立剖、彩色总图、鸟瞰图及其他关键性效果图。</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6.2.4 设计人按本合同第二条和第四条规定的内容、进度及份数向发包人交付资料及文件(含电子档)，纸质成果与电子成果应保持一致。</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6.2.5 设计人交付设计资料及文件后，按规定参加有关的设计审查，并根据审查结论负责对不超出原定范围的内容做必要调整补充。设计人按合同规定时限交付设计资料及文件。设计人提交的方案应得到发包人认可，报相关职能部门审查，并配合发包人作相应的修改和答疑。</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6.2.6 设计人应明确项目负责人，设计人项目负责人及投入本项目设计人员到岗履职，非发包人要求不得更改。若合同签订后项目负责人及投入本项目设计人员与投标时不符，发包人有权选择终止合同，并要求设计人支付合同金额5%的违约金。项目负责人应全过程服务，出现关键性技术问题时，应随叫随到，确保项目设计的正常推进。</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6.2.7 若设计人的设计成果未能通过有关部门的审批，则设计人有责任对其设计成果进行整改，直至通过有关主管部门的审批，整改期间所发生的费用由设计人自行承担。</w:t>
      </w:r>
    </w:p>
    <w:p>
      <w:pPr>
        <w:widowControl/>
        <w:spacing w:line="400" w:lineRule="exact"/>
        <w:ind w:firstLine="480" w:firstLineChars="200"/>
        <w:rPr>
          <w:rFonts w:eastAsia="方正仿宋_GBK"/>
          <w:color w:val="auto"/>
          <w:sz w:val="24"/>
          <w:highlight w:val="none"/>
        </w:rPr>
      </w:pPr>
      <w:r>
        <w:rPr>
          <w:rFonts w:eastAsia="方正仿宋_GBK"/>
          <w:color w:val="auto"/>
          <w:sz w:val="24"/>
          <w:highlight w:val="none"/>
        </w:rPr>
        <w:t>6.2</w:t>
      </w:r>
      <w:r>
        <w:rPr>
          <w:rFonts w:hint="eastAsia" w:eastAsia="方正仿宋_GBK"/>
          <w:color w:val="auto"/>
          <w:sz w:val="24"/>
          <w:highlight w:val="none"/>
        </w:rPr>
        <w:t>.8</w:t>
      </w:r>
      <w:r>
        <w:rPr>
          <w:rFonts w:eastAsia="方正仿宋_GBK"/>
          <w:color w:val="auto"/>
          <w:sz w:val="24"/>
          <w:highlight w:val="none"/>
        </w:rPr>
        <w:t xml:space="preserve"> 设计人应保护发包人的知识产权，不得向第三人泄露、转让发包人提交的产品图纸等技术经济资料。如发生以上情况，发包人有权向设计人索赔。</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w:t>
      </w:r>
      <w:r>
        <w:rPr>
          <w:rFonts w:hint="eastAsia" w:eastAsia="方正仿宋_GBK"/>
          <w:color w:val="auto"/>
          <w:sz w:val="24"/>
          <w:highlight w:val="none"/>
        </w:rPr>
        <w:t>9</w:t>
      </w:r>
      <w:r>
        <w:rPr>
          <w:rFonts w:eastAsia="方正仿宋_GBK"/>
          <w:color w:val="auto"/>
          <w:sz w:val="24"/>
          <w:highlight w:val="none"/>
        </w:rPr>
        <w:t xml:space="preserve"> 设计人不得将勘察、设计业务转包和违法分包，不得允许他人以本单位名义承揽工程勘察、设计业务。</w:t>
      </w:r>
      <w:r>
        <w:rPr>
          <w:rFonts w:hint="eastAsia" w:ascii="仿宋" w:hAnsi="仿宋" w:eastAsia="仿宋" w:cs="仿宋"/>
          <w:color w:val="auto"/>
          <w:sz w:val="24"/>
          <w:highlight w:val="none"/>
        </w:rPr>
        <w:t>若发现设计人存在违法分包的行为，发包人有权单方解除合同，并要求设计人支付合同金额20%的违约金。</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w:t>
      </w:r>
      <w:r>
        <w:rPr>
          <w:rFonts w:hint="eastAsia" w:eastAsia="方正仿宋_GBK"/>
          <w:color w:val="auto"/>
          <w:sz w:val="24"/>
          <w:highlight w:val="none"/>
        </w:rPr>
        <w:t>10</w:t>
      </w:r>
      <w:r>
        <w:rPr>
          <w:rFonts w:eastAsia="方正仿宋_GBK"/>
          <w:color w:val="auto"/>
          <w:sz w:val="24"/>
          <w:highlight w:val="none"/>
        </w:rPr>
        <w:t xml:space="preserve"> 设计过程中设计人与发包人应紧密配合，发包人对设计方案的合理修改意见设计人应予以采纳并修改。</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w:t>
      </w:r>
      <w:r>
        <w:rPr>
          <w:rFonts w:hint="eastAsia" w:eastAsia="方正仿宋_GBK"/>
          <w:color w:val="auto"/>
          <w:sz w:val="24"/>
          <w:highlight w:val="none"/>
        </w:rPr>
        <w:t xml:space="preserve">11 </w:t>
      </w:r>
      <w:r>
        <w:rPr>
          <w:rFonts w:eastAsia="方正仿宋_GBK"/>
          <w:color w:val="auto"/>
          <w:sz w:val="24"/>
          <w:highlight w:val="none"/>
        </w:rPr>
        <w:t>设计人对设计文件出现的遗漏或错误应无条件修改或补充。</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6.2.1</w:t>
      </w:r>
      <w:r>
        <w:rPr>
          <w:rFonts w:hint="eastAsia" w:eastAsia="方正仿宋_GBK"/>
          <w:color w:val="auto"/>
          <w:sz w:val="24"/>
          <w:highlight w:val="none"/>
        </w:rPr>
        <w:t>2</w:t>
      </w:r>
      <w:r>
        <w:rPr>
          <w:rFonts w:eastAsia="方正仿宋_GBK"/>
          <w:color w:val="auto"/>
          <w:sz w:val="24"/>
          <w:highlight w:val="none"/>
        </w:rPr>
        <w:t xml:space="preserve"> 设计过程中发包人要求设计方人员一同前往外地考察（包括建筑考察，材料、设备订货考察），设计人应予以配合。</w:t>
      </w:r>
    </w:p>
    <w:p>
      <w:pPr>
        <w:spacing w:line="400" w:lineRule="exact"/>
        <w:ind w:firstLine="480" w:firstLineChars="200"/>
        <w:rPr>
          <w:rFonts w:eastAsia="方正仿宋_GBK"/>
          <w:color w:val="auto"/>
          <w:sz w:val="24"/>
          <w:highlight w:val="none"/>
        </w:rPr>
      </w:pPr>
      <w:r>
        <w:rPr>
          <w:rFonts w:eastAsia="方正仿宋_GBK"/>
          <w:b/>
          <w:color w:val="auto"/>
          <w:sz w:val="24"/>
          <w:highlight w:val="none"/>
        </w:rPr>
        <w:t>第七条</w:t>
      </w:r>
      <w:r>
        <w:rPr>
          <w:rFonts w:eastAsia="方正仿宋_GBK"/>
          <w:color w:val="auto"/>
          <w:sz w:val="24"/>
          <w:highlight w:val="none"/>
        </w:rPr>
        <w:t xml:space="preserve">  违约责任：</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7.1在合同履行期间，若设计人提交的设计成果的质量不能满足本合同第二条的设计工作技术要求，且超过发包人要求提交设计阶段成果的最后时限，发包人视其造成的损失情况对设计人予以违约处罚，且有权要求终止或解除本合同。设计人超过15日未按发包人要求修改完善，发包人有权单方解除合同，设计人应返还发包人已支付的全部费用。</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7.2设计人对设计资料及文件出现的遗漏或错误负责修改或补充，一般设计问题应在2个工作日内修改完成，重大设计问题在5个工作日内修改完成。由于设计人员错误造成工程质量事故损失，设计人除负责采取补救措施外，应免收直接受损失部分的设计费，发包人视其造成的损失情况对设计人予以违约处罚。</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7.3设计人提交的纸质版本和电子成果若不一致，给发包人造成损失的，发包人视情况对设计人处以违约处罚</w:t>
      </w:r>
      <w:r>
        <w:rPr>
          <w:rFonts w:hint="eastAsia" w:eastAsia="方正仿宋_GBK"/>
          <w:color w:val="auto"/>
          <w:sz w:val="24"/>
          <w:highlight w:val="none"/>
        </w:rPr>
        <w:t>，发现一处按合同金额的3%对设计人进行处罚</w:t>
      </w:r>
      <w:r>
        <w:rPr>
          <w:rFonts w:eastAsia="方正仿宋_GBK"/>
          <w:color w:val="auto"/>
          <w:sz w:val="24"/>
          <w:highlight w:val="none"/>
        </w:rPr>
        <w:t>。</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7.4由于设计人自身原因，延误了按本合同第四条规定的设计资料及设计文件的交付时间，每延误一天，应减收项目该阶段应收设计费的千分之二。逾期超过30个工作日以上，发包人有权拒付款项并行使单方解除权，且应由设计人按合同</w:t>
      </w:r>
      <w:r>
        <w:rPr>
          <w:rFonts w:hint="eastAsia" w:eastAsia="方正仿宋_GBK"/>
          <w:color w:val="auto"/>
          <w:sz w:val="24"/>
          <w:highlight w:val="none"/>
          <w:lang w:eastAsia="zh-Hans"/>
        </w:rPr>
        <w:t>金额</w:t>
      </w:r>
      <w:r>
        <w:rPr>
          <w:rFonts w:eastAsia="方正仿宋_GBK"/>
          <w:color w:val="auto"/>
          <w:sz w:val="24"/>
          <w:highlight w:val="none"/>
        </w:rPr>
        <w:t>的百分之十向发包人支付违约金。</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7.5合同生效后，发包人无违约行为，设计人单方面要求终止或解除合同，设计人应双倍返还定金(若有)。合同解除后，设计人的设计成果归发包人所有，并承担合同</w:t>
      </w:r>
      <w:r>
        <w:rPr>
          <w:rFonts w:hint="eastAsia" w:eastAsia="方正仿宋_GBK"/>
          <w:color w:val="auto"/>
          <w:sz w:val="24"/>
          <w:highlight w:val="none"/>
          <w:lang w:eastAsia="zh-Hans"/>
        </w:rPr>
        <w:t>金额</w:t>
      </w:r>
      <w:r>
        <w:rPr>
          <w:rFonts w:eastAsia="方正仿宋_GBK"/>
          <w:color w:val="auto"/>
          <w:sz w:val="24"/>
          <w:highlight w:val="none"/>
        </w:rPr>
        <w:t>的百分之十的违约金。</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7.6 在设计过程中，发包人、设计人双方应共同研讨确认本工程合理的造价标准，依此完成</w:t>
      </w:r>
      <w:r>
        <w:rPr>
          <w:rFonts w:hint="eastAsia" w:eastAsia="方正仿宋_GBK"/>
          <w:color w:val="auto"/>
          <w:sz w:val="24"/>
          <w:highlight w:val="none"/>
        </w:rPr>
        <w:t>方案设计并完成投资估算</w:t>
      </w:r>
      <w:r>
        <w:rPr>
          <w:rFonts w:eastAsia="方正仿宋_GBK"/>
          <w:color w:val="auto"/>
          <w:sz w:val="24"/>
          <w:highlight w:val="none"/>
        </w:rPr>
        <w:t>。若发现完全因设计人原因未按</w:t>
      </w:r>
      <w:r>
        <w:rPr>
          <w:rFonts w:hint="eastAsia" w:eastAsia="方正仿宋_GBK"/>
          <w:color w:val="auto"/>
          <w:sz w:val="24"/>
          <w:highlight w:val="none"/>
        </w:rPr>
        <w:t>原估算投资</w:t>
      </w:r>
      <w:r>
        <w:rPr>
          <w:rFonts w:eastAsia="方正仿宋_GBK"/>
          <w:color w:val="auto"/>
          <w:sz w:val="24"/>
          <w:highlight w:val="none"/>
        </w:rPr>
        <w:t>进行施工图限额设计，发包人有权拒收施工图。由此造成的设计资料及设计文件交付延误，按7.4条扣减设计费。非设计人原因造成的</w:t>
      </w:r>
      <w:r>
        <w:rPr>
          <w:rFonts w:hint="eastAsia" w:eastAsia="方正仿宋_GBK"/>
          <w:color w:val="auto"/>
          <w:sz w:val="24"/>
          <w:highlight w:val="none"/>
        </w:rPr>
        <w:t>造价</w:t>
      </w:r>
      <w:r>
        <w:rPr>
          <w:rFonts w:eastAsia="方正仿宋_GBK"/>
          <w:color w:val="auto"/>
          <w:sz w:val="24"/>
          <w:highlight w:val="none"/>
        </w:rPr>
        <w:t>突破例外。</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7.7 设计人未及时派出现场服务专业人员，或专业人员缺席工程各项验收、关键工序质量检查、设计协调会、必要的工地例会两次以上视为违约；每增加缺席一人次，发包人将在设计费中扣减500元。设计人未按照施工现场各方共同商定的时间（以电子档交付时间为准）完成设计变更、技术洽商办理，超过两次视为违约；每增加一次发包人将在设计费扣减500元。发包人将责成现场施工监理对上述工作和人员到位情况进行记录，并按此记录作为执行本条款的依据。</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7.8在施工期间由于设计人原因影响设计交底，有关设计问题得不到及时处理或验收，每延误一天，应减收设计费1000元。</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7.9 设计人出现不能严格履行《服务承诺书》的情况，每发生一次承担违约金1000元。</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7.1</w:t>
      </w:r>
      <w:r>
        <w:rPr>
          <w:rFonts w:hint="eastAsia" w:eastAsia="方正仿宋_GBK"/>
          <w:color w:val="auto"/>
          <w:sz w:val="24"/>
          <w:highlight w:val="none"/>
        </w:rPr>
        <w:t>0</w:t>
      </w:r>
      <w:r>
        <w:rPr>
          <w:rFonts w:eastAsia="方正仿宋_GBK"/>
          <w:color w:val="auto"/>
          <w:sz w:val="24"/>
          <w:highlight w:val="none"/>
        </w:rPr>
        <w:t>设计人的设计满足设计任务书要求或满足使用人必要的功能需求，但因设计人原因造成设计不合理（建设标准、档次与发包方协商后确定。若建设标准、档次经双方协商后有变更，不视为超投资估算的违约情况）导致</w:t>
      </w:r>
      <w:r>
        <w:rPr>
          <w:rFonts w:hint="eastAsia" w:eastAsia="方正仿宋_GBK"/>
          <w:color w:val="auto"/>
          <w:sz w:val="24"/>
          <w:highlight w:val="none"/>
        </w:rPr>
        <w:t>工程造价</w:t>
      </w:r>
      <w:r>
        <w:rPr>
          <w:rFonts w:eastAsia="方正仿宋_GBK"/>
          <w:color w:val="auto"/>
          <w:sz w:val="24"/>
          <w:highlight w:val="none"/>
        </w:rPr>
        <w:t>超投资估算，发包人不支付该阶段设计报酬，设计人承担此违约责任导致的一切后果及责任，发包人视后果严重程度对设计人予以违约处罚。</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7.1</w:t>
      </w:r>
      <w:r>
        <w:rPr>
          <w:rFonts w:hint="eastAsia" w:eastAsia="方正仿宋_GBK"/>
          <w:color w:val="auto"/>
          <w:sz w:val="24"/>
          <w:highlight w:val="none"/>
        </w:rPr>
        <w:t>1</w:t>
      </w:r>
      <w:r>
        <w:rPr>
          <w:rFonts w:eastAsia="方正仿宋_GBK"/>
          <w:color w:val="auto"/>
          <w:sz w:val="24"/>
          <w:highlight w:val="none"/>
        </w:rPr>
        <w:t>正式设计变更需取得</w:t>
      </w:r>
      <w:r>
        <w:rPr>
          <w:rFonts w:hint="eastAsia" w:eastAsia="方正仿宋_GBK"/>
          <w:color w:val="auto"/>
          <w:sz w:val="24"/>
          <w:highlight w:val="none"/>
        </w:rPr>
        <w:t>发包人</w:t>
      </w:r>
      <w:r>
        <w:rPr>
          <w:rFonts w:eastAsia="方正仿宋_GBK"/>
          <w:color w:val="auto"/>
          <w:sz w:val="24"/>
          <w:highlight w:val="none"/>
        </w:rPr>
        <w:t>确认同意后才可提供给施工单位，若未经</w:t>
      </w:r>
      <w:r>
        <w:rPr>
          <w:rFonts w:hint="eastAsia" w:eastAsia="方正仿宋_GBK"/>
          <w:color w:val="auto"/>
          <w:sz w:val="24"/>
          <w:highlight w:val="none"/>
        </w:rPr>
        <w:t>发包人</w:t>
      </w:r>
      <w:r>
        <w:rPr>
          <w:rFonts w:eastAsia="方正仿宋_GBK"/>
          <w:color w:val="auto"/>
          <w:sz w:val="24"/>
          <w:highlight w:val="none"/>
        </w:rPr>
        <w:t>确认同意，擅自将正式设计变更提供给施工单位的，单个变更处罚5000元，若造成损失的，由设计人负责。</w:t>
      </w:r>
    </w:p>
    <w:p>
      <w:pPr>
        <w:spacing w:line="400" w:lineRule="exact"/>
        <w:ind w:firstLine="480" w:firstLineChars="200"/>
        <w:rPr>
          <w:rFonts w:eastAsia="方正仿宋_GBK"/>
          <w:color w:val="auto"/>
          <w:sz w:val="24"/>
          <w:highlight w:val="none"/>
        </w:rPr>
      </w:pPr>
      <w:r>
        <w:rPr>
          <w:rFonts w:hint="eastAsia" w:eastAsia="方正仿宋_GBK"/>
          <w:color w:val="auto"/>
          <w:sz w:val="24"/>
          <w:highlight w:val="none"/>
        </w:rPr>
        <w:t>7.12 关于设计缺乏深度、未达到发包人要求、服务不到位及设计错误等的奖罚，按照附件2中设计错误的类型，进行一定的违约处罚：如出现Ⅰ类问题，每个扣除违约金人民币2万元整，Ⅱ类问题多于5个者，每增加一个问题扣除违约金人民币3000元整，Ⅲ类问题多于４N个者</w:t>
      </w:r>
      <w:r>
        <w:rPr>
          <w:rFonts w:eastAsia="FangSong_GB2312"/>
          <w:color w:val="auto"/>
          <w:sz w:val="24"/>
          <w:highlight w:val="none"/>
        </w:rPr>
        <w:t>（含４N个，N为A1标准图纸数量）</w:t>
      </w:r>
      <w:r>
        <w:rPr>
          <w:rFonts w:hint="eastAsia" w:eastAsia="方正仿宋_GBK"/>
          <w:color w:val="auto"/>
          <w:sz w:val="24"/>
          <w:highlight w:val="none"/>
        </w:rPr>
        <w:t>，每增加10个问题扣除违约金人民币500元整（不超过10个按照10个计算）。对以上违约金发包人有权在发包人向设计人支付的任何费用中作相应扣除，扣除费用总和上限为本合同总额。</w:t>
      </w:r>
    </w:p>
    <w:p>
      <w:pPr>
        <w:spacing w:line="400" w:lineRule="exact"/>
        <w:ind w:firstLine="480" w:firstLineChars="200"/>
        <w:rPr>
          <w:rFonts w:eastAsia="方正仿宋_GBK"/>
          <w:color w:val="auto"/>
          <w:sz w:val="24"/>
          <w:highlight w:val="none"/>
        </w:rPr>
      </w:pPr>
      <w:r>
        <w:rPr>
          <w:rFonts w:hint="eastAsia" w:eastAsia="方正仿宋_GBK"/>
          <w:color w:val="auto"/>
          <w:sz w:val="24"/>
          <w:highlight w:val="none"/>
        </w:rPr>
        <w:t>7.13</w:t>
      </w:r>
      <w:r>
        <w:rPr>
          <w:rFonts w:eastAsia="方正仿宋_GBK"/>
          <w:color w:val="auto"/>
          <w:sz w:val="24"/>
          <w:highlight w:val="none"/>
        </w:rPr>
        <w:t>若设计人在工作期间未按《中华人民共和国安全生产法》、《重庆市安全生产委员会重庆市减灾委员会关于深化“十条措施”落实常态化安全监管工作的通知》（渝安委〔2021〕16号）等国家及地方相关法律法规履行好设计人的安全责任，视情节轻重处以设计人合同价的5%-10%/次的违约金。若设计不符合规范导致发生安全质量事故，设计人承担全部责任和经济损失（包括因设计人原因导致的发包人被相关行政主管部门的处罚罚金等）。</w:t>
      </w:r>
    </w:p>
    <w:p>
      <w:pPr>
        <w:spacing w:line="400" w:lineRule="exact"/>
        <w:ind w:firstLine="480" w:firstLineChars="200"/>
        <w:rPr>
          <w:rFonts w:eastAsia="方正仿宋_GBK"/>
          <w:color w:val="auto"/>
          <w:sz w:val="24"/>
          <w:highlight w:val="none"/>
        </w:rPr>
      </w:pPr>
      <w:r>
        <w:rPr>
          <w:rFonts w:eastAsia="方正仿宋_GBK"/>
          <w:b/>
          <w:color w:val="auto"/>
          <w:sz w:val="24"/>
          <w:highlight w:val="none"/>
        </w:rPr>
        <w:t>第八条</w:t>
      </w:r>
      <w:r>
        <w:rPr>
          <w:rFonts w:eastAsia="方正仿宋_GBK"/>
          <w:color w:val="auto"/>
          <w:sz w:val="24"/>
          <w:highlight w:val="none"/>
        </w:rPr>
        <w:t xml:space="preserve">  保密及知识产权</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本项目知识产权（含项目衍生的标准和专利）归发包人、设计人双方共有。双方均应保护对方的知识产权，未经对方同意，任何一方均不得对另一方的资料及文件擅自修改或向第三人转让、或用于本合同项目外的项目。如发生以上情况，违约方承担一切由此引起的法律后果，并承担赔偿责任。设计人有权就本项目相关技术成果申报国家、地方和行业相关技术类奖项。但设计人申请专利项目，必须经发包人同意，否则以实际损失</w:t>
      </w:r>
      <w:r>
        <w:rPr>
          <w:rFonts w:hint="eastAsia" w:eastAsia="方正仿宋_GBK"/>
          <w:color w:val="auto"/>
          <w:sz w:val="24"/>
          <w:highlight w:val="none"/>
          <w:lang w:eastAsia="zh-Hans"/>
        </w:rPr>
        <w:t>或者所获利益</w:t>
      </w:r>
      <w:r>
        <w:rPr>
          <w:rFonts w:eastAsia="方正仿宋_GBK"/>
          <w:color w:val="auto"/>
          <w:sz w:val="24"/>
          <w:highlight w:val="none"/>
        </w:rPr>
        <w:t>作为对发包人的赔偿，当实际损失</w:t>
      </w:r>
      <w:r>
        <w:rPr>
          <w:rFonts w:hint="eastAsia" w:eastAsia="方正仿宋_GBK"/>
          <w:color w:val="auto"/>
          <w:sz w:val="24"/>
          <w:highlight w:val="none"/>
          <w:lang w:eastAsia="zh-Hans"/>
        </w:rPr>
        <w:t>或所获利益</w:t>
      </w:r>
      <w:r>
        <w:rPr>
          <w:rFonts w:eastAsia="方正仿宋_GBK"/>
          <w:color w:val="auto"/>
          <w:sz w:val="24"/>
          <w:highlight w:val="none"/>
        </w:rPr>
        <w:t>不足合同金额的50%时，以合同金额的50%作为对发包人的赔偿。</w:t>
      </w:r>
    </w:p>
    <w:p>
      <w:pPr>
        <w:spacing w:line="400" w:lineRule="exact"/>
        <w:ind w:firstLine="480" w:firstLineChars="200"/>
        <w:rPr>
          <w:rFonts w:eastAsia="方正仿宋_GBK"/>
          <w:color w:val="auto"/>
          <w:sz w:val="24"/>
          <w:highlight w:val="none"/>
        </w:rPr>
      </w:pPr>
      <w:r>
        <w:rPr>
          <w:rFonts w:eastAsia="方正仿宋_GBK"/>
          <w:b/>
          <w:color w:val="auto"/>
          <w:sz w:val="24"/>
          <w:highlight w:val="none"/>
        </w:rPr>
        <w:t>第九条</w:t>
      </w:r>
      <w:r>
        <w:rPr>
          <w:rFonts w:eastAsia="方正仿宋_GBK"/>
          <w:color w:val="auto"/>
          <w:sz w:val="24"/>
          <w:highlight w:val="none"/>
        </w:rPr>
        <w:t xml:space="preserve">  其他</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9.1 发包人要求设计人派专人留驻施工现场进行配合与解决有关问题时，双方应另行签订补充协议或技术咨询服务合同。</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9.2 设计人为本合同项目所采用的国家或地方标准图，由设计人自费向有关出版部门购买。本合同第四条规定设计人交付的设计资料及文件份数超过《工程设计收费标准》规定的份数，设计人另收工本费。</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9.3 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9.4 发包人委托设计配合引进项目的设计任务，从询价、对外谈判、国内外技术考察直至建成投产的各个阶段，应吸收承担有关设计任务的设计人参加。出国费用，除制装费外，其它费用由发包人支付。</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9.5 发包人委托设计人承担本合同内容之外的工作服务，另行支付费用。</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9.6 由于不可抗力因素致使合同无法履行时，双方应及时协商解决。</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9.7 本合同发生争议，双方当事人应及时协商解决。也可由当地建设行政主管部门调解，调解不成时，双方当事人同意向发包人所在地人民法院起诉。</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 xml:space="preserve">诉讼文书送达地址： </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发包人</w:t>
      </w:r>
      <w:r>
        <w:rPr>
          <w:rFonts w:hint="eastAsia" w:eastAsia="方正仿宋_GBK"/>
          <w:color w:val="auto"/>
          <w:sz w:val="24"/>
          <w:highlight w:val="none"/>
        </w:rPr>
        <w:t>地址：</w:t>
      </w:r>
      <w:r>
        <w:rPr>
          <w:rFonts w:eastAsia="方正仿宋_GBK"/>
          <w:color w:val="auto"/>
          <w:sz w:val="24"/>
          <w:highlight w:val="none"/>
        </w:rPr>
        <w:t>重庆市渝北区泰山大道东段梧桐路6号交通开投大厦</w:t>
      </w:r>
    </w:p>
    <w:p>
      <w:pPr>
        <w:spacing w:line="400" w:lineRule="exact"/>
        <w:ind w:firstLine="480" w:firstLineChars="200"/>
        <w:rPr>
          <w:rFonts w:eastAsia="方正仿宋_GBK"/>
          <w:color w:val="auto"/>
          <w:sz w:val="24"/>
          <w:highlight w:val="none"/>
          <w:u w:val="single"/>
        </w:rPr>
      </w:pPr>
      <w:r>
        <w:rPr>
          <w:rFonts w:eastAsia="方正仿宋_GBK"/>
          <w:color w:val="auto"/>
          <w:sz w:val="24"/>
          <w:highlight w:val="none"/>
        </w:rPr>
        <w:t>联系人：</w:t>
      </w:r>
      <w:r>
        <w:rPr>
          <w:rFonts w:hint="eastAsia" w:eastAsia="方正仿宋_GBK"/>
          <w:color w:val="auto"/>
          <w:sz w:val="24"/>
          <w:highlight w:val="none"/>
          <w:u w:val="single"/>
        </w:rPr>
        <w:t xml:space="preserve">廖昉 </w:t>
      </w:r>
      <w:r>
        <w:rPr>
          <w:rFonts w:eastAsia="方正仿宋_GBK"/>
          <w:color w:val="auto"/>
          <w:sz w:val="24"/>
          <w:highlight w:val="none"/>
        </w:rPr>
        <w:t>电话：</w:t>
      </w:r>
      <w:r>
        <w:rPr>
          <w:rFonts w:hint="eastAsia" w:eastAsia="方正仿宋_GBK"/>
          <w:color w:val="auto"/>
          <w:sz w:val="24"/>
          <w:highlight w:val="none"/>
          <w:u w:val="single"/>
        </w:rPr>
        <w:t xml:space="preserve">18623166306 </w:t>
      </w:r>
    </w:p>
    <w:p>
      <w:pPr>
        <w:pStyle w:val="2"/>
        <w:rPr>
          <w:color w:val="auto"/>
          <w:highlight w:val="none"/>
        </w:rPr>
      </w:pPr>
    </w:p>
    <w:p>
      <w:pPr>
        <w:spacing w:line="400" w:lineRule="exact"/>
        <w:ind w:firstLine="480" w:firstLineChars="200"/>
        <w:rPr>
          <w:rFonts w:eastAsia="方正仿宋_GBK"/>
          <w:color w:val="auto"/>
          <w:sz w:val="24"/>
          <w:highlight w:val="none"/>
          <w:u w:val="single"/>
        </w:rPr>
      </w:pPr>
      <w:r>
        <w:rPr>
          <w:rFonts w:eastAsia="方正仿宋_GBK"/>
          <w:color w:val="auto"/>
          <w:sz w:val="24"/>
          <w:highlight w:val="none"/>
        </w:rPr>
        <w:t>设计人</w:t>
      </w:r>
      <w:r>
        <w:rPr>
          <w:rFonts w:hint="eastAsia" w:eastAsia="方正仿宋_GBK"/>
          <w:color w:val="auto"/>
          <w:sz w:val="24"/>
          <w:highlight w:val="none"/>
        </w:rPr>
        <w:t>地址：</w:t>
      </w:r>
      <w:r>
        <w:rPr>
          <w:rFonts w:eastAsia="方正仿宋_GBK"/>
          <w:color w:val="auto"/>
          <w:sz w:val="24"/>
          <w:highlight w:val="none"/>
        </w:rPr>
        <w:t xml:space="preserve">  </w:t>
      </w:r>
      <w:r>
        <w:rPr>
          <w:rFonts w:eastAsia="方正仿宋_GBK"/>
          <w:color w:val="auto"/>
          <w:sz w:val="24"/>
          <w:highlight w:val="none"/>
          <w:u w:val="single"/>
        </w:rPr>
        <w:t xml:space="preserve">             </w:t>
      </w:r>
    </w:p>
    <w:p>
      <w:pPr>
        <w:spacing w:line="400" w:lineRule="exact"/>
        <w:ind w:firstLine="480" w:firstLineChars="200"/>
        <w:rPr>
          <w:rFonts w:eastAsia="方正仿宋_GBK"/>
          <w:color w:val="auto"/>
          <w:sz w:val="24"/>
          <w:highlight w:val="none"/>
          <w:u w:val="single"/>
        </w:rPr>
      </w:pPr>
      <w:r>
        <w:rPr>
          <w:rFonts w:eastAsia="方正仿宋_GBK"/>
          <w:color w:val="auto"/>
          <w:sz w:val="24"/>
          <w:highlight w:val="none"/>
        </w:rPr>
        <w:t>联系人：</w:t>
      </w:r>
      <w:r>
        <w:rPr>
          <w:rFonts w:eastAsia="方正仿宋_GBK"/>
          <w:color w:val="auto"/>
          <w:sz w:val="24"/>
          <w:highlight w:val="none"/>
          <w:u w:val="single"/>
        </w:rPr>
        <w:t xml:space="preserve">      </w:t>
      </w:r>
      <w:r>
        <w:rPr>
          <w:rFonts w:eastAsia="方正仿宋_GBK"/>
          <w:color w:val="auto"/>
          <w:sz w:val="24"/>
          <w:highlight w:val="none"/>
        </w:rPr>
        <w:t>电话：</w:t>
      </w:r>
      <w:r>
        <w:rPr>
          <w:rFonts w:eastAsia="方正仿宋_GBK"/>
          <w:color w:val="auto"/>
          <w:sz w:val="24"/>
          <w:highlight w:val="none"/>
          <w:u w:val="single"/>
        </w:rPr>
        <w:t xml:space="preserve">         </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按照约定地址送达的，视为当事人签收；受送达人拒收的，不影响送达的效力。当事人如需变更约定送达地址，应在地址变更后3日内书面通知对方当事人；未按约定方式通知的，原约定送达地址仍为有效送达地址。如因设计人违约导致诉讼，产生的诉讼费、保全费、担保费、律师费等实现债权的费用由设计人承担。</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9.8 本合同一式</w:t>
      </w:r>
      <w:r>
        <w:rPr>
          <w:rFonts w:eastAsia="方正仿宋_GBK"/>
          <w:color w:val="auto"/>
          <w:sz w:val="24"/>
          <w:highlight w:val="none"/>
          <w:u w:val="single"/>
        </w:rPr>
        <w:t xml:space="preserve"> 陆 </w:t>
      </w:r>
      <w:r>
        <w:rPr>
          <w:rFonts w:eastAsia="方正仿宋_GBK"/>
          <w:color w:val="auto"/>
          <w:sz w:val="24"/>
          <w:highlight w:val="none"/>
        </w:rPr>
        <w:t>份，发包人</w:t>
      </w:r>
      <w:r>
        <w:rPr>
          <w:rFonts w:eastAsia="方正仿宋_GBK"/>
          <w:color w:val="auto"/>
          <w:sz w:val="24"/>
          <w:highlight w:val="none"/>
          <w:u w:val="single"/>
        </w:rPr>
        <w:t xml:space="preserve"> 叁 </w:t>
      </w:r>
      <w:r>
        <w:rPr>
          <w:rFonts w:eastAsia="方正仿宋_GBK"/>
          <w:color w:val="auto"/>
          <w:sz w:val="24"/>
          <w:highlight w:val="none"/>
        </w:rPr>
        <w:t xml:space="preserve">份，设计人 </w:t>
      </w:r>
      <w:r>
        <w:rPr>
          <w:rFonts w:eastAsia="方正仿宋_GBK"/>
          <w:color w:val="auto"/>
          <w:sz w:val="24"/>
          <w:highlight w:val="none"/>
          <w:u w:val="single"/>
        </w:rPr>
        <w:t xml:space="preserve">叁 </w:t>
      </w:r>
      <w:r>
        <w:rPr>
          <w:rFonts w:eastAsia="方正仿宋_GBK"/>
          <w:color w:val="auto"/>
          <w:sz w:val="24"/>
          <w:highlight w:val="none"/>
        </w:rPr>
        <w:t>份。</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9.9 本合同经双方签章后生效。</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9.10 本合同生效后，按规定到项目所在省级建设行政主管部门规定的审查部门备案。双方认为必要时，到项目所在地工商行政管理部门申请鉴证。双方履行完合同规定的义务后，本合同即行终止。</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9.11 本合同未尽事宜，双方可签订补充协议，有关协议及双方认可的来往电报、传真、会议纪要等，均为本合同组成部分，与本合同具有同等法律效力。</w:t>
      </w:r>
    </w:p>
    <w:p>
      <w:pPr>
        <w:spacing w:line="400" w:lineRule="exact"/>
        <w:ind w:firstLine="480" w:firstLineChars="200"/>
        <w:rPr>
          <w:rFonts w:eastAsia="方正仿宋_GBK"/>
          <w:color w:val="auto"/>
          <w:sz w:val="24"/>
          <w:highlight w:val="none"/>
        </w:rPr>
      </w:pPr>
      <w:r>
        <w:rPr>
          <w:rFonts w:hint="eastAsia" w:eastAsia="方正仿宋_GBK"/>
          <w:color w:val="auto"/>
          <w:sz w:val="24"/>
          <w:highlight w:val="none"/>
        </w:rPr>
        <w:t>9.12 项目联系人：</w:t>
      </w:r>
      <w:r>
        <w:rPr>
          <w:rFonts w:hint="eastAsia" w:eastAsia="方正仿宋_GBK"/>
          <w:color w:val="auto"/>
          <w:sz w:val="24"/>
          <w:highlight w:val="none"/>
          <w:lang w:eastAsia="zh-Hans"/>
        </w:rPr>
        <w:t>发包</w:t>
      </w:r>
      <w:r>
        <w:rPr>
          <w:rFonts w:hint="eastAsia" w:eastAsia="方正仿宋_GBK"/>
          <w:color w:val="auto"/>
          <w:sz w:val="24"/>
          <w:highlight w:val="none"/>
        </w:rPr>
        <w:t>人在项目实施过程及施工配合过程相关正式纸质文件（含设计文件、变更单、函件等）移交及相关函件接收仅为以下人员：廖昉</w:t>
      </w:r>
      <w:r>
        <w:rPr>
          <w:rFonts w:eastAsia="方正仿宋_GBK"/>
          <w:color w:val="auto"/>
          <w:sz w:val="24"/>
          <w:highlight w:val="none"/>
        </w:rPr>
        <w:t xml:space="preserve"> 18623166306</w:t>
      </w:r>
      <w:r>
        <w:rPr>
          <w:rFonts w:hint="eastAsia" w:eastAsia="方正仿宋_GBK"/>
          <w:color w:val="auto"/>
          <w:sz w:val="24"/>
          <w:highlight w:val="none"/>
        </w:rPr>
        <w:t>，所有正式资料交接需留存移交清单（一式两份，发包人设计人各一份），若设计出现擅自发送资料的情况，一次扣除违约金5000元，且产生的经济责任由设计人承担。若发包人更改联系人，已正式函件为准。</w:t>
      </w:r>
    </w:p>
    <w:p>
      <w:pPr>
        <w:spacing w:line="400" w:lineRule="exact"/>
        <w:ind w:firstLine="480" w:firstLineChars="200"/>
        <w:rPr>
          <w:rFonts w:eastAsia="方正仿宋_GBK"/>
          <w:color w:val="auto"/>
          <w:sz w:val="24"/>
          <w:highlight w:val="none"/>
        </w:rPr>
      </w:pPr>
      <w:r>
        <w:rPr>
          <w:rFonts w:eastAsia="方正仿宋_GBK"/>
          <w:color w:val="auto"/>
          <w:sz w:val="24"/>
          <w:highlight w:val="none"/>
        </w:rPr>
        <w:t>9.1</w:t>
      </w:r>
      <w:r>
        <w:rPr>
          <w:rFonts w:hint="eastAsia" w:eastAsia="方正仿宋_GBK"/>
          <w:color w:val="auto"/>
          <w:sz w:val="24"/>
          <w:highlight w:val="none"/>
        </w:rPr>
        <w:t>3</w:t>
      </w:r>
      <w:r>
        <w:rPr>
          <w:rFonts w:eastAsia="方正仿宋_GBK"/>
          <w:color w:val="auto"/>
          <w:sz w:val="24"/>
          <w:highlight w:val="none"/>
        </w:rPr>
        <w:t xml:space="preserve"> 其它约定事项：无</w:t>
      </w:r>
    </w:p>
    <w:p>
      <w:pPr>
        <w:spacing w:line="400" w:lineRule="exact"/>
        <w:ind w:firstLine="480" w:firstLineChars="200"/>
        <w:rPr>
          <w:rFonts w:eastAsia="FangSong_GB2312"/>
          <w:color w:val="auto"/>
          <w:sz w:val="24"/>
          <w:highlight w:val="none"/>
        </w:rPr>
      </w:pPr>
      <w:r>
        <w:rPr>
          <w:rFonts w:eastAsia="方正仿宋_GBK"/>
          <w:color w:val="auto"/>
          <w:sz w:val="24"/>
          <w:highlight w:val="none"/>
        </w:rPr>
        <w:t>（</w:t>
      </w:r>
      <w:r>
        <w:rPr>
          <w:rFonts w:hint="eastAsia" w:eastAsia="方正仿宋_GBK"/>
          <w:color w:val="auto"/>
          <w:sz w:val="24"/>
          <w:highlight w:val="none"/>
          <w:lang w:eastAsia="zh-Hans"/>
        </w:rPr>
        <w:t>以下无正文</w:t>
      </w:r>
      <w:r>
        <w:rPr>
          <w:rFonts w:eastAsia="方正仿宋_GBK"/>
          <w:color w:val="auto"/>
          <w:sz w:val="24"/>
          <w:highlight w:val="none"/>
          <w:lang w:eastAsia="zh-Hans"/>
        </w:rPr>
        <w:t>）</w:t>
      </w:r>
      <w:r>
        <w:rPr>
          <w:rFonts w:eastAsia="方正仿宋_GBK"/>
          <w:color w:val="auto"/>
          <w:sz w:val="24"/>
          <w:highlight w:val="none"/>
        </w:rPr>
        <w:br w:type="page"/>
      </w:r>
      <w:r>
        <w:rPr>
          <w:rFonts w:eastAsia="FangSong_GB2312"/>
          <w:color w:val="auto"/>
          <w:sz w:val="24"/>
          <w:highlight w:val="none"/>
        </w:rPr>
        <w:t>（</w:t>
      </w:r>
      <w:r>
        <w:rPr>
          <w:rFonts w:hint="eastAsia" w:eastAsia="FangSong_GB2312"/>
          <w:color w:val="auto"/>
          <w:sz w:val="24"/>
          <w:highlight w:val="none"/>
          <w:lang w:eastAsia="zh-Hans"/>
        </w:rPr>
        <w:t>本页无正文</w:t>
      </w:r>
      <w:r>
        <w:rPr>
          <w:rFonts w:eastAsia="FangSong_GB2312"/>
          <w:color w:val="auto"/>
          <w:sz w:val="24"/>
          <w:highlight w:val="none"/>
          <w:lang w:eastAsia="zh-Hans"/>
        </w:rPr>
        <w:t>，</w:t>
      </w:r>
      <w:r>
        <w:rPr>
          <w:rFonts w:hint="eastAsia" w:eastAsia="FangSong_GB2312"/>
          <w:color w:val="auto"/>
          <w:sz w:val="24"/>
          <w:highlight w:val="none"/>
          <w:lang w:eastAsia="zh-Hans"/>
        </w:rPr>
        <w:t>为</w:t>
      </w:r>
      <w:r>
        <w:rPr>
          <w:rFonts w:eastAsia="FangSong_GB2312"/>
          <w:color w:val="auto"/>
          <w:sz w:val="24"/>
          <w:highlight w:val="none"/>
        </w:rPr>
        <w:t>签字页）</w:t>
      </w:r>
    </w:p>
    <w:p>
      <w:pPr>
        <w:rPr>
          <w:rFonts w:eastAsia="FangSong_GB2312"/>
          <w:color w:val="auto"/>
          <w:sz w:val="24"/>
          <w:highlight w:val="none"/>
        </w:rPr>
      </w:pPr>
      <w:r>
        <w:rPr>
          <w:rFonts w:eastAsia="FangSong_GB2312"/>
          <w:color w:val="auto"/>
          <w:sz w:val="24"/>
          <w:highlight w:val="none"/>
        </w:rPr>
        <w:t>发包人名称：                       设计人名称：</w:t>
      </w:r>
    </w:p>
    <w:p>
      <w:pPr>
        <w:rPr>
          <w:rFonts w:eastAsia="FangSong_GB2312"/>
          <w:color w:val="auto"/>
          <w:sz w:val="24"/>
          <w:highlight w:val="none"/>
        </w:rPr>
      </w:pPr>
      <w:r>
        <w:rPr>
          <w:rFonts w:eastAsia="FangSong_GB2312"/>
          <w:color w:val="auto"/>
          <w:sz w:val="24"/>
          <w:highlight w:val="none"/>
        </w:rPr>
        <w:t xml:space="preserve">重庆城市综合交通枢纽(集团)有限公司    </w:t>
      </w:r>
    </w:p>
    <w:p>
      <w:pPr>
        <w:rPr>
          <w:rFonts w:eastAsia="FangSong_GB2312"/>
          <w:color w:val="auto"/>
          <w:sz w:val="24"/>
          <w:highlight w:val="none"/>
        </w:rPr>
      </w:pPr>
    </w:p>
    <w:p>
      <w:pPr>
        <w:rPr>
          <w:rFonts w:eastAsia="FangSong_GB2312"/>
          <w:color w:val="auto"/>
          <w:sz w:val="24"/>
          <w:highlight w:val="none"/>
        </w:rPr>
      </w:pPr>
      <w:r>
        <w:rPr>
          <w:rFonts w:eastAsia="FangSong_GB2312"/>
          <w:color w:val="auto"/>
          <w:sz w:val="24"/>
          <w:highlight w:val="none"/>
        </w:rPr>
        <w:t xml:space="preserve">（盖章）                           （盖章）                    </w:t>
      </w:r>
    </w:p>
    <w:p>
      <w:pPr>
        <w:rPr>
          <w:rFonts w:eastAsia="FangSong_GB2312"/>
          <w:color w:val="auto"/>
          <w:sz w:val="24"/>
          <w:highlight w:val="none"/>
        </w:rPr>
      </w:pPr>
      <w:r>
        <w:rPr>
          <w:rFonts w:eastAsia="FangSong_GB2312"/>
          <w:color w:val="auto"/>
          <w:sz w:val="24"/>
          <w:highlight w:val="none"/>
        </w:rPr>
        <w:t>法定代表人：（签字）                   法定代表人：（签字）</w:t>
      </w:r>
    </w:p>
    <w:p>
      <w:pPr>
        <w:rPr>
          <w:rFonts w:eastAsia="FangSong_GB2312"/>
          <w:color w:val="auto"/>
          <w:sz w:val="24"/>
          <w:highlight w:val="none"/>
        </w:rPr>
      </w:pPr>
      <w:r>
        <w:rPr>
          <w:rFonts w:eastAsia="FangSong_GB2312"/>
          <w:color w:val="auto"/>
          <w:sz w:val="24"/>
          <w:highlight w:val="none"/>
        </w:rPr>
        <w:t>委托代理人：（签字）                   委托代理人：（签字）</w:t>
      </w:r>
    </w:p>
    <w:p>
      <w:pPr>
        <w:ind w:left="4080" w:hanging="4080" w:hangingChars="1700"/>
        <w:rPr>
          <w:rFonts w:eastAsia="FangSong_GB2312"/>
          <w:color w:val="auto"/>
          <w:sz w:val="24"/>
          <w:highlight w:val="none"/>
        </w:rPr>
      </w:pPr>
      <w:r>
        <w:rPr>
          <w:rFonts w:eastAsia="FangSong_GB2312"/>
          <w:color w:val="auto"/>
          <w:sz w:val="24"/>
          <w:highlight w:val="none"/>
        </w:rPr>
        <w:t>经办人：                              经办人：</w:t>
      </w:r>
    </w:p>
    <w:p>
      <w:pPr>
        <w:ind w:left="4080" w:hanging="4080" w:hangingChars="1700"/>
        <w:rPr>
          <w:rFonts w:eastAsia="FangSong_GB2312"/>
          <w:color w:val="auto"/>
          <w:sz w:val="24"/>
          <w:highlight w:val="none"/>
        </w:rPr>
      </w:pPr>
      <w:r>
        <w:rPr>
          <w:rFonts w:eastAsia="FangSong_GB2312"/>
          <w:color w:val="auto"/>
          <w:sz w:val="24"/>
          <w:highlight w:val="none"/>
        </w:rPr>
        <w:t xml:space="preserve">住    所：重庆市渝北区泰山大道       住所: </w:t>
      </w:r>
    </w:p>
    <w:p>
      <w:pPr>
        <w:ind w:firstLine="480" w:firstLineChars="200"/>
        <w:rPr>
          <w:rFonts w:eastAsia="FangSong_GB2312"/>
          <w:color w:val="auto"/>
          <w:sz w:val="24"/>
          <w:highlight w:val="none"/>
        </w:rPr>
      </w:pPr>
      <w:r>
        <w:rPr>
          <w:rFonts w:eastAsia="FangSong_GB2312"/>
          <w:color w:val="auto"/>
          <w:sz w:val="24"/>
          <w:highlight w:val="none"/>
        </w:rPr>
        <w:t xml:space="preserve">东段梧桐路6号交通开投大厦            </w:t>
      </w:r>
    </w:p>
    <w:p>
      <w:pPr>
        <w:rPr>
          <w:rFonts w:eastAsia="FangSong_GB2312"/>
          <w:color w:val="auto"/>
          <w:sz w:val="24"/>
          <w:highlight w:val="none"/>
        </w:rPr>
      </w:pPr>
      <w:r>
        <w:rPr>
          <w:rFonts w:eastAsia="FangSong_GB2312"/>
          <w:color w:val="auto"/>
          <w:sz w:val="24"/>
          <w:highlight w:val="none"/>
        </w:rPr>
        <w:t xml:space="preserve">邮政编码：400030                     邮政编码： </w:t>
      </w:r>
    </w:p>
    <w:p>
      <w:pPr>
        <w:rPr>
          <w:rFonts w:eastAsia="FangSong_GB2312"/>
          <w:color w:val="auto"/>
          <w:sz w:val="24"/>
          <w:highlight w:val="none"/>
        </w:rPr>
      </w:pPr>
      <w:r>
        <w:rPr>
          <w:rFonts w:eastAsia="FangSong_GB2312"/>
          <w:color w:val="auto"/>
          <w:sz w:val="24"/>
          <w:highlight w:val="none"/>
        </w:rPr>
        <w:t xml:space="preserve">电    话：023-88602673               电    话： </w:t>
      </w:r>
    </w:p>
    <w:p>
      <w:pPr>
        <w:rPr>
          <w:rFonts w:eastAsia="FangSong_GB2312"/>
          <w:color w:val="auto"/>
          <w:sz w:val="24"/>
          <w:highlight w:val="none"/>
        </w:rPr>
      </w:pPr>
      <w:r>
        <w:rPr>
          <w:rFonts w:eastAsia="FangSong_GB2312"/>
          <w:color w:val="auto"/>
          <w:sz w:val="24"/>
          <w:highlight w:val="none"/>
        </w:rPr>
        <w:t xml:space="preserve">传    真：023-88602673               传    真：               </w:t>
      </w:r>
    </w:p>
    <w:p>
      <w:pPr>
        <w:rPr>
          <w:rFonts w:eastAsia="FangSong_GB2312"/>
          <w:color w:val="auto"/>
          <w:sz w:val="24"/>
          <w:highlight w:val="none"/>
        </w:rPr>
      </w:pPr>
      <w:r>
        <w:rPr>
          <w:rFonts w:eastAsia="FangSong_GB2312"/>
          <w:color w:val="auto"/>
          <w:sz w:val="24"/>
          <w:highlight w:val="none"/>
        </w:rPr>
        <w:t xml:space="preserve">开户银行：                           开户银行： </w:t>
      </w:r>
    </w:p>
    <w:p>
      <w:pPr>
        <w:rPr>
          <w:color w:val="auto"/>
          <w:highlight w:val="none"/>
        </w:rPr>
      </w:pPr>
    </w:p>
    <w:p>
      <w:pPr>
        <w:rPr>
          <w:rFonts w:eastAsia="FangSong_GB2312"/>
          <w:color w:val="auto"/>
          <w:sz w:val="24"/>
          <w:highlight w:val="none"/>
        </w:rPr>
      </w:pPr>
      <w:r>
        <w:rPr>
          <w:rFonts w:eastAsia="FangSong_GB2312"/>
          <w:color w:val="auto"/>
          <w:sz w:val="24"/>
          <w:highlight w:val="none"/>
        </w:rPr>
        <w:t xml:space="preserve"> 银行帐号：                           银行帐号：</w:t>
      </w:r>
    </w:p>
    <w:p>
      <w:pPr>
        <w:spacing w:line="360" w:lineRule="auto"/>
        <w:jc w:val="left"/>
        <w:rPr>
          <w:rFonts w:eastAsia="FangSong_GB2312"/>
          <w:color w:val="auto"/>
          <w:sz w:val="24"/>
          <w:highlight w:val="none"/>
        </w:rPr>
      </w:pPr>
    </w:p>
    <w:p>
      <w:pPr>
        <w:widowControl/>
        <w:snapToGrid w:val="0"/>
        <w:jc w:val="left"/>
        <w:rPr>
          <w:color w:val="auto"/>
          <w:kern w:val="0"/>
          <w:sz w:val="22"/>
          <w:szCs w:val="22"/>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ind w:firstLine="480" w:firstLineChars="200"/>
        <w:rPr>
          <w:rFonts w:eastAsia="FangSong_GB2312"/>
          <w:color w:val="auto"/>
          <w:sz w:val="24"/>
          <w:highlight w:val="none"/>
        </w:rPr>
      </w:pPr>
    </w:p>
    <w:p>
      <w:pPr>
        <w:spacing w:line="360" w:lineRule="auto"/>
        <w:jc w:val="left"/>
        <w:rPr>
          <w:rFonts w:eastAsia="黑体"/>
          <w:b/>
          <w:color w:val="auto"/>
          <w:sz w:val="30"/>
          <w:highlight w:val="none"/>
        </w:rPr>
      </w:pPr>
      <w:r>
        <w:rPr>
          <w:rFonts w:eastAsia="黑体"/>
          <w:b/>
          <w:color w:val="auto"/>
          <w:sz w:val="30"/>
          <w:highlight w:val="none"/>
        </w:rPr>
        <w:br w:type="page"/>
      </w:r>
    </w:p>
    <w:p>
      <w:pPr>
        <w:spacing w:line="360" w:lineRule="auto"/>
        <w:jc w:val="left"/>
        <w:rPr>
          <w:rFonts w:eastAsia="仿宋"/>
          <w:b/>
          <w:color w:val="auto"/>
          <w:sz w:val="24"/>
          <w:highlight w:val="none"/>
        </w:rPr>
      </w:pPr>
      <w:r>
        <w:rPr>
          <w:rFonts w:eastAsia="黑体"/>
          <w:b/>
          <w:color w:val="auto"/>
          <w:sz w:val="30"/>
          <w:highlight w:val="none"/>
        </w:rPr>
        <w:t>附件1：服务承诺书</w:t>
      </w:r>
    </w:p>
    <w:p>
      <w:pPr>
        <w:ind w:firstLine="480" w:firstLineChars="200"/>
        <w:rPr>
          <w:rFonts w:eastAsia="FangSong_GB2312"/>
          <w:color w:val="auto"/>
          <w:sz w:val="24"/>
          <w:highlight w:val="none"/>
        </w:rPr>
      </w:pPr>
      <w:r>
        <w:rPr>
          <w:rFonts w:eastAsia="FangSong_GB2312"/>
          <w:color w:val="auto"/>
          <w:sz w:val="24"/>
          <w:highlight w:val="none"/>
        </w:rPr>
        <w:t>1.设计时间承诺：根据发包人的设计文件要求，设计人对设计时间作如下承诺：按发包人规定的设计时间内完成设计并配置相应资质与业务水准的项目负责人,作息时间与发包人一致,周六、周日及节假日可以加班。加班所产生的一切费用由设计人自行承担。</w:t>
      </w:r>
    </w:p>
    <w:p>
      <w:pPr>
        <w:ind w:firstLine="480" w:firstLineChars="200"/>
        <w:rPr>
          <w:rFonts w:eastAsia="FangSong_GB2312"/>
          <w:color w:val="auto"/>
          <w:sz w:val="24"/>
          <w:highlight w:val="none"/>
        </w:rPr>
      </w:pPr>
      <w:r>
        <w:rPr>
          <w:rFonts w:eastAsia="FangSong_GB2312"/>
          <w:color w:val="auto"/>
          <w:sz w:val="24"/>
          <w:highlight w:val="none"/>
        </w:rPr>
        <w:t>3.设计变更承诺：设计人保证在发包人提出问题24小时内做出回复，商定时间内完成书面变更资料。</w:t>
      </w:r>
    </w:p>
    <w:p>
      <w:pPr>
        <w:ind w:firstLine="480" w:firstLineChars="200"/>
        <w:rPr>
          <w:rFonts w:eastAsia="FangSong_GB2312"/>
          <w:color w:val="auto"/>
          <w:sz w:val="24"/>
          <w:highlight w:val="none"/>
        </w:rPr>
      </w:pPr>
      <w:r>
        <w:rPr>
          <w:rFonts w:eastAsia="FangSong_GB2312"/>
          <w:color w:val="auto"/>
          <w:sz w:val="24"/>
          <w:highlight w:val="none"/>
        </w:rPr>
        <w:t>4.设计人承诺未经发包人同意不得更换设计总负责人及专业负责人，并随时保持联系。</w:t>
      </w:r>
    </w:p>
    <w:p>
      <w:pPr>
        <w:ind w:firstLine="480" w:firstLineChars="200"/>
        <w:rPr>
          <w:rFonts w:eastAsia="FangSong_GB2312"/>
          <w:color w:val="auto"/>
          <w:sz w:val="24"/>
          <w:highlight w:val="none"/>
        </w:rPr>
      </w:pPr>
      <w:r>
        <w:rPr>
          <w:rFonts w:eastAsia="FangSong_GB2312"/>
          <w:color w:val="auto"/>
          <w:sz w:val="24"/>
          <w:highlight w:val="none"/>
        </w:rPr>
        <w:t>5.设计人承诺如遇合同未尽事宜，双方协议确定，设计人即开展工作，不得因为设计合同细节出入，影响整个设计及施工计划。</w:t>
      </w:r>
    </w:p>
    <w:p>
      <w:pPr>
        <w:ind w:firstLine="480" w:firstLineChars="200"/>
        <w:rPr>
          <w:rFonts w:eastAsia="FangSong_GB2312"/>
          <w:color w:val="auto"/>
          <w:sz w:val="24"/>
          <w:highlight w:val="none"/>
        </w:rPr>
      </w:pPr>
      <w:r>
        <w:rPr>
          <w:rFonts w:eastAsia="FangSong_GB2312"/>
          <w:color w:val="auto"/>
          <w:sz w:val="24"/>
          <w:highlight w:val="none"/>
        </w:rPr>
        <w:t>6.应发包人要求，某一专业或某一工作内容要委托其他设计单位进行时，设计人承诺应积极配合第三方的设计工作。</w:t>
      </w:r>
    </w:p>
    <w:p>
      <w:pPr>
        <w:ind w:firstLine="480" w:firstLineChars="200"/>
        <w:rPr>
          <w:rFonts w:eastAsia="FangSong_GB2312"/>
          <w:color w:val="auto"/>
          <w:sz w:val="24"/>
          <w:highlight w:val="none"/>
        </w:rPr>
      </w:pPr>
      <w:r>
        <w:rPr>
          <w:rFonts w:eastAsia="FangSong_GB2312"/>
          <w:color w:val="auto"/>
          <w:sz w:val="24"/>
          <w:highlight w:val="none"/>
        </w:rPr>
        <w:t>7.设计人企业本身对设计配合的要求：设计质量达到发包人设计文件要求，并有义务提供设计选用的新颖的或应用较少的材料、设备等必要工程信息，便于发包人采购或进行经济技术指标评估。</w:t>
      </w: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p>
    <w:p>
      <w:pPr>
        <w:rPr>
          <w:rFonts w:eastAsia="FangSong_GB2312"/>
          <w:color w:val="auto"/>
          <w:sz w:val="24"/>
          <w:highlight w:val="none"/>
        </w:rPr>
      </w:pPr>
      <w:r>
        <w:rPr>
          <w:rFonts w:eastAsia="FangSong_GB2312"/>
          <w:color w:val="auto"/>
          <w:sz w:val="24"/>
          <w:highlight w:val="none"/>
        </w:rPr>
        <w:br w:type="page"/>
      </w:r>
    </w:p>
    <w:p>
      <w:pPr>
        <w:spacing w:line="360" w:lineRule="auto"/>
        <w:jc w:val="left"/>
        <w:rPr>
          <w:rFonts w:eastAsia="方正仿宋_GBK"/>
          <w:b/>
          <w:color w:val="auto"/>
          <w:sz w:val="30"/>
          <w:highlight w:val="none"/>
        </w:rPr>
      </w:pPr>
      <w:r>
        <w:rPr>
          <w:rFonts w:eastAsia="黑体"/>
          <w:b/>
          <w:color w:val="auto"/>
          <w:sz w:val="30"/>
          <w:highlight w:val="none"/>
        </w:rPr>
        <w:t>附件2 设计文件深度及设计错误的分类</w:t>
      </w:r>
    </w:p>
    <w:p>
      <w:pPr>
        <w:spacing w:line="560" w:lineRule="exact"/>
        <w:ind w:firstLine="480"/>
        <w:rPr>
          <w:rFonts w:eastAsia="方正仿宋_GBK"/>
          <w:color w:val="auto"/>
          <w:sz w:val="24"/>
          <w:szCs w:val="18"/>
          <w:highlight w:val="none"/>
        </w:rPr>
      </w:pPr>
      <w:r>
        <w:rPr>
          <w:rFonts w:eastAsia="方正仿宋_GBK"/>
          <w:color w:val="auto"/>
          <w:sz w:val="24"/>
          <w:szCs w:val="18"/>
          <w:highlight w:val="none"/>
        </w:rPr>
        <w:t>针对以往工程的施工图错误较多及深度不够等图纸质量问题，造成施工和销售的极大返工，特此定出每个设计阶段各专业图纸的设计深度要求及各专业施工图的错误分类和施工图的质量等级。</w:t>
      </w:r>
    </w:p>
    <w:p>
      <w:pPr>
        <w:spacing w:line="560" w:lineRule="exact"/>
        <w:rPr>
          <w:rFonts w:eastAsia="方正仿宋_GBK"/>
          <w:b/>
          <w:color w:val="auto"/>
          <w:sz w:val="18"/>
          <w:szCs w:val="18"/>
          <w:highlight w:val="none"/>
        </w:rPr>
      </w:pPr>
      <w:r>
        <w:rPr>
          <w:rFonts w:eastAsia="方正仿宋_GBK"/>
          <w:b/>
          <w:color w:val="auto"/>
          <w:sz w:val="24"/>
          <w:szCs w:val="18"/>
          <w:highlight w:val="none"/>
        </w:rPr>
        <w:t>一、设计深度</w:t>
      </w:r>
    </w:p>
    <w:p>
      <w:pPr>
        <w:spacing w:line="560" w:lineRule="exact"/>
        <w:rPr>
          <w:rFonts w:eastAsia="方正仿宋_GBK"/>
          <w:b/>
          <w:color w:val="auto"/>
          <w:sz w:val="24"/>
          <w:highlight w:val="none"/>
        </w:rPr>
      </w:pPr>
      <w:r>
        <w:rPr>
          <w:rFonts w:eastAsia="方正仿宋_GBK"/>
          <w:b/>
          <w:color w:val="auto"/>
          <w:sz w:val="24"/>
          <w:highlight w:val="none"/>
        </w:rPr>
        <w:t>1、初步设计及施工图设计的深度要求</w:t>
      </w:r>
    </w:p>
    <w:p>
      <w:pPr>
        <w:spacing w:line="560" w:lineRule="exact"/>
        <w:ind w:firstLine="480" w:firstLineChars="200"/>
        <w:rPr>
          <w:rFonts w:eastAsia="方正仿宋_GBK"/>
          <w:color w:val="auto"/>
          <w:sz w:val="24"/>
          <w:highlight w:val="none"/>
        </w:rPr>
      </w:pPr>
      <w:r>
        <w:rPr>
          <w:rFonts w:eastAsia="方正仿宋_GBK"/>
          <w:color w:val="auto"/>
          <w:sz w:val="24"/>
          <w:highlight w:val="none"/>
        </w:rPr>
        <w:t>初步设计及施工图设计的深度要求应遵照住建部和市住建委编制的建筑工程设计文件编制深度的规定执行。</w:t>
      </w:r>
    </w:p>
    <w:p>
      <w:pPr>
        <w:spacing w:line="560" w:lineRule="exact"/>
        <w:rPr>
          <w:rFonts w:eastAsia="方正仿宋_GBK"/>
          <w:b/>
          <w:color w:val="auto"/>
          <w:sz w:val="24"/>
          <w:highlight w:val="none"/>
        </w:rPr>
      </w:pPr>
      <w:r>
        <w:rPr>
          <w:rFonts w:eastAsia="方正仿宋_GBK"/>
          <w:b/>
          <w:color w:val="auto"/>
          <w:sz w:val="24"/>
          <w:highlight w:val="none"/>
        </w:rPr>
        <w:t>二、施工图的错误分类</w:t>
      </w:r>
    </w:p>
    <w:p>
      <w:pPr>
        <w:spacing w:line="560" w:lineRule="exact"/>
        <w:rPr>
          <w:rFonts w:eastAsia="方正仿宋_GBK"/>
          <w:b/>
          <w:color w:val="auto"/>
          <w:sz w:val="24"/>
          <w:highlight w:val="none"/>
        </w:rPr>
      </w:pPr>
      <w:r>
        <w:rPr>
          <w:rFonts w:eastAsia="方正仿宋_GBK"/>
          <w:b/>
          <w:color w:val="auto"/>
          <w:sz w:val="24"/>
          <w:highlight w:val="none"/>
        </w:rPr>
        <w:t>1、Ⅰ类错误：</w:t>
      </w:r>
    </w:p>
    <w:p>
      <w:pPr>
        <w:spacing w:line="560" w:lineRule="exact"/>
        <w:rPr>
          <w:rFonts w:eastAsia="方正仿宋_GBK"/>
          <w:color w:val="auto"/>
          <w:sz w:val="24"/>
          <w:highlight w:val="none"/>
        </w:rPr>
      </w:pPr>
      <w:r>
        <w:rPr>
          <w:rFonts w:eastAsia="方正仿宋_GBK"/>
          <w:color w:val="auto"/>
          <w:sz w:val="24"/>
          <w:highlight w:val="none"/>
        </w:rPr>
        <w:t>A、严重违反规范、标准、规定，有可能造成严重影响安全和使用的错误。如：</w:t>
      </w:r>
    </w:p>
    <w:p>
      <w:pPr>
        <w:tabs>
          <w:tab w:val="left" w:pos="1980"/>
        </w:tabs>
        <w:spacing w:line="560" w:lineRule="exact"/>
        <w:ind w:left="1982" w:leftChars="258" w:hanging="1440" w:hangingChars="600"/>
        <w:rPr>
          <w:rFonts w:eastAsia="方正仿宋_GBK"/>
          <w:color w:val="auto"/>
          <w:sz w:val="24"/>
          <w:highlight w:val="none"/>
        </w:rPr>
      </w:pPr>
      <w:r>
        <w:rPr>
          <w:rFonts w:eastAsia="方正仿宋_GBK"/>
          <w:color w:val="auto"/>
          <w:sz w:val="24"/>
          <w:highlight w:val="none"/>
        </w:rPr>
        <w:t>建筑  专业  规划中消防间距不够，而又未采取措施；规划中日照间距不够；建筑面积超过规划要求；防火分区面积超规定，电梯/楼梯厅不符合防火要求等。</w:t>
      </w:r>
    </w:p>
    <w:p>
      <w:pPr>
        <w:tabs>
          <w:tab w:val="left" w:pos="1620"/>
          <w:tab w:val="left" w:pos="1800"/>
        </w:tabs>
        <w:spacing w:line="560" w:lineRule="exact"/>
        <w:ind w:left="1977" w:leftChars="257" w:hanging="1437" w:hangingChars="599"/>
        <w:rPr>
          <w:rFonts w:eastAsia="方正仿宋_GBK"/>
          <w:color w:val="auto"/>
          <w:sz w:val="24"/>
          <w:highlight w:val="none"/>
        </w:rPr>
      </w:pPr>
      <w:r>
        <w:rPr>
          <w:rFonts w:eastAsia="方正仿宋_GBK"/>
          <w:color w:val="auto"/>
          <w:sz w:val="24"/>
          <w:highlight w:val="none"/>
        </w:rPr>
        <w:t>结构  专业  结构（含基础、边坡、基坑、地基处理）选型错误，应设计为框架结构的设计成混合结构；计算原则错误；未考虑抗震设计；建筑物长度超过规范要求而未采取任何措施等；漏设挡墙。</w:t>
      </w:r>
    </w:p>
    <w:p>
      <w:pPr>
        <w:tabs>
          <w:tab w:val="left" w:pos="1950"/>
          <w:tab w:val="left" w:pos="1980"/>
        </w:tabs>
        <w:spacing w:line="560" w:lineRule="exact"/>
        <w:ind w:left="1979" w:leftChars="228" w:hanging="1500" w:hangingChars="625"/>
        <w:rPr>
          <w:rFonts w:eastAsia="方正仿宋_GBK"/>
          <w:color w:val="auto"/>
          <w:sz w:val="24"/>
          <w:highlight w:val="none"/>
        </w:rPr>
      </w:pPr>
      <w:r>
        <w:rPr>
          <w:rFonts w:eastAsia="方正仿宋_GBK"/>
          <w:color w:val="auto"/>
          <w:sz w:val="24"/>
          <w:highlight w:val="none"/>
        </w:rPr>
        <w:t>给排水专业  规范要求的消防设施未设计；消防水量、水压达不到规范要求；生活给水水量、水压达不到规范要求等。</w:t>
      </w:r>
    </w:p>
    <w:p>
      <w:pPr>
        <w:tabs>
          <w:tab w:val="left" w:pos="1950"/>
          <w:tab w:val="left" w:pos="1980"/>
        </w:tabs>
        <w:spacing w:line="560" w:lineRule="exact"/>
        <w:ind w:left="1979" w:leftChars="228" w:hanging="1500" w:hangingChars="625"/>
        <w:rPr>
          <w:rFonts w:eastAsia="方正仿宋_GBK"/>
          <w:color w:val="auto"/>
          <w:sz w:val="24"/>
          <w:highlight w:val="none"/>
        </w:rPr>
      </w:pPr>
      <w:r>
        <w:rPr>
          <w:rFonts w:eastAsia="方正仿宋_GBK"/>
          <w:color w:val="auto"/>
          <w:sz w:val="24"/>
          <w:highlight w:val="none"/>
        </w:rPr>
        <w:t>暖通  专业  规范要求的防火排烟设施未设计，排烟风量达不到规范要求，又未采取必要的措施等。</w:t>
      </w:r>
    </w:p>
    <w:p>
      <w:pPr>
        <w:tabs>
          <w:tab w:val="left" w:pos="1950"/>
          <w:tab w:val="left" w:pos="1980"/>
        </w:tabs>
        <w:spacing w:line="560" w:lineRule="exact"/>
        <w:ind w:left="1979" w:leftChars="228" w:hanging="1500" w:hangingChars="625"/>
        <w:rPr>
          <w:rFonts w:eastAsia="方正仿宋_GBK"/>
          <w:color w:val="auto"/>
          <w:sz w:val="24"/>
          <w:highlight w:val="none"/>
        </w:rPr>
      </w:pPr>
      <w:r>
        <w:rPr>
          <w:rFonts w:eastAsia="方正仿宋_GBK"/>
          <w:color w:val="auto"/>
          <w:sz w:val="24"/>
          <w:highlight w:val="none"/>
        </w:rPr>
        <w:t>电气  专业  变配电、电话、电视、消防、广播音响等系统及各种机房平、剖面设备布置等严重违反规范、标准、规定；配电方案有严重缺陷等。</w:t>
      </w:r>
    </w:p>
    <w:p>
      <w:pPr>
        <w:tabs>
          <w:tab w:val="left" w:pos="1950"/>
        </w:tabs>
        <w:spacing w:line="560" w:lineRule="exact"/>
        <w:ind w:left="360" w:hanging="360" w:hangingChars="150"/>
        <w:rPr>
          <w:rFonts w:eastAsia="方正仿宋_GBK"/>
          <w:color w:val="auto"/>
          <w:sz w:val="24"/>
          <w:highlight w:val="none"/>
        </w:rPr>
      </w:pPr>
      <w:r>
        <w:rPr>
          <w:rFonts w:eastAsia="方正仿宋_GBK"/>
          <w:color w:val="auto"/>
          <w:sz w:val="24"/>
          <w:highlight w:val="none"/>
        </w:rPr>
        <w:t>B、设计不周或有严重错误，有可能造成不能正常使用、不安全或重大经济损失。如：</w:t>
      </w:r>
    </w:p>
    <w:p>
      <w:pPr>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建筑  专业  总平面竖向设计错误；轴线错误或对不上，楼梯碰头；视线计算错误等；坡度超规范；转弯半径错误；车道净高不足。</w:t>
      </w:r>
    </w:p>
    <w:p>
      <w:pPr>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结构  专业  计算书未经校对或计算中存在影响安全的严重错误而未经发现；基础选型错误，引起沉降过大；竖向构件强度不足；结构与建筑节点不一致等；结构荷载取值不足，效应考虑错误等。</w:t>
      </w:r>
    </w:p>
    <w:p>
      <w:pPr>
        <w:tabs>
          <w:tab w:val="left" w:pos="195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给排水专业  由于设计的水塔或水箱高度不够，造成水压不足，出水量不能满足使用要求；高层建筑消防减压、止回等设计不当等。</w:t>
      </w:r>
    </w:p>
    <w:p>
      <w:pPr>
        <w:tabs>
          <w:tab w:val="left" w:pos="195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暖通  专业  冷、热负荷计算有重大错误或系统选择不当；膨胀水箱高度低于采暖系统等。</w:t>
      </w:r>
    </w:p>
    <w:p>
      <w:pPr>
        <w:tabs>
          <w:tab w:val="left" w:pos="195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电气  专业  选用国家已公布的机电淘汰产品；供配电系统的控制保护，自动控制和自动调节原理图，各站弱电设备之间线路连接图等设不周或有严重错误；低压配电柜开关与所保护电缆选型不匹配，电缆母线容量不匹配等；照度不满足规范或发包人要求；用电负荷未达到发包人要求。</w:t>
      </w:r>
    </w:p>
    <w:p>
      <w:pPr>
        <w:tabs>
          <w:tab w:val="left" w:pos="1950"/>
        </w:tabs>
        <w:spacing w:line="560" w:lineRule="exact"/>
        <w:ind w:left="360" w:hanging="360" w:hangingChars="150"/>
        <w:rPr>
          <w:rFonts w:eastAsia="方正仿宋_GBK"/>
          <w:color w:val="auto"/>
          <w:sz w:val="24"/>
          <w:highlight w:val="none"/>
        </w:rPr>
      </w:pPr>
      <w:r>
        <w:rPr>
          <w:rFonts w:eastAsia="方正仿宋_GBK"/>
          <w:color w:val="auto"/>
          <w:sz w:val="24"/>
          <w:highlight w:val="none"/>
        </w:rPr>
        <w:t>C、严重影响报建及销售工作的进行：如计容积率面积（包含各个分部）超过政府允许的误差范围；平立剖面对不上；民防单元面积超过规范。</w:t>
      </w:r>
    </w:p>
    <w:p>
      <w:pPr>
        <w:spacing w:line="560" w:lineRule="exact"/>
        <w:rPr>
          <w:rFonts w:eastAsia="方正仿宋_GBK"/>
          <w:b/>
          <w:color w:val="auto"/>
          <w:sz w:val="24"/>
          <w:highlight w:val="none"/>
        </w:rPr>
      </w:pPr>
      <w:r>
        <w:rPr>
          <w:rFonts w:eastAsia="方正仿宋_GBK"/>
          <w:b/>
          <w:color w:val="auto"/>
          <w:sz w:val="24"/>
          <w:highlight w:val="none"/>
        </w:rPr>
        <w:t>2、Ⅱ类错误：</w:t>
      </w:r>
    </w:p>
    <w:p>
      <w:pPr>
        <w:spacing w:line="560" w:lineRule="exact"/>
        <w:rPr>
          <w:rFonts w:eastAsia="方正仿宋_GBK"/>
          <w:color w:val="auto"/>
          <w:sz w:val="24"/>
          <w:highlight w:val="none"/>
        </w:rPr>
      </w:pPr>
      <w:r>
        <w:rPr>
          <w:rFonts w:eastAsia="方正仿宋_GBK"/>
          <w:color w:val="auto"/>
          <w:sz w:val="24"/>
          <w:highlight w:val="none"/>
        </w:rPr>
        <w:t>A、局部违反规范、标准、规定、但容易修正、且返工量不大。如：</w:t>
      </w:r>
    </w:p>
    <w:p>
      <w:pPr>
        <w:tabs>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建筑  专业  栏杆的高度及强度不符合要求；消防电梯不合防火要求，疏散门宽度不够、管道井不合防火规范等。</w:t>
      </w:r>
    </w:p>
    <w:p>
      <w:pPr>
        <w:tabs>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结构  专业  按简支计算的梁、支座与梁柱整体连接构造用负筋不够；悬挑构件配筋错误等。</w:t>
      </w:r>
    </w:p>
    <w:p>
      <w:pPr>
        <w:tabs>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给排水专业  生活饮用水管与非饮用水道连接，未采取防回流污染措施等。</w:t>
      </w:r>
    </w:p>
    <w:p>
      <w:pPr>
        <w:tabs>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暖通  专业  管道井不符合防火规定；过防火墙未装防火阀；风管材料及保温材料不符合防火要求等。</w:t>
      </w:r>
    </w:p>
    <w:p>
      <w:pPr>
        <w:tabs>
          <w:tab w:val="left" w:pos="1950"/>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电气  专业  低压配电级数超过三级；照明系统中单向回路灯和插座数量超过25个；烟、温感探测器位置；自动喷淋、排烟防火等系统连锁方式局部违反规范、标准、规定；双电源未考虑末端切换等。</w:t>
      </w:r>
    </w:p>
    <w:p>
      <w:pPr>
        <w:tabs>
          <w:tab w:val="left" w:pos="1950"/>
        </w:tabs>
        <w:spacing w:line="560" w:lineRule="exact"/>
        <w:rPr>
          <w:rFonts w:eastAsia="方正仿宋_GBK"/>
          <w:color w:val="auto"/>
          <w:sz w:val="24"/>
          <w:highlight w:val="none"/>
        </w:rPr>
      </w:pPr>
      <w:r>
        <w:rPr>
          <w:rFonts w:eastAsia="方正仿宋_GBK"/>
          <w:color w:val="auto"/>
          <w:sz w:val="24"/>
          <w:highlight w:val="none"/>
        </w:rPr>
        <w:t>B、设计不周、构造或用料不当，有可能造成影响局部使用效果，或重要部位尺寸错误，有可能造成严重后果。如：</w:t>
      </w:r>
    </w:p>
    <w:p>
      <w:pPr>
        <w:tabs>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建筑  专业  结构承重部分在建筑图中未完全反映或错误；声光热防水防潮等的技术处理欠妥等。</w:t>
      </w:r>
    </w:p>
    <w:p>
      <w:pPr>
        <w:tabs>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结构  专业  各种门/窗洞高度不符合建筑设计要求，严重影响使用要求；存在明显的未设计部分，影响现场进度；结构标高与建筑面层要求不符；阳台、雨蓬的倾覆安全不够，钢筋砼构件配筋与计算书不符；应设置构造钢筋的部位不设或少设；未根据建筑功能要求部分梁上翻等。</w:t>
      </w:r>
    </w:p>
    <w:p>
      <w:pPr>
        <w:tabs>
          <w:tab w:val="left" w:pos="1950"/>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给排水专业  选用了已淘汰的耗能大的设备。热交换间未考虑检修条件等。</w:t>
      </w:r>
    </w:p>
    <w:p>
      <w:pPr>
        <w:tabs>
          <w:tab w:val="left" w:pos="1980"/>
        </w:tabs>
        <w:spacing w:after="120" w:line="560" w:lineRule="exact"/>
        <w:ind w:left="1791" w:leftChars="229" w:hanging="1310" w:hangingChars="624"/>
        <w:rPr>
          <w:rFonts w:eastAsia="方正仿宋_GBK"/>
          <w:color w:val="auto"/>
          <w:highlight w:val="none"/>
        </w:rPr>
      </w:pPr>
      <w:r>
        <w:rPr>
          <w:rFonts w:eastAsia="方正仿宋_GBK"/>
          <w:color w:val="auto"/>
          <w:highlight w:val="none"/>
        </w:rPr>
        <w:t>暖通  专业  选用了已淘汰的产品；机房布置未考虑检修条件；地下室的机房未考虑设备进出孔；风机的消声、减震处理不当等。</w:t>
      </w:r>
    </w:p>
    <w:p>
      <w:pPr>
        <w:tabs>
          <w:tab w:val="left" w:pos="1950"/>
          <w:tab w:val="left" w:pos="1980"/>
        </w:tabs>
        <w:spacing w:line="560" w:lineRule="exact"/>
        <w:ind w:left="1978" w:leftChars="229" w:hanging="1497" w:hangingChars="624"/>
        <w:rPr>
          <w:rFonts w:eastAsia="方正仿宋_GBK"/>
          <w:color w:val="auto"/>
          <w:sz w:val="24"/>
          <w:highlight w:val="none"/>
        </w:rPr>
      </w:pPr>
      <w:r>
        <w:rPr>
          <w:rFonts w:eastAsia="方正仿宋_GBK"/>
          <w:color w:val="auto"/>
          <w:sz w:val="24"/>
          <w:highlight w:val="none"/>
        </w:rPr>
        <w:t>电气  专业  强、弱电各种线路布局，设备选型不当，安装图和非标准图制作尺寸以及安装不符等。</w:t>
      </w:r>
    </w:p>
    <w:p>
      <w:pPr>
        <w:tabs>
          <w:tab w:val="left" w:pos="1950"/>
        </w:tabs>
        <w:spacing w:line="560" w:lineRule="exact"/>
        <w:ind w:left="360" w:hanging="360" w:hangingChars="150"/>
        <w:rPr>
          <w:rFonts w:eastAsia="方正仿宋_GBK"/>
          <w:color w:val="auto"/>
          <w:sz w:val="24"/>
          <w:highlight w:val="none"/>
        </w:rPr>
      </w:pPr>
      <w:r>
        <w:rPr>
          <w:rFonts w:eastAsia="方正仿宋_GBK"/>
          <w:color w:val="auto"/>
          <w:sz w:val="24"/>
          <w:highlight w:val="none"/>
        </w:rPr>
        <w:t>C、工种配合严重错误或局部遗漏有可能造成影响使用，或造成施工返工，如梁上预埋孔洞严重影响结构安全。</w:t>
      </w:r>
    </w:p>
    <w:p>
      <w:pPr>
        <w:tabs>
          <w:tab w:val="left" w:pos="1950"/>
        </w:tabs>
        <w:spacing w:line="560" w:lineRule="exact"/>
        <w:ind w:left="360" w:hanging="360" w:hangingChars="150"/>
        <w:rPr>
          <w:rFonts w:eastAsia="方正仿宋_GBK"/>
          <w:color w:val="auto"/>
          <w:sz w:val="24"/>
          <w:highlight w:val="none"/>
        </w:rPr>
      </w:pPr>
      <w:r>
        <w:rPr>
          <w:rFonts w:eastAsia="方正仿宋_GBK"/>
          <w:color w:val="auto"/>
          <w:sz w:val="24"/>
          <w:highlight w:val="none"/>
        </w:rPr>
        <w:t>D、结构专业计算、构造层层加码，造成严重浪费者。如设计荷载取用过大，实际配筋又大于计算要求很多等。</w:t>
      </w:r>
    </w:p>
    <w:p>
      <w:pPr>
        <w:tabs>
          <w:tab w:val="left" w:pos="1950"/>
        </w:tabs>
        <w:spacing w:line="560" w:lineRule="exact"/>
        <w:ind w:left="360" w:hanging="360" w:hangingChars="150"/>
        <w:rPr>
          <w:rFonts w:eastAsia="方正仿宋_GBK"/>
          <w:color w:val="auto"/>
          <w:sz w:val="24"/>
          <w:highlight w:val="none"/>
        </w:rPr>
      </w:pPr>
      <w:r>
        <w:rPr>
          <w:rFonts w:eastAsia="方正仿宋_GBK"/>
          <w:color w:val="auto"/>
          <w:sz w:val="24"/>
          <w:highlight w:val="none"/>
        </w:rPr>
        <w:t>E、严重影响报建及销售工作的进行：各配套设施建筑或功能区未详细标明或建筑标识不清，影响面积查丈及验收。</w:t>
      </w:r>
    </w:p>
    <w:p>
      <w:pPr>
        <w:tabs>
          <w:tab w:val="left" w:pos="1950"/>
        </w:tabs>
        <w:spacing w:line="560" w:lineRule="exact"/>
        <w:ind w:left="360" w:hanging="360" w:hangingChars="150"/>
        <w:rPr>
          <w:rFonts w:eastAsia="方正仿宋_GBK"/>
          <w:color w:val="auto"/>
          <w:sz w:val="24"/>
          <w:highlight w:val="none"/>
        </w:rPr>
      </w:pPr>
    </w:p>
    <w:p>
      <w:pPr>
        <w:spacing w:line="560" w:lineRule="exact"/>
        <w:rPr>
          <w:rFonts w:eastAsia="方正仿宋_GBK"/>
          <w:b/>
          <w:color w:val="auto"/>
          <w:sz w:val="24"/>
          <w:highlight w:val="none"/>
        </w:rPr>
      </w:pPr>
      <w:r>
        <w:rPr>
          <w:rFonts w:eastAsia="方正仿宋_GBK"/>
          <w:b/>
          <w:color w:val="auto"/>
          <w:sz w:val="24"/>
          <w:highlight w:val="none"/>
        </w:rPr>
        <w:t>3、Ⅲ类错误：</w:t>
      </w:r>
    </w:p>
    <w:p>
      <w:pPr>
        <w:numPr>
          <w:ilvl w:val="0"/>
          <w:numId w:val="2"/>
        </w:numPr>
        <w:spacing w:line="560" w:lineRule="exact"/>
        <w:rPr>
          <w:rFonts w:eastAsia="方正仿宋_GBK"/>
          <w:color w:val="auto"/>
          <w:sz w:val="24"/>
          <w:highlight w:val="none"/>
        </w:rPr>
      </w:pPr>
      <w:r>
        <w:rPr>
          <w:rFonts w:eastAsia="方正仿宋_GBK"/>
          <w:color w:val="auto"/>
          <w:sz w:val="24"/>
          <w:highlight w:val="none"/>
        </w:rPr>
        <w:t>容易修正、且不造成使用或安全缺陷，但会给建设单位、施工单位带来麻烦。如：</w:t>
      </w:r>
    </w:p>
    <w:p>
      <w:pPr>
        <w:spacing w:line="560" w:lineRule="exact"/>
        <w:ind w:left="359" w:leftChars="171" w:firstLine="480" w:firstLineChars="200"/>
        <w:rPr>
          <w:rFonts w:eastAsia="方正仿宋_GBK"/>
          <w:color w:val="auto"/>
          <w:sz w:val="24"/>
          <w:highlight w:val="none"/>
        </w:rPr>
      </w:pPr>
      <w:r>
        <w:rPr>
          <w:rFonts w:eastAsia="方正仿宋_GBK"/>
          <w:color w:val="auto"/>
          <w:sz w:val="24"/>
          <w:highlight w:val="none"/>
        </w:rPr>
        <w:t>建筑、结构、水、暖、电各专业：图纸目录不全、表达不够清楚、平剖面图不一致、一般性尺寸错误或不全、图例或符号不合规定、平面图与系统图不一致等。如：设计文件、计算书及存档材料的完整性不够；设计说明、图纸目录不全、图例符号表达不合规定；系统图与平面图的一致性的错、漏、碰、缺等。</w:t>
      </w:r>
    </w:p>
    <w:p>
      <w:pPr>
        <w:numPr>
          <w:ilvl w:val="0"/>
          <w:numId w:val="2"/>
        </w:numPr>
        <w:spacing w:line="560" w:lineRule="exact"/>
        <w:rPr>
          <w:rFonts w:eastAsia="方正仿宋_GBK"/>
          <w:color w:val="auto"/>
          <w:sz w:val="24"/>
          <w:highlight w:val="none"/>
        </w:rPr>
      </w:pPr>
      <w:r>
        <w:rPr>
          <w:rFonts w:eastAsia="方正仿宋_GBK"/>
          <w:color w:val="auto"/>
          <w:sz w:val="24"/>
          <w:highlight w:val="none"/>
        </w:rPr>
        <w:t>工种配合中的一般性错误，容易修正，且不致造成影响使用效果或安全。</w:t>
      </w:r>
    </w:p>
    <w:p>
      <w:pPr>
        <w:spacing w:line="560" w:lineRule="exact"/>
        <w:rPr>
          <w:rFonts w:eastAsia="方正仿宋_GBK"/>
          <w:color w:val="auto"/>
          <w:sz w:val="24"/>
          <w:highlight w:val="none"/>
        </w:rPr>
      </w:pPr>
      <w:r>
        <w:rPr>
          <w:rFonts w:eastAsia="方正仿宋_GBK"/>
          <w:b/>
          <w:color w:val="auto"/>
          <w:sz w:val="24"/>
          <w:highlight w:val="none"/>
        </w:rPr>
        <w:t>三、施工图的质量等级</w:t>
      </w:r>
    </w:p>
    <w:p>
      <w:pPr>
        <w:spacing w:line="560" w:lineRule="exact"/>
        <w:ind w:left="360" w:hanging="360" w:hangingChars="150"/>
        <w:rPr>
          <w:rFonts w:eastAsia="方正仿宋_GBK"/>
          <w:color w:val="auto"/>
          <w:sz w:val="24"/>
          <w:highlight w:val="none"/>
        </w:rPr>
      </w:pPr>
      <w:r>
        <w:rPr>
          <w:rFonts w:eastAsia="方正仿宋_GBK"/>
          <w:color w:val="auto"/>
          <w:sz w:val="24"/>
          <w:highlight w:val="none"/>
        </w:rPr>
        <w:t>1、每张图纸质量评定：各专业施工图的质量标准，按每张A1施工图纸的错误性质和数量，分为优、良、合格、不合格四个等级。（其余图幅的图纸按照A1施工图大小进行线性折算）</w:t>
      </w:r>
    </w:p>
    <w:p>
      <w:pPr>
        <w:spacing w:line="560" w:lineRule="exact"/>
        <w:ind w:left="2160" w:hanging="2160" w:hangingChars="900"/>
        <w:rPr>
          <w:rFonts w:eastAsia="方正仿宋_GBK"/>
          <w:color w:val="auto"/>
          <w:sz w:val="24"/>
          <w:highlight w:val="none"/>
        </w:rPr>
      </w:pPr>
      <w:r>
        <w:rPr>
          <w:rFonts w:eastAsia="方正仿宋_GBK"/>
          <w:color w:val="auto"/>
          <w:sz w:val="24"/>
          <w:highlight w:val="none"/>
        </w:rPr>
        <w:t xml:space="preserve">      优级品 —— 平面图Ⅲ类错误不多于4个，其它图纸Ⅲ类错误不多于2个，且无Ⅰ、Ⅱ类错误者。</w:t>
      </w:r>
    </w:p>
    <w:p>
      <w:pPr>
        <w:spacing w:line="560" w:lineRule="exact"/>
        <w:ind w:left="2160" w:hanging="2160" w:hangingChars="900"/>
        <w:rPr>
          <w:rFonts w:eastAsia="方正仿宋_GBK"/>
          <w:color w:val="auto"/>
          <w:sz w:val="24"/>
          <w:highlight w:val="none"/>
        </w:rPr>
      </w:pPr>
      <w:r>
        <w:rPr>
          <w:rFonts w:eastAsia="方正仿宋_GBK"/>
          <w:color w:val="auto"/>
          <w:sz w:val="24"/>
          <w:highlight w:val="none"/>
        </w:rPr>
        <w:t xml:space="preserve">      良级品 —— 平面图Ⅲ类错误不多于8个，其它图纸Ⅲ类错误不多于6个；Ⅱ类错误不多于1个者。</w:t>
      </w:r>
    </w:p>
    <w:p>
      <w:pPr>
        <w:spacing w:line="560" w:lineRule="exact"/>
        <w:ind w:left="2160" w:hanging="2160" w:hangingChars="900"/>
        <w:rPr>
          <w:rFonts w:eastAsia="方正仿宋_GBK"/>
          <w:color w:val="auto"/>
          <w:sz w:val="24"/>
          <w:highlight w:val="none"/>
        </w:rPr>
      </w:pPr>
      <w:r>
        <w:rPr>
          <w:rFonts w:eastAsia="方正仿宋_GBK"/>
          <w:color w:val="auto"/>
          <w:sz w:val="24"/>
          <w:highlight w:val="none"/>
        </w:rPr>
        <w:t xml:space="preserve">      合格品 —— 平面图Ⅲ类错误不多于10个，其它图纸Ⅲ类错误不多于8个，Ⅱ类错误不多于2个者。</w:t>
      </w:r>
    </w:p>
    <w:p>
      <w:pPr>
        <w:spacing w:line="560" w:lineRule="exact"/>
        <w:ind w:left="2160" w:hanging="2160" w:hangingChars="900"/>
        <w:rPr>
          <w:rFonts w:eastAsia="方正仿宋_GBK"/>
          <w:color w:val="auto"/>
          <w:sz w:val="24"/>
          <w:highlight w:val="none"/>
        </w:rPr>
      </w:pPr>
      <w:r>
        <w:rPr>
          <w:rFonts w:eastAsia="方正仿宋_GBK"/>
          <w:color w:val="auto"/>
          <w:sz w:val="24"/>
          <w:highlight w:val="none"/>
        </w:rPr>
        <w:t xml:space="preserve">    不合格品 —— 平面图Ⅲ类错误多于10个，其它图纸Ⅲ类错误多于8个，Ⅱ类错误多于2个者。凡有Ⅰ类错误者均属不合格品。</w:t>
      </w:r>
    </w:p>
    <w:p>
      <w:pPr>
        <w:spacing w:line="360" w:lineRule="auto"/>
        <w:jc w:val="left"/>
        <w:rPr>
          <w:rFonts w:eastAsia="FangSong_GB2312"/>
          <w:color w:val="auto"/>
          <w:sz w:val="24"/>
          <w:highlight w:val="none"/>
        </w:rPr>
      </w:pPr>
    </w:p>
    <w:p>
      <w:pPr>
        <w:keepNext/>
        <w:keepLines/>
        <w:spacing w:before="260" w:after="260" w:line="416" w:lineRule="auto"/>
        <w:outlineLvl w:val="2"/>
        <w:rPr>
          <w:b/>
          <w:bCs/>
          <w:color w:val="auto"/>
          <w:sz w:val="32"/>
          <w:szCs w:val="32"/>
          <w:highlight w:val="none"/>
        </w:rPr>
      </w:pPr>
    </w:p>
    <w:p>
      <w:pPr>
        <w:rPr>
          <w:color w:val="auto"/>
          <w:highlight w:val="none"/>
        </w:rPr>
      </w:pPr>
    </w:p>
    <w:p>
      <w:pPr>
        <w:keepNext/>
        <w:keepLines/>
        <w:spacing w:before="260" w:after="260" w:line="416" w:lineRule="auto"/>
        <w:outlineLvl w:val="2"/>
        <w:rPr>
          <w:b/>
          <w:bCs/>
          <w:color w:val="auto"/>
          <w:sz w:val="32"/>
          <w:szCs w:val="32"/>
          <w:highlight w:val="none"/>
        </w:rPr>
      </w:pPr>
    </w:p>
    <w:p>
      <w:pPr>
        <w:keepNext/>
        <w:keepLines/>
        <w:spacing w:before="260" w:after="260" w:line="416" w:lineRule="auto"/>
        <w:outlineLvl w:val="2"/>
        <w:rPr>
          <w:b/>
          <w:bCs/>
          <w:color w:val="auto"/>
          <w:sz w:val="32"/>
          <w:szCs w:val="32"/>
          <w:highlight w:val="none"/>
        </w:rPr>
      </w:pPr>
    </w:p>
    <w:p>
      <w:pPr>
        <w:adjustRightInd w:val="0"/>
        <w:snapToGrid w:val="0"/>
        <w:spacing w:line="360" w:lineRule="auto"/>
        <w:jc w:val="center"/>
        <w:rPr>
          <w:rFonts w:ascii="FangSong_GB2312" w:hAnsi="FangSong_GB2312" w:eastAsia="FangSong_GB2312" w:cs="FangSong_GB2312"/>
          <w:b/>
          <w:color w:val="auto"/>
          <w:kern w:val="0"/>
          <w:sz w:val="28"/>
          <w:szCs w:val="28"/>
          <w:highlight w:val="none"/>
        </w:rPr>
      </w:pPr>
    </w:p>
    <w:p>
      <w:pPr>
        <w:jc w:val="center"/>
        <w:rPr>
          <w:rFonts w:ascii="FangSong_GB2312" w:hAnsi="FangSong_GB2312" w:eastAsia="FangSong_GB2312" w:cs="FangSong_GB2312"/>
          <w:b/>
          <w:color w:val="auto"/>
          <w:kern w:val="0"/>
          <w:sz w:val="28"/>
          <w:szCs w:val="28"/>
          <w:highlight w:val="non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- 22 -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45407"/>
    <w:multiLevelType w:val="multilevel"/>
    <w:tmpl w:val="27245407"/>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139635"/>
    <w:multiLevelType w:val="singleLevel"/>
    <w:tmpl w:val="6113963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mI3MWIzZTllNWI1ZmViNTg0NDQ0ODM5MGM3ZmUifQ=="/>
    <w:docVar w:name="KGWebUrl" w:val="http://10.106.1.2:8091/seeyon/officeservlet"/>
  </w:docVars>
  <w:rsids>
    <w:rsidRoot w:val="70F65CA1"/>
    <w:rsid w:val="00014AEE"/>
    <w:rsid w:val="00033169"/>
    <w:rsid w:val="0003497D"/>
    <w:rsid w:val="00074514"/>
    <w:rsid w:val="000832BB"/>
    <w:rsid w:val="000A040C"/>
    <w:rsid w:val="001340ED"/>
    <w:rsid w:val="00153ED3"/>
    <w:rsid w:val="00214169"/>
    <w:rsid w:val="00240843"/>
    <w:rsid w:val="002A03F5"/>
    <w:rsid w:val="003855C2"/>
    <w:rsid w:val="003C5E4C"/>
    <w:rsid w:val="004653A1"/>
    <w:rsid w:val="004F1B67"/>
    <w:rsid w:val="00662612"/>
    <w:rsid w:val="00673BE1"/>
    <w:rsid w:val="00675E62"/>
    <w:rsid w:val="0067772E"/>
    <w:rsid w:val="006A7CD0"/>
    <w:rsid w:val="006F3DE8"/>
    <w:rsid w:val="008173DA"/>
    <w:rsid w:val="00874C7B"/>
    <w:rsid w:val="009E47D6"/>
    <w:rsid w:val="009F1CF3"/>
    <w:rsid w:val="00A21C1A"/>
    <w:rsid w:val="00A70D5C"/>
    <w:rsid w:val="00A8240D"/>
    <w:rsid w:val="00AC2A04"/>
    <w:rsid w:val="00AE47C6"/>
    <w:rsid w:val="00B13A69"/>
    <w:rsid w:val="00B2155E"/>
    <w:rsid w:val="00B51AA3"/>
    <w:rsid w:val="00BC2B96"/>
    <w:rsid w:val="00C2331A"/>
    <w:rsid w:val="00C5712D"/>
    <w:rsid w:val="00CF3580"/>
    <w:rsid w:val="00D35C01"/>
    <w:rsid w:val="00D51636"/>
    <w:rsid w:val="00E41B03"/>
    <w:rsid w:val="00E92957"/>
    <w:rsid w:val="00ED74A8"/>
    <w:rsid w:val="00F05CBB"/>
    <w:rsid w:val="00F26959"/>
    <w:rsid w:val="00F4125C"/>
    <w:rsid w:val="00F43FE8"/>
    <w:rsid w:val="00F7462D"/>
    <w:rsid w:val="00F87C52"/>
    <w:rsid w:val="00FA7600"/>
    <w:rsid w:val="00FD736B"/>
    <w:rsid w:val="010A3860"/>
    <w:rsid w:val="01274AFE"/>
    <w:rsid w:val="01503184"/>
    <w:rsid w:val="01670052"/>
    <w:rsid w:val="017409A0"/>
    <w:rsid w:val="021C1E7D"/>
    <w:rsid w:val="02D702F2"/>
    <w:rsid w:val="02D76FBF"/>
    <w:rsid w:val="03913CBF"/>
    <w:rsid w:val="03F76A1A"/>
    <w:rsid w:val="04AA79D0"/>
    <w:rsid w:val="04CD134A"/>
    <w:rsid w:val="05C53AFE"/>
    <w:rsid w:val="05E404ED"/>
    <w:rsid w:val="064A36D3"/>
    <w:rsid w:val="069517AF"/>
    <w:rsid w:val="06994B16"/>
    <w:rsid w:val="06B805C0"/>
    <w:rsid w:val="06F90776"/>
    <w:rsid w:val="07074E0D"/>
    <w:rsid w:val="07707DC6"/>
    <w:rsid w:val="077A0F9D"/>
    <w:rsid w:val="078953AD"/>
    <w:rsid w:val="0813356C"/>
    <w:rsid w:val="081F1CA7"/>
    <w:rsid w:val="08281B4D"/>
    <w:rsid w:val="087A4CAC"/>
    <w:rsid w:val="08C41132"/>
    <w:rsid w:val="09D30404"/>
    <w:rsid w:val="0A3329B8"/>
    <w:rsid w:val="0A5D201F"/>
    <w:rsid w:val="0AC12BAA"/>
    <w:rsid w:val="0B330542"/>
    <w:rsid w:val="0B3D1620"/>
    <w:rsid w:val="0BA05E4E"/>
    <w:rsid w:val="0BED7188"/>
    <w:rsid w:val="0C4D7314"/>
    <w:rsid w:val="0D4A0330"/>
    <w:rsid w:val="0D842269"/>
    <w:rsid w:val="0E6B5D0D"/>
    <w:rsid w:val="0F784359"/>
    <w:rsid w:val="0F893465"/>
    <w:rsid w:val="0FC80267"/>
    <w:rsid w:val="105574FC"/>
    <w:rsid w:val="109D3F52"/>
    <w:rsid w:val="10BE1625"/>
    <w:rsid w:val="11655A24"/>
    <w:rsid w:val="11896011"/>
    <w:rsid w:val="123500F7"/>
    <w:rsid w:val="12E913AC"/>
    <w:rsid w:val="12F23E95"/>
    <w:rsid w:val="12F91695"/>
    <w:rsid w:val="12FB2CCA"/>
    <w:rsid w:val="130F3A0D"/>
    <w:rsid w:val="131E6BF9"/>
    <w:rsid w:val="13315FE0"/>
    <w:rsid w:val="133D58B1"/>
    <w:rsid w:val="134F0198"/>
    <w:rsid w:val="138E6060"/>
    <w:rsid w:val="13B413BA"/>
    <w:rsid w:val="13E448D0"/>
    <w:rsid w:val="14DF5145"/>
    <w:rsid w:val="15423CFC"/>
    <w:rsid w:val="15553119"/>
    <w:rsid w:val="15974272"/>
    <w:rsid w:val="15B75BD0"/>
    <w:rsid w:val="15D03CDC"/>
    <w:rsid w:val="16035B30"/>
    <w:rsid w:val="16100715"/>
    <w:rsid w:val="161A2669"/>
    <w:rsid w:val="16D651FE"/>
    <w:rsid w:val="1716782E"/>
    <w:rsid w:val="172315C0"/>
    <w:rsid w:val="17665838"/>
    <w:rsid w:val="177A4495"/>
    <w:rsid w:val="178A494E"/>
    <w:rsid w:val="178A6AA5"/>
    <w:rsid w:val="18BB5AE8"/>
    <w:rsid w:val="18F67207"/>
    <w:rsid w:val="19F5259E"/>
    <w:rsid w:val="1A2F0C5F"/>
    <w:rsid w:val="1A834997"/>
    <w:rsid w:val="1AAA5728"/>
    <w:rsid w:val="1AE6674D"/>
    <w:rsid w:val="1B6D5267"/>
    <w:rsid w:val="1C2A70AC"/>
    <w:rsid w:val="1C6B5B4D"/>
    <w:rsid w:val="1C907FFF"/>
    <w:rsid w:val="1D2043AA"/>
    <w:rsid w:val="1E3D6A5C"/>
    <w:rsid w:val="1E674F9D"/>
    <w:rsid w:val="1EB756CE"/>
    <w:rsid w:val="1F703DE9"/>
    <w:rsid w:val="1FA248B5"/>
    <w:rsid w:val="1FC614C8"/>
    <w:rsid w:val="1FEF04A2"/>
    <w:rsid w:val="20936B41"/>
    <w:rsid w:val="220E60BB"/>
    <w:rsid w:val="22155716"/>
    <w:rsid w:val="225331A7"/>
    <w:rsid w:val="228C1C17"/>
    <w:rsid w:val="22960054"/>
    <w:rsid w:val="22A03CC7"/>
    <w:rsid w:val="231C719A"/>
    <w:rsid w:val="23692CD8"/>
    <w:rsid w:val="2381233C"/>
    <w:rsid w:val="23AF35C5"/>
    <w:rsid w:val="24410952"/>
    <w:rsid w:val="24756F5D"/>
    <w:rsid w:val="24DB1D3C"/>
    <w:rsid w:val="24DE5D6E"/>
    <w:rsid w:val="25486A2A"/>
    <w:rsid w:val="25F40E5E"/>
    <w:rsid w:val="261D1D8B"/>
    <w:rsid w:val="26261ABD"/>
    <w:rsid w:val="265005C5"/>
    <w:rsid w:val="26813635"/>
    <w:rsid w:val="269D3E67"/>
    <w:rsid w:val="26C910BD"/>
    <w:rsid w:val="26F672D8"/>
    <w:rsid w:val="27023E81"/>
    <w:rsid w:val="271E60D7"/>
    <w:rsid w:val="2722756F"/>
    <w:rsid w:val="2726434C"/>
    <w:rsid w:val="27813098"/>
    <w:rsid w:val="27C91853"/>
    <w:rsid w:val="27CD77F4"/>
    <w:rsid w:val="280546E9"/>
    <w:rsid w:val="28100D3A"/>
    <w:rsid w:val="28774839"/>
    <w:rsid w:val="288043EA"/>
    <w:rsid w:val="28811A69"/>
    <w:rsid w:val="29416142"/>
    <w:rsid w:val="299506D8"/>
    <w:rsid w:val="29CC49AC"/>
    <w:rsid w:val="29E55882"/>
    <w:rsid w:val="2AB736F9"/>
    <w:rsid w:val="2AD9548E"/>
    <w:rsid w:val="2BC65973"/>
    <w:rsid w:val="2C713366"/>
    <w:rsid w:val="2C76538F"/>
    <w:rsid w:val="2CD067FA"/>
    <w:rsid w:val="2CEE3BAC"/>
    <w:rsid w:val="2CF01357"/>
    <w:rsid w:val="2D0A3479"/>
    <w:rsid w:val="2D2B463A"/>
    <w:rsid w:val="2DA5568C"/>
    <w:rsid w:val="2E5030D1"/>
    <w:rsid w:val="2E9C13C7"/>
    <w:rsid w:val="2F2000B5"/>
    <w:rsid w:val="2F63315A"/>
    <w:rsid w:val="30052F00"/>
    <w:rsid w:val="301A4121"/>
    <w:rsid w:val="301F0188"/>
    <w:rsid w:val="30EA6A04"/>
    <w:rsid w:val="30F42B1E"/>
    <w:rsid w:val="31493A2B"/>
    <w:rsid w:val="31D0402C"/>
    <w:rsid w:val="326E5807"/>
    <w:rsid w:val="3274389B"/>
    <w:rsid w:val="3290586D"/>
    <w:rsid w:val="32AC3345"/>
    <w:rsid w:val="32DC7935"/>
    <w:rsid w:val="330A4E56"/>
    <w:rsid w:val="331D6ED0"/>
    <w:rsid w:val="332C1E47"/>
    <w:rsid w:val="332E1A37"/>
    <w:rsid w:val="34AF1DBF"/>
    <w:rsid w:val="34ED4F41"/>
    <w:rsid w:val="35762B40"/>
    <w:rsid w:val="35C36017"/>
    <w:rsid w:val="35F22C9F"/>
    <w:rsid w:val="3635254C"/>
    <w:rsid w:val="365C0530"/>
    <w:rsid w:val="367161B9"/>
    <w:rsid w:val="36886961"/>
    <w:rsid w:val="369D3C32"/>
    <w:rsid w:val="369F4D96"/>
    <w:rsid w:val="36D042E9"/>
    <w:rsid w:val="36F4766A"/>
    <w:rsid w:val="371938C7"/>
    <w:rsid w:val="373425A2"/>
    <w:rsid w:val="37386534"/>
    <w:rsid w:val="37405FF3"/>
    <w:rsid w:val="37C970ED"/>
    <w:rsid w:val="385E7187"/>
    <w:rsid w:val="386466FD"/>
    <w:rsid w:val="389855E4"/>
    <w:rsid w:val="38E116E9"/>
    <w:rsid w:val="38EC7375"/>
    <w:rsid w:val="3973111F"/>
    <w:rsid w:val="39B21C2A"/>
    <w:rsid w:val="39D63874"/>
    <w:rsid w:val="3AB11500"/>
    <w:rsid w:val="3AEF3584"/>
    <w:rsid w:val="3B954675"/>
    <w:rsid w:val="3BAE38BA"/>
    <w:rsid w:val="3BE828F3"/>
    <w:rsid w:val="3CA8788B"/>
    <w:rsid w:val="3CCD52C1"/>
    <w:rsid w:val="3CDF051C"/>
    <w:rsid w:val="3D982C90"/>
    <w:rsid w:val="3DEC5353"/>
    <w:rsid w:val="3E017352"/>
    <w:rsid w:val="3E6928AF"/>
    <w:rsid w:val="3E786C94"/>
    <w:rsid w:val="3E793E58"/>
    <w:rsid w:val="3EE00F6E"/>
    <w:rsid w:val="3F0B285B"/>
    <w:rsid w:val="3F1C7F91"/>
    <w:rsid w:val="3F2F781C"/>
    <w:rsid w:val="3F350D4E"/>
    <w:rsid w:val="3F530E44"/>
    <w:rsid w:val="3F693533"/>
    <w:rsid w:val="3F6B7988"/>
    <w:rsid w:val="3FDC57C1"/>
    <w:rsid w:val="4010056F"/>
    <w:rsid w:val="40394622"/>
    <w:rsid w:val="40E55705"/>
    <w:rsid w:val="415E0847"/>
    <w:rsid w:val="416C4678"/>
    <w:rsid w:val="41CC51D2"/>
    <w:rsid w:val="4202137E"/>
    <w:rsid w:val="42500A31"/>
    <w:rsid w:val="42C03FEE"/>
    <w:rsid w:val="42E74DFE"/>
    <w:rsid w:val="434966DF"/>
    <w:rsid w:val="44675CBF"/>
    <w:rsid w:val="450E1D00"/>
    <w:rsid w:val="452C0D94"/>
    <w:rsid w:val="462F66E1"/>
    <w:rsid w:val="46A63ABD"/>
    <w:rsid w:val="46D05F3F"/>
    <w:rsid w:val="47221746"/>
    <w:rsid w:val="47314E7B"/>
    <w:rsid w:val="4739192D"/>
    <w:rsid w:val="47576894"/>
    <w:rsid w:val="47CB4D90"/>
    <w:rsid w:val="480F2C1A"/>
    <w:rsid w:val="482F7BEE"/>
    <w:rsid w:val="48AC6F61"/>
    <w:rsid w:val="48DD765B"/>
    <w:rsid w:val="494C3470"/>
    <w:rsid w:val="496414A9"/>
    <w:rsid w:val="49D61F5F"/>
    <w:rsid w:val="49EE7391"/>
    <w:rsid w:val="4A433DB0"/>
    <w:rsid w:val="4A751DA0"/>
    <w:rsid w:val="4AEB1EDF"/>
    <w:rsid w:val="4B1530DC"/>
    <w:rsid w:val="4B391C13"/>
    <w:rsid w:val="4B636E4A"/>
    <w:rsid w:val="4B724C0F"/>
    <w:rsid w:val="4BB327A3"/>
    <w:rsid w:val="4BBD7FBF"/>
    <w:rsid w:val="4CB4717E"/>
    <w:rsid w:val="4CB737F7"/>
    <w:rsid w:val="4CE34333"/>
    <w:rsid w:val="4D0252C6"/>
    <w:rsid w:val="4D032E0A"/>
    <w:rsid w:val="4D9C020B"/>
    <w:rsid w:val="4E126E6D"/>
    <w:rsid w:val="4E4C1E0A"/>
    <w:rsid w:val="4E6750EC"/>
    <w:rsid w:val="4E75766C"/>
    <w:rsid w:val="4E7F0F7A"/>
    <w:rsid w:val="4F3B1489"/>
    <w:rsid w:val="4F6A28A3"/>
    <w:rsid w:val="4F780A22"/>
    <w:rsid w:val="4F972FDE"/>
    <w:rsid w:val="50387866"/>
    <w:rsid w:val="50680DD6"/>
    <w:rsid w:val="50BC76DF"/>
    <w:rsid w:val="51B740E8"/>
    <w:rsid w:val="51E83863"/>
    <w:rsid w:val="51EC3042"/>
    <w:rsid w:val="51EE2D16"/>
    <w:rsid w:val="51F840B6"/>
    <w:rsid w:val="51FD61FC"/>
    <w:rsid w:val="520E58F9"/>
    <w:rsid w:val="52D8130E"/>
    <w:rsid w:val="531722E0"/>
    <w:rsid w:val="53410E3E"/>
    <w:rsid w:val="53563A4B"/>
    <w:rsid w:val="5365522F"/>
    <w:rsid w:val="5386050C"/>
    <w:rsid w:val="538A5910"/>
    <w:rsid w:val="539B17CF"/>
    <w:rsid w:val="542762DC"/>
    <w:rsid w:val="553956F2"/>
    <w:rsid w:val="55497EB3"/>
    <w:rsid w:val="55E0442A"/>
    <w:rsid w:val="55E757DB"/>
    <w:rsid w:val="55FF2FD3"/>
    <w:rsid w:val="56C1050B"/>
    <w:rsid w:val="57471163"/>
    <w:rsid w:val="57AD4714"/>
    <w:rsid w:val="57E058BB"/>
    <w:rsid w:val="58D07702"/>
    <w:rsid w:val="58EF6DB3"/>
    <w:rsid w:val="590217EF"/>
    <w:rsid w:val="59147A4D"/>
    <w:rsid w:val="59280E7C"/>
    <w:rsid w:val="59D3092E"/>
    <w:rsid w:val="5A440D9E"/>
    <w:rsid w:val="5A65593B"/>
    <w:rsid w:val="5A917CDD"/>
    <w:rsid w:val="5AD56307"/>
    <w:rsid w:val="5AFC1381"/>
    <w:rsid w:val="5B251A62"/>
    <w:rsid w:val="5B260737"/>
    <w:rsid w:val="5B3426D1"/>
    <w:rsid w:val="5BB70956"/>
    <w:rsid w:val="5BCA4D08"/>
    <w:rsid w:val="5BCC3FC2"/>
    <w:rsid w:val="5CE22D1F"/>
    <w:rsid w:val="5D1E240B"/>
    <w:rsid w:val="5E1D07CE"/>
    <w:rsid w:val="5E491C27"/>
    <w:rsid w:val="5E4A645E"/>
    <w:rsid w:val="5ED85749"/>
    <w:rsid w:val="5EF46B99"/>
    <w:rsid w:val="5F0C21B3"/>
    <w:rsid w:val="5F1E7314"/>
    <w:rsid w:val="5F336947"/>
    <w:rsid w:val="5F3F1CDE"/>
    <w:rsid w:val="5F580C55"/>
    <w:rsid w:val="5F9A6E5F"/>
    <w:rsid w:val="5FFA0ACF"/>
    <w:rsid w:val="601A2F16"/>
    <w:rsid w:val="604856BE"/>
    <w:rsid w:val="60831D0D"/>
    <w:rsid w:val="60900C15"/>
    <w:rsid w:val="60932CBD"/>
    <w:rsid w:val="616D18FC"/>
    <w:rsid w:val="617D3CA3"/>
    <w:rsid w:val="619D552A"/>
    <w:rsid w:val="61F45A7E"/>
    <w:rsid w:val="627F579F"/>
    <w:rsid w:val="62DC1206"/>
    <w:rsid w:val="62FD6C8D"/>
    <w:rsid w:val="63F9261B"/>
    <w:rsid w:val="63FD1BA2"/>
    <w:rsid w:val="644D0B68"/>
    <w:rsid w:val="64B54191"/>
    <w:rsid w:val="65AD6246"/>
    <w:rsid w:val="65FE7990"/>
    <w:rsid w:val="66A64F3D"/>
    <w:rsid w:val="67833256"/>
    <w:rsid w:val="67D9201E"/>
    <w:rsid w:val="67EF1461"/>
    <w:rsid w:val="67F04177"/>
    <w:rsid w:val="683A20F0"/>
    <w:rsid w:val="683B5D65"/>
    <w:rsid w:val="685C0318"/>
    <w:rsid w:val="690A4FF6"/>
    <w:rsid w:val="6961602D"/>
    <w:rsid w:val="6A1D421E"/>
    <w:rsid w:val="6A5A7287"/>
    <w:rsid w:val="6A5B4D74"/>
    <w:rsid w:val="6B0C288F"/>
    <w:rsid w:val="6B3C5283"/>
    <w:rsid w:val="6B4A450E"/>
    <w:rsid w:val="6B635557"/>
    <w:rsid w:val="6B99612D"/>
    <w:rsid w:val="6BA041A3"/>
    <w:rsid w:val="6C8C3CE3"/>
    <w:rsid w:val="6C923908"/>
    <w:rsid w:val="6E8813A5"/>
    <w:rsid w:val="6ECD4A8D"/>
    <w:rsid w:val="6F366108"/>
    <w:rsid w:val="6F533B7D"/>
    <w:rsid w:val="6F9F6524"/>
    <w:rsid w:val="6FE31760"/>
    <w:rsid w:val="703A436A"/>
    <w:rsid w:val="70B12DF5"/>
    <w:rsid w:val="70B301B1"/>
    <w:rsid w:val="70F65CA1"/>
    <w:rsid w:val="712C23C6"/>
    <w:rsid w:val="719528A2"/>
    <w:rsid w:val="71C070B8"/>
    <w:rsid w:val="71C13FD6"/>
    <w:rsid w:val="71C84B90"/>
    <w:rsid w:val="71CB07B5"/>
    <w:rsid w:val="73247722"/>
    <w:rsid w:val="73496E6B"/>
    <w:rsid w:val="73603199"/>
    <w:rsid w:val="73685B15"/>
    <w:rsid w:val="73D67E26"/>
    <w:rsid w:val="743B0014"/>
    <w:rsid w:val="7488416A"/>
    <w:rsid w:val="75CC14CC"/>
    <w:rsid w:val="75D34386"/>
    <w:rsid w:val="75D52686"/>
    <w:rsid w:val="76486659"/>
    <w:rsid w:val="766A2348"/>
    <w:rsid w:val="76765D3C"/>
    <w:rsid w:val="76AE6C9F"/>
    <w:rsid w:val="773025DF"/>
    <w:rsid w:val="776509BA"/>
    <w:rsid w:val="7784437B"/>
    <w:rsid w:val="77A5395F"/>
    <w:rsid w:val="77B20FD5"/>
    <w:rsid w:val="78656A60"/>
    <w:rsid w:val="786A4AA3"/>
    <w:rsid w:val="789673BC"/>
    <w:rsid w:val="78AC5D5A"/>
    <w:rsid w:val="78EF0141"/>
    <w:rsid w:val="791C1753"/>
    <w:rsid w:val="79AA0146"/>
    <w:rsid w:val="79AD54E9"/>
    <w:rsid w:val="79F942AD"/>
    <w:rsid w:val="7A1B7B0C"/>
    <w:rsid w:val="7A345E54"/>
    <w:rsid w:val="7A554E45"/>
    <w:rsid w:val="7A7C4804"/>
    <w:rsid w:val="7AE20597"/>
    <w:rsid w:val="7B806ABB"/>
    <w:rsid w:val="7BC24C2D"/>
    <w:rsid w:val="7BEE5120"/>
    <w:rsid w:val="7C0450D3"/>
    <w:rsid w:val="7C6416B1"/>
    <w:rsid w:val="7C7C215E"/>
    <w:rsid w:val="7CBA5771"/>
    <w:rsid w:val="7D8A0237"/>
    <w:rsid w:val="7D9A7916"/>
    <w:rsid w:val="7D9F7E10"/>
    <w:rsid w:val="7DD172E0"/>
    <w:rsid w:val="7E5C2299"/>
    <w:rsid w:val="7E63216D"/>
    <w:rsid w:val="7E84494B"/>
    <w:rsid w:val="7F19717B"/>
    <w:rsid w:val="7F2624D1"/>
    <w:rsid w:val="7F5C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62"/>
    <w:unhideWhenUsed/>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66"/>
    <w:unhideWhenUsed/>
    <w:qFormat/>
    <w:uiPriority w:val="9"/>
    <w:pPr>
      <w:autoSpaceDE w:val="0"/>
      <w:autoSpaceDN w:val="0"/>
      <w:adjustRightInd w:val="0"/>
      <w:spacing w:before="16"/>
      <w:jc w:val="left"/>
      <w:outlineLvl w:val="2"/>
    </w:pPr>
    <w:rPr>
      <w:rFonts w:ascii="FangSong_GB2312" w:eastAsia="FangSong_GB2312"/>
      <w:b/>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4"/>
    <w:unhideWhenUsed/>
    <w:qFormat/>
    <w:uiPriority w:val="0"/>
    <w:pPr>
      <w:spacing w:after="120"/>
    </w:pPr>
    <w:rPr>
      <w:szCs w:val="24"/>
    </w:rPr>
  </w:style>
  <w:style w:type="paragraph" w:styleId="6">
    <w:name w:val="annotation text"/>
    <w:basedOn w:val="1"/>
    <w:link w:val="67"/>
    <w:qFormat/>
    <w:uiPriority w:val="0"/>
    <w:pPr>
      <w:jc w:val="left"/>
    </w:pPr>
  </w:style>
  <w:style w:type="paragraph" w:styleId="7">
    <w:name w:val="Plain Text"/>
    <w:basedOn w:val="1"/>
    <w:link w:val="68"/>
    <w:qFormat/>
    <w:uiPriority w:val="0"/>
    <w:rPr>
      <w:rFonts w:ascii="宋体" w:hAnsi="Courier New"/>
      <w:szCs w:val="21"/>
    </w:rPr>
  </w:style>
  <w:style w:type="paragraph" w:styleId="8">
    <w:name w:val="Balloon Text"/>
    <w:basedOn w:val="1"/>
    <w:link w:val="72"/>
    <w:uiPriority w:val="0"/>
    <w:rPr>
      <w:sz w:val="18"/>
      <w:szCs w:val="18"/>
    </w:rPr>
  </w:style>
  <w:style w:type="paragraph" w:styleId="9">
    <w:name w:val="footer"/>
    <w:basedOn w:val="1"/>
    <w:link w:val="69"/>
    <w:qFormat/>
    <w:uiPriority w:val="99"/>
    <w:pPr>
      <w:tabs>
        <w:tab w:val="center" w:pos="4153"/>
        <w:tab w:val="right" w:pos="8306"/>
      </w:tabs>
      <w:snapToGrid w:val="0"/>
      <w:jc w:val="left"/>
    </w:pPr>
    <w:rPr>
      <w:sz w:val="18"/>
      <w:szCs w:val="18"/>
    </w:rPr>
  </w:style>
  <w:style w:type="paragraph" w:styleId="10">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caps/>
      <w:sz w:val="20"/>
    </w:rPr>
  </w:style>
  <w:style w:type="paragraph" w:styleId="12">
    <w:name w:val="annotation subject"/>
    <w:basedOn w:val="6"/>
    <w:next w:val="6"/>
    <w:link w:val="73"/>
    <w:uiPriority w:val="0"/>
    <w:rPr>
      <w:b/>
      <w:bCs/>
    </w:rPr>
  </w:style>
  <w:style w:type="paragraph" w:styleId="13">
    <w:name w:val="Body Text First Indent"/>
    <w:basedOn w:val="2"/>
    <w:link w:val="71"/>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2490F8"/>
      <w:u w:val="single"/>
    </w:rPr>
  </w:style>
  <w:style w:type="character" w:styleId="20">
    <w:name w:val="Hyperlink"/>
    <w:basedOn w:val="16"/>
    <w:qFormat/>
    <w:uiPriority w:val="0"/>
    <w:rPr>
      <w:color w:val="2490F8"/>
      <w:u w:val="single"/>
    </w:rPr>
  </w:style>
  <w:style w:type="character" w:styleId="21">
    <w:name w:val="annotation reference"/>
    <w:basedOn w:val="16"/>
    <w:qFormat/>
    <w:uiPriority w:val="0"/>
    <w:rPr>
      <w:sz w:val="21"/>
      <w:szCs w:val="21"/>
    </w:rPr>
  </w:style>
  <w:style w:type="character" w:customStyle="1" w:styleId="22">
    <w:name w:val="cy"/>
    <w:basedOn w:val="16"/>
    <w:qFormat/>
    <w:uiPriority w:val="0"/>
  </w:style>
  <w:style w:type="character" w:customStyle="1" w:styleId="23">
    <w:name w:val="w32"/>
    <w:basedOn w:val="16"/>
    <w:qFormat/>
    <w:uiPriority w:val="0"/>
  </w:style>
  <w:style w:type="character" w:customStyle="1" w:styleId="24">
    <w:name w:val="iconline2"/>
    <w:basedOn w:val="16"/>
    <w:qFormat/>
    <w:uiPriority w:val="0"/>
  </w:style>
  <w:style w:type="character" w:customStyle="1" w:styleId="25">
    <w:name w:val="iconline21"/>
    <w:basedOn w:val="16"/>
    <w:qFormat/>
    <w:uiPriority w:val="0"/>
  </w:style>
  <w:style w:type="character" w:customStyle="1" w:styleId="26">
    <w:name w:val="pagechatarealistclose_box"/>
    <w:basedOn w:val="16"/>
    <w:qFormat/>
    <w:uiPriority w:val="0"/>
  </w:style>
  <w:style w:type="character" w:customStyle="1" w:styleId="27">
    <w:name w:val="pagechatarealistclose_box1"/>
    <w:basedOn w:val="16"/>
    <w:qFormat/>
    <w:uiPriority w:val="0"/>
  </w:style>
  <w:style w:type="character" w:customStyle="1" w:styleId="28">
    <w:name w:val="drapbtn"/>
    <w:basedOn w:val="16"/>
    <w:qFormat/>
    <w:uiPriority w:val="0"/>
  </w:style>
  <w:style w:type="character" w:customStyle="1" w:styleId="29">
    <w:name w:val="active7"/>
    <w:basedOn w:val="16"/>
    <w:qFormat/>
    <w:uiPriority w:val="0"/>
    <w:rPr>
      <w:color w:val="00FF00"/>
      <w:shd w:val="clear" w:color="auto" w:fill="111111"/>
    </w:rPr>
  </w:style>
  <w:style w:type="character" w:customStyle="1" w:styleId="30">
    <w:name w:val="active8"/>
    <w:basedOn w:val="16"/>
    <w:qFormat/>
    <w:uiPriority w:val="0"/>
    <w:rPr>
      <w:shd w:val="clear" w:color="auto" w:fill="EC3535"/>
    </w:rPr>
  </w:style>
  <w:style w:type="character" w:customStyle="1" w:styleId="31">
    <w:name w:val="tmpztreemove_arrow"/>
    <w:basedOn w:val="16"/>
    <w:qFormat/>
    <w:uiPriority w:val="0"/>
  </w:style>
  <w:style w:type="character" w:customStyle="1" w:styleId="32">
    <w:name w:val="cdropright"/>
    <w:basedOn w:val="16"/>
    <w:qFormat/>
    <w:uiPriority w:val="0"/>
  </w:style>
  <w:style w:type="character" w:customStyle="1" w:styleId="33">
    <w:name w:val="icontext3"/>
    <w:basedOn w:val="16"/>
    <w:qFormat/>
    <w:uiPriority w:val="0"/>
  </w:style>
  <w:style w:type="character" w:customStyle="1" w:styleId="34">
    <w:name w:val="first-child"/>
    <w:basedOn w:val="16"/>
    <w:qFormat/>
    <w:uiPriority w:val="0"/>
  </w:style>
  <w:style w:type="character" w:customStyle="1" w:styleId="35">
    <w:name w:val="ico1653"/>
    <w:basedOn w:val="16"/>
    <w:qFormat/>
    <w:uiPriority w:val="0"/>
  </w:style>
  <w:style w:type="character" w:customStyle="1" w:styleId="36">
    <w:name w:val="ico1654"/>
    <w:basedOn w:val="16"/>
    <w:qFormat/>
    <w:uiPriority w:val="0"/>
  </w:style>
  <w:style w:type="character" w:customStyle="1" w:styleId="37">
    <w:name w:val="associateddata"/>
    <w:basedOn w:val="16"/>
    <w:qFormat/>
    <w:uiPriority w:val="0"/>
    <w:rPr>
      <w:shd w:val="clear" w:color="auto" w:fill="50A6F9"/>
    </w:rPr>
  </w:style>
  <w:style w:type="character" w:customStyle="1" w:styleId="38">
    <w:name w:val="cdropleft"/>
    <w:basedOn w:val="16"/>
    <w:qFormat/>
    <w:uiPriority w:val="0"/>
  </w:style>
  <w:style w:type="character" w:customStyle="1" w:styleId="39">
    <w:name w:val="after"/>
    <w:basedOn w:val="16"/>
    <w:qFormat/>
    <w:uiPriority w:val="0"/>
    <w:rPr>
      <w:sz w:val="0"/>
      <w:szCs w:val="0"/>
    </w:rPr>
  </w:style>
  <w:style w:type="character" w:customStyle="1" w:styleId="40">
    <w:name w:val="icontext1"/>
    <w:basedOn w:val="16"/>
    <w:qFormat/>
    <w:uiPriority w:val="0"/>
  </w:style>
  <w:style w:type="character" w:customStyle="1" w:styleId="41">
    <w:name w:val="icontext11"/>
    <w:basedOn w:val="16"/>
    <w:qFormat/>
    <w:uiPriority w:val="0"/>
  </w:style>
  <w:style w:type="character" w:customStyle="1" w:styleId="42">
    <w:name w:val="icontext12"/>
    <w:basedOn w:val="16"/>
    <w:qFormat/>
    <w:uiPriority w:val="0"/>
  </w:style>
  <w:style w:type="character" w:customStyle="1" w:styleId="43">
    <w:name w:val="icontext2"/>
    <w:basedOn w:val="16"/>
    <w:qFormat/>
    <w:uiPriority w:val="0"/>
  </w:style>
  <w:style w:type="character" w:customStyle="1" w:styleId="44">
    <w:name w:val="layui-layer-tabnow"/>
    <w:basedOn w:val="16"/>
    <w:qFormat/>
    <w:uiPriority w:val="0"/>
    <w:rPr>
      <w:bdr w:val="single" w:color="CCCCCC" w:sz="6" w:space="0"/>
      <w:shd w:val="clear" w:color="auto" w:fill="FFFFFF"/>
    </w:rPr>
  </w:style>
  <w:style w:type="character" w:customStyle="1" w:styleId="45">
    <w:name w:val="hilite5"/>
    <w:basedOn w:val="16"/>
    <w:qFormat/>
    <w:uiPriority w:val="0"/>
    <w:rPr>
      <w:color w:val="FFFFFF"/>
      <w:shd w:val="clear" w:color="auto" w:fill="666666"/>
    </w:rPr>
  </w:style>
  <w:style w:type="character" w:customStyle="1" w:styleId="46">
    <w:name w:val="button4"/>
    <w:basedOn w:val="16"/>
    <w:qFormat/>
    <w:uiPriority w:val="0"/>
  </w:style>
  <w:style w:type="character" w:customStyle="1" w:styleId="47">
    <w:name w:val="hilite6"/>
    <w:basedOn w:val="16"/>
    <w:qFormat/>
    <w:uiPriority w:val="0"/>
    <w:rPr>
      <w:color w:val="FFFFFF"/>
      <w:shd w:val="clear" w:color="auto" w:fill="666666"/>
    </w:rPr>
  </w:style>
  <w:style w:type="character" w:customStyle="1" w:styleId="48">
    <w:name w:val="ico1655"/>
    <w:basedOn w:val="16"/>
    <w:qFormat/>
    <w:uiPriority w:val="0"/>
  </w:style>
  <w:style w:type="character" w:customStyle="1" w:styleId="49">
    <w:name w:val="active5"/>
    <w:basedOn w:val="16"/>
    <w:qFormat/>
    <w:uiPriority w:val="0"/>
    <w:rPr>
      <w:color w:val="00FF00"/>
      <w:shd w:val="clear" w:color="auto" w:fill="111111"/>
    </w:rPr>
  </w:style>
  <w:style w:type="character" w:customStyle="1" w:styleId="50">
    <w:name w:val="active6"/>
    <w:basedOn w:val="16"/>
    <w:qFormat/>
    <w:uiPriority w:val="0"/>
    <w:rPr>
      <w:shd w:val="clear" w:color="auto" w:fill="EC3535"/>
    </w:rPr>
  </w:style>
  <w:style w:type="character" w:customStyle="1" w:styleId="51">
    <w:name w:val="active"/>
    <w:basedOn w:val="16"/>
    <w:qFormat/>
    <w:uiPriority w:val="0"/>
    <w:rPr>
      <w:color w:val="00FF00"/>
      <w:shd w:val="clear" w:color="auto" w:fill="111111"/>
    </w:rPr>
  </w:style>
  <w:style w:type="character" w:customStyle="1" w:styleId="52">
    <w:name w:val="active1"/>
    <w:basedOn w:val="16"/>
    <w:qFormat/>
    <w:uiPriority w:val="0"/>
    <w:rPr>
      <w:shd w:val="clear" w:color="auto" w:fill="EC3535"/>
    </w:rPr>
  </w:style>
  <w:style w:type="character" w:customStyle="1" w:styleId="53">
    <w:name w:val="hilite"/>
    <w:basedOn w:val="16"/>
    <w:qFormat/>
    <w:uiPriority w:val="0"/>
    <w:rPr>
      <w:color w:val="FFFFFF"/>
      <w:shd w:val="clear" w:color="auto" w:fill="666666"/>
    </w:rPr>
  </w:style>
  <w:style w:type="character" w:customStyle="1" w:styleId="54">
    <w:name w:val="button"/>
    <w:basedOn w:val="16"/>
    <w:qFormat/>
    <w:uiPriority w:val="0"/>
  </w:style>
  <w:style w:type="character" w:customStyle="1" w:styleId="55">
    <w:name w:val="ico16"/>
    <w:basedOn w:val="16"/>
    <w:qFormat/>
    <w:uiPriority w:val="0"/>
  </w:style>
  <w:style w:type="character" w:customStyle="1" w:styleId="56">
    <w:name w:val="ico161"/>
    <w:basedOn w:val="16"/>
    <w:qFormat/>
    <w:uiPriority w:val="0"/>
  </w:style>
  <w:style w:type="character" w:customStyle="1" w:styleId="57">
    <w:name w:val="active4"/>
    <w:basedOn w:val="16"/>
    <w:qFormat/>
    <w:uiPriority w:val="0"/>
    <w:rPr>
      <w:color w:val="00FF00"/>
      <w:shd w:val="clear" w:color="auto" w:fill="111111"/>
    </w:rPr>
  </w:style>
  <w:style w:type="character" w:customStyle="1" w:styleId="58">
    <w:name w:val="active2"/>
    <w:basedOn w:val="16"/>
    <w:qFormat/>
    <w:uiPriority w:val="0"/>
    <w:rPr>
      <w:color w:val="00FF00"/>
      <w:shd w:val="clear" w:color="auto" w:fill="111111"/>
    </w:rPr>
  </w:style>
  <w:style w:type="character" w:customStyle="1" w:styleId="59">
    <w:name w:val="active3"/>
    <w:basedOn w:val="16"/>
    <w:qFormat/>
    <w:uiPriority w:val="0"/>
    <w:rPr>
      <w:shd w:val="clear" w:color="auto" w:fill="EC3535"/>
    </w:rPr>
  </w:style>
  <w:style w:type="character" w:customStyle="1" w:styleId="60">
    <w:name w:val="hilite4"/>
    <w:basedOn w:val="16"/>
    <w:qFormat/>
    <w:uiPriority w:val="0"/>
    <w:rPr>
      <w:color w:val="FFFFFF"/>
      <w:shd w:val="clear" w:color="auto" w:fill="666666"/>
    </w:rPr>
  </w:style>
  <w:style w:type="character" w:customStyle="1" w:styleId="61">
    <w:name w:val="ico1652"/>
    <w:basedOn w:val="16"/>
    <w:qFormat/>
    <w:uiPriority w:val="0"/>
  </w:style>
  <w:style w:type="character" w:customStyle="1" w:styleId="62">
    <w:name w:val="标题 2 字符"/>
    <w:link w:val="4"/>
    <w:qFormat/>
    <w:uiPriority w:val="0"/>
    <w:rPr>
      <w:rFonts w:ascii="Cambria" w:hAnsi="Cambria"/>
      <w:b/>
      <w:bCs/>
      <w:sz w:val="32"/>
      <w:szCs w:val="32"/>
    </w:rPr>
  </w:style>
  <w:style w:type="character" w:customStyle="1" w:styleId="63">
    <w:name w:val="NormalCharacter"/>
    <w:qFormat/>
    <w:uiPriority w:val="0"/>
  </w:style>
  <w:style w:type="character" w:customStyle="1" w:styleId="64">
    <w:name w:val="正文文本 字符"/>
    <w:basedOn w:val="16"/>
    <w:link w:val="2"/>
    <w:qFormat/>
    <w:uiPriority w:val="0"/>
    <w:rPr>
      <w:rFonts w:ascii="Times New Roman" w:hAnsi="Times New Roman"/>
      <w:kern w:val="2"/>
      <w:sz w:val="21"/>
      <w:szCs w:val="24"/>
    </w:rPr>
  </w:style>
  <w:style w:type="character" w:customStyle="1" w:styleId="65">
    <w:name w:val="标题 1 字符"/>
    <w:basedOn w:val="16"/>
    <w:link w:val="3"/>
    <w:uiPriority w:val="0"/>
    <w:rPr>
      <w:rFonts w:ascii="宋体" w:hAnsi="宋体"/>
      <w:b/>
      <w:kern w:val="44"/>
      <w:sz w:val="48"/>
      <w:szCs w:val="48"/>
    </w:rPr>
  </w:style>
  <w:style w:type="character" w:customStyle="1" w:styleId="66">
    <w:name w:val="标题 3 字符"/>
    <w:basedOn w:val="16"/>
    <w:link w:val="5"/>
    <w:uiPriority w:val="9"/>
    <w:rPr>
      <w:rFonts w:ascii="FangSong_GB2312" w:hAnsi="Times New Roman" w:eastAsia="FangSong_GB2312"/>
      <w:b/>
      <w:kern w:val="2"/>
      <w:sz w:val="24"/>
    </w:rPr>
  </w:style>
  <w:style w:type="character" w:customStyle="1" w:styleId="67">
    <w:name w:val="批注文字 字符"/>
    <w:basedOn w:val="16"/>
    <w:link w:val="6"/>
    <w:qFormat/>
    <w:uiPriority w:val="0"/>
    <w:rPr>
      <w:rFonts w:ascii="Times New Roman" w:hAnsi="Times New Roman"/>
      <w:kern w:val="2"/>
      <w:sz w:val="21"/>
    </w:rPr>
  </w:style>
  <w:style w:type="character" w:customStyle="1" w:styleId="68">
    <w:name w:val="纯文本 字符"/>
    <w:basedOn w:val="16"/>
    <w:link w:val="7"/>
    <w:uiPriority w:val="0"/>
    <w:rPr>
      <w:rFonts w:ascii="宋体" w:hAnsi="Courier New"/>
      <w:kern w:val="2"/>
      <w:sz w:val="21"/>
      <w:szCs w:val="21"/>
    </w:rPr>
  </w:style>
  <w:style w:type="character" w:customStyle="1" w:styleId="69">
    <w:name w:val="页脚 字符"/>
    <w:basedOn w:val="16"/>
    <w:link w:val="9"/>
    <w:qFormat/>
    <w:uiPriority w:val="99"/>
    <w:rPr>
      <w:rFonts w:ascii="Times New Roman" w:hAnsi="Times New Roman"/>
      <w:kern w:val="2"/>
      <w:sz w:val="18"/>
      <w:szCs w:val="18"/>
    </w:rPr>
  </w:style>
  <w:style w:type="character" w:customStyle="1" w:styleId="70">
    <w:name w:val="页眉 字符"/>
    <w:basedOn w:val="16"/>
    <w:link w:val="10"/>
    <w:qFormat/>
    <w:uiPriority w:val="0"/>
    <w:rPr>
      <w:rFonts w:ascii="Times New Roman" w:hAnsi="Times New Roman"/>
      <w:kern w:val="2"/>
      <w:sz w:val="18"/>
      <w:szCs w:val="18"/>
    </w:rPr>
  </w:style>
  <w:style w:type="character" w:customStyle="1" w:styleId="71">
    <w:name w:val="正文文本首行缩进 字符"/>
    <w:basedOn w:val="64"/>
    <w:link w:val="13"/>
    <w:uiPriority w:val="0"/>
    <w:rPr>
      <w:rFonts w:ascii="Times New Roman" w:hAnsi="Times New Roman"/>
      <w:kern w:val="2"/>
      <w:sz w:val="21"/>
      <w:szCs w:val="24"/>
    </w:rPr>
  </w:style>
  <w:style w:type="character" w:customStyle="1" w:styleId="72">
    <w:name w:val="批注框文本 字符"/>
    <w:basedOn w:val="16"/>
    <w:link w:val="8"/>
    <w:uiPriority w:val="0"/>
    <w:rPr>
      <w:rFonts w:ascii="Times New Roman" w:hAnsi="Times New Roman"/>
      <w:kern w:val="2"/>
      <w:sz w:val="18"/>
      <w:szCs w:val="18"/>
    </w:rPr>
  </w:style>
  <w:style w:type="character" w:customStyle="1" w:styleId="73">
    <w:name w:val="批注主题 字符"/>
    <w:basedOn w:val="67"/>
    <w:link w:val="12"/>
    <w:uiPriority w:val="0"/>
    <w:rPr>
      <w:rFonts w:ascii="Times New Roman" w:hAnsi="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11552</Words>
  <Characters>12080</Characters>
  <Lines>96</Lines>
  <Paragraphs>27</Paragraphs>
  <TotalTime>22</TotalTime>
  <ScaleCrop>false</ScaleCrop>
  <LinksUpToDate>false</LinksUpToDate>
  <CharactersWithSpaces>13104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2022-11-23T06:08:00Z</dcterms:created>
  <dc:creator>高晶</dc:creator>
  <cp:lastModifiedBy>Orangeric</cp:lastModifiedBy>
  <cp:lastPrinted>2020-01-14T06:07:00Z</cp:lastPrinted>
  <dcterms:modified xsi:type="dcterms:W3CDTF">2022-11-26T10:13:45Z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FE783FDD75CD42A1A07337EA2152743B</vt:lpwstr>
  </property>
</Properties>
</file>