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仿宋_GBK"/>
          <w:b/>
          <w:sz w:val="32"/>
          <w:szCs w:val="32"/>
        </w:rPr>
      </w:pPr>
      <w:r>
        <w:rPr>
          <w:rFonts w:eastAsia="方正仿宋_GBK"/>
          <w:b/>
          <w:sz w:val="32"/>
          <w:szCs w:val="32"/>
        </w:rPr>
        <w:t>重庆城市综合交通枢纽(集团)有限公司</w:t>
      </w:r>
    </w:p>
    <w:p>
      <w:pPr>
        <w:spacing w:line="500" w:lineRule="exact"/>
        <w:jc w:val="center"/>
        <w:rPr>
          <w:rFonts w:eastAsia="方正仿宋_GBK"/>
          <w:b/>
          <w:sz w:val="32"/>
          <w:szCs w:val="32"/>
        </w:rPr>
      </w:pPr>
      <w:r>
        <w:rPr>
          <w:rFonts w:hint="eastAsia" w:eastAsia="方正仿宋_GBK"/>
          <w:b/>
          <w:sz w:val="32"/>
          <w:szCs w:val="32"/>
        </w:rPr>
        <w:t>空港公交维保场、南坪东路临时过渡公交站场项目边坡工程第三方监测服务</w:t>
      </w:r>
      <w:r>
        <w:rPr>
          <w:rFonts w:eastAsia="方正仿宋_GBK"/>
          <w:b/>
          <w:sz w:val="32"/>
          <w:szCs w:val="32"/>
        </w:rPr>
        <w:t>竞争性比选</w:t>
      </w:r>
      <w:r>
        <w:rPr>
          <w:rFonts w:hint="eastAsia" w:eastAsia="方正仿宋_GBK"/>
          <w:b/>
          <w:sz w:val="32"/>
          <w:szCs w:val="32"/>
        </w:rPr>
        <w:t>文件</w:t>
      </w:r>
    </w:p>
    <w:p>
      <w:pPr>
        <w:pStyle w:val="2"/>
        <w:ind w:firstLine="210"/>
      </w:pPr>
    </w:p>
    <w:p>
      <w:pPr>
        <w:ind w:firstLine="560" w:firstLineChars="200"/>
        <w:jc w:val="left"/>
        <w:rPr>
          <w:rFonts w:eastAsia="方正仿宋_GBK"/>
          <w:sz w:val="28"/>
          <w:szCs w:val="28"/>
        </w:rPr>
      </w:pPr>
      <w:r>
        <w:rPr>
          <w:rFonts w:eastAsia="方正仿宋_GBK"/>
          <w:sz w:val="28"/>
          <w:szCs w:val="28"/>
        </w:rPr>
        <w:t>我司拟开展</w:t>
      </w:r>
      <w:r>
        <w:rPr>
          <w:rFonts w:hint="eastAsia" w:eastAsia="方正仿宋_GBK"/>
          <w:sz w:val="28"/>
          <w:szCs w:val="28"/>
        </w:rPr>
        <w:t>空港公交维保场、南坪东路临时过渡公交站场项目边坡工程第三方监测服务</w:t>
      </w:r>
      <w:r>
        <w:rPr>
          <w:rFonts w:eastAsia="方正仿宋_GBK"/>
          <w:sz w:val="28"/>
          <w:szCs w:val="28"/>
        </w:rPr>
        <w:t>工作，本次</w:t>
      </w:r>
      <w:r>
        <w:rPr>
          <w:rFonts w:hint="eastAsia" w:eastAsia="方正仿宋_GBK"/>
          <w:sz w:val="28"/>
          <w:szCs w:val="28"/>
        </w:rPr>
        <w:t>监测服务</w:t>
      </w:r>
      <w:r>
        <w:rPr>
          <w:rFonts w:eastAsia="方正仿宋_GBK"/>
          <w:sz w:val="28"/>
          <w:szCs w:val="28"/>
        </w:rPr>
        <w:t xml:space="preserve">单位的确定将采用比选方式进行。现邀请贵单位作为潜在比选人之一参加报价和比选。具体项目情况如下：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22" w:type="dxa"/>
            <w:gridSpan w:val="2"/>
            <w:vAlign w:val="center"/>
          </w:tcPr>
          <w:p>
            <w:pPr>
              <w:rPr>
                <w:rFonts w:eastAsia="方正仿宋_GBK"/>
                <w:sz w:val="24"/>
                <w:szCs w:val="24"/>
                <w:highlight w:val="none"/>
              </w:rPr>
            </w:pPr>
            <w:r>
              <w:rPr>
                <w:rFonts w:eastAsia="方正仿宋_GBK"/>
                <w:sz w:val="24"/>
                <w:szCs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项目名称</w:t>
            </w:r>
          </w:p>
        </w:tc>
        <w:tc>
          <w:tcPr>
            <w:tcW w:w="6471" w:type="dxa"/>
            <w:vAlign w:val="center"/>
          </w:tcPr>
          <w:p>
            <w:pPr>
              <w:ind w:firstLine="480" w:firstLineChars="200"/>
              <w:rPr>
                <w:rFonts w:eastAsia="方正仿宋_GBK"/>
                <w:sz w:val="24"/>
                <w:szCs w:val="24"/>
                <w:highlight w:val="none"/>
              </w:rPr>
            </w:pPr>
            <w:bookmarkStart w:id="0" w:name="_Hlk96435922"/>
            <w:r>
              <w:rPr>
                <w:rFonts w:hint="eastAsia" w:eastAsia="方正仿宋_GBK"/>
                <w:sz w:val="24"/>
                <w:szCs w:val="24"/>
                <w:highlight w:val="none"/>
              </w:rPr>
              <w:t>空港公交维保场、南坪东路临时过渡公交站场项目边坡工程第三方监测服务</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项目具体概况</w:t>
            </w:r>
          </w:p>
        </w:tc>
        <w:tc>
          <w:tcPr>
            <w:tcW w:w="6471" w:type="dxa"/>
            <w:vAlign w:val="center"/>
          </w:tcPr>
          <w:p>
            <w:pPr>
              <w:ind w:firstLine="480" w:firstLineChars="200"/>
              <w:rPr>
                <w:rFonts w:eastAsia="方正仿宋_GBK"/>
                <w:sz w:val="24"/>
                <w:szCs w:val="24"/>
                <w:highlight w:val="none"/>
              </w:rPr>
            </w:pPr>
            <w:r>
              <w:rPr>
                <w:rFonts w:hint="eastAsia" w:eastAsia="方正仿宋_GBK"/>
                <w:sz w:val="24"/>
                <w:szCs w:val="24"/>
                <w:highlight w:val="none"/>
              </w:rPr>
              <w:t>南坪东路临时过渡公交站场地处南坪东路，位于南坪商圈核心区，占地面积约16860.33平方米。场地周边设置挡墙共3段，长度约</w:t>
            </w:r>
            <w:r>
              <w:rPr>
                <w:rFonts w:eastAsia="方正仿宋_GBK"/>
                <w:sz w:val="24"/>
                <w:szCs w:val="24"/>
                <w:highlight w:val="none"/>
              </w:rPr>
              <w:t>290</w:t>
            </w:r>
            <w:r>
              <w:rPr>
                <w:rFonts w:hint="eastAsia" w:eastAsia="方正仿宋_GBK"/>
                <w:sz w:val="24"/>
                <w:szCs w:val="24"/>
                <w:highlight w:val="none"/>
              </w:rPr>
              <w:t>m；</w:t>
            </w:r>
          </w:p>
          <w:p>
            <w:pPr>
              <w:pStyle w:val="2"/>
              <w:ind w:firstLine="240"/>
              <w:rPr>
                <w:rFonts w:eastAsia="方正仿宋_GBK"/>
                <w:sz w:val="24"/>
                <w:highlight w:val="none"/>
              </w:rPr>
            </w:pPr>
            <w:r>
              <w:rPr>
                <w:rFonts w:hint="eastAsia" w:eastAsia="方正仿宋_GBK"/>
                <w:sz w:val="24"/>
                <w:highlight w:val="none"/>
              </w:rPr>
              <w:t>空港公交维保场位于渝北区长凯路366号附近，总用地面积为22027平方米</w:t>
            </w:r>
            <w:r>
              <w:rPr>
                <w:rFonts w:eastAsia="方正仿宋_GBK"/>
                <w:sz w:val="24"/>
                <w:highlight w:val="none"/>
              </w:rPr>
              <w:t>,</w:t>
            </w:r>
            <w:r>
              <w:rPr>
                <w:rFonts w:hint="eastAsia" w:eastAsia="方正仿宋_GBK"/>
                <w:sz w:val="24"/>
                <w:highlight w:val="none"/>
              </w:rPr>
              <w:t>场地周边设置桩板墙272米，建筑物3栋。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工期</w:t>
            </w:r>
          </w:p>
        </w:tc>
        <w:tc>
          <w:tcPr>
            <w:tcW w:w="6471" w:type="dxa"/>
            <w:vAlign w:val="center"/>
          </w:tcPr>
          <w:p>
            <w:pPr>
              <w:ind w:firstLine="480" w:firstLineChars="200"/>
              <w:rPr>
                <w:rFonts w:eastAsia="方正仿宋_GBK"/>
                <w:sz w:val="24"/>
                <w:szCs w:val="24"/>
                <w:highlight w:val="none"/>
              </w:rPr>
            </w:pPr>
            <w:r>
              <w:rPr>
                <w:rFonts w:hint="eastAsia" w:eastAsia="方正仿宋_GBK"/>
                <w:sz w:val="24"/>
                <w:szCs w:val="24"/>
                <w:highlight w:val="none"/>
              </w:rPr>
              <w:t>南坪东路临时过渡公交站场项目运营效果监测暂定24个月。</w:t>
            </w:r>
          </w:p>
          <w:p>
            <w:pPr>
              <w:ind w:firstLine="480" w:firstLineChars="200"/>
              <w:rPr>
                <w:rFonts w:eastAsia="方正仿宋_GBK"/>
                <w:sz w:val="24"/>
                <w:szCs w:val="24"/>
                <w:highlight w:val="none"/>
              </w:rPr>
            </w:pPr>
            <w:r>
              <w:rPr>
                <w:rFonts w:hint="eastAsia" w:eastAsia="方正仿宋_GBK"/>
                <w:sz w:val="24"/>
                <w:szCs w:val="24"/>
                <w:highlight w:val="none"/>
              </w:rPr>
              <w:t>空港公交维保场项目边坡工程施工监测暂定6个月，运营效果监测暂定24个月；房屋沉降监测暂定24个月。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预计开完工时间</w:t>
            </w:r>
          </w:p>
        </w:tc>
        <w:tc>
          <w:tcPr>
            <w:tcW w:w="6471" w:type="dxa"/>
            <w:vAlign w:val="center"/>
          </w:tcPr>
          <w:p>
            <w:pPr>
              <w:ind w:firstLine="480" w:firstLineChars="200"/>
              <w:rPr>
                <w:rFonts w:eastAsia="方正仿宋_GBK"/>
                <w:sz w:val="24"/>
                <w:szCs w:val="24"/>
                <w:highlight w:val="none"/>
              </w:rPr>
            </w:pPr>
            <w:r>
              <w:rPr>
                <w:rFonts w:hint="eastAsia" w:eastAsia="方正仿宋_GBK"/>
                <w:sz w:val="24"/>
                <w:szCs w:val="24"/>
                <w:highlight w:val="none"/>
              </w:rPr>
              <w:t>本项目预计开工时间为2022年1</w:t>
            </w:r>
            <w:r>
              <w:rPr>
                <w:rFonts w:eastAsia="方正仿宋_GBK"/>
                <w:sz w:val="24"/>
                <w:szCs w:val="24"/>
                <w:highlight w:val="none"/>
              </w:rPr>
              <w:t>0</w:t>
            </w:r>
            <w:r>
              <w:rPr>
                <w:rFonts w:hint="eastAsia" w:eastAsia="方正仿宋_GBK"/>
                <w:sz w:val="24"/>
                <w:szCs w:val="24"/>
                <w:highlight w:val="none"/>
              </w:rPr>
              <w:t>月（具体时间以招标人通知时间为准）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eastAsia="方正仿宋_GBK"/>
                <w:sz w:val="24"/>
                <w:szCs w:val="24"/>
                <w:highlight w:val="none"/>
              </w:rPr>
            </w:pPr>
            <w:r>
              <w:rPr>
                <w:rFonts w:eastAsia="方正仿宋_GBK"/>
                <w:sz w:val="24"/>
                <w:szCs w:val="24"/>
                <w:highlight w:val="none"/>
              </w:rPr>
              <w:t>二、比选人须知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highlight w:val="none"/>
              </w:rPr>
            </w:pPr>
            <w:r>
              <w:rPr>
                <w:rFonts w:eastAsia="方正仿宋_GBK"/>
                <w:sz w:val="24"/>
                <w:szCs w:val="24"/>
                <w:highlight w:val="none"/>
              </w:rPr>
              <w:t>比选范围及内容</w:t>
            </w:r>
          </w:p>
        </w:tc>
        <w:tc>
          <w:tcPr>
            <w:tcW w:w="6471" w:type="dxa"/>
            <w:vAlign w:val="center"/>
          </w:tcPr>
          <w:p>
            <w:pPr>
              <w:ind w:firstLine="480" w:firstLineChars="200"/>
              <w:rPr>
                <w:rFonts w:hint="eastAsia" w:eastAsia="方正仿宋_GBK"/>
                <w:sz w:val="24"/>
                <w:szCs w:val="24"/>
                <w:highlight w:val="none"/>
                <w:lang w:eastAsia="zh-CN"/>
              </w:rPr>
            </w:pPr>
            <w:r>
              <w:rPr>
                <w:rFonts w:hint="eastAsia" w:eastAsia="方正仿宋_GBK"/>
                <w:sz w:val="24"/>
                <w:szCs w:val="24"/>
                <w:highlight w:val="none"/>
              </w:rPr>
              <w:t>1.结合本项目实际情况编制边坡监测实施方案，确保通过</w:t>
            </w:r>
            <w:r>
              <w:rPr>
                <w:rFonts w:hint="eastAsia" w:eastAsia="方正仿宋_GBK"/>
                <w:sz w:val="24"/>
                <w:szCs w:val="24"/>
                <w:highlight w:val="none"/>
                <w:lang w:val="en-US" w:eastAsia="zh-CN"/>
              </w:rPr>
              <w:t>甲方审核</w:t>
            </w:r>
            <w:r>
              <w:rPr>
                <w:rFonts w:hint="eastAsia" w:eastAsia="方正仿宋_GBK"/>
                <w:sz w:val="24"/>
                <w:szCs w:val="24"/>
                <w:highlight w:val="none"/>
              </w:rPr>
              <w:t>；预估监测点63个，其中挡墙、边坡顶部平面、竖向位移监测点数39个，周边建筑物沉降监测26个，监测量为1316点·次</w:t>
            </w:r>
            <w:r>
              <w:rPr>
                <w:rFonts w:hint="eastAsia" w:eastAsia="方正仿宋_GBK"/>
                <w:sz w:val="24"/>
                <w:szCs w:val="24"/>
                <w:highlight w:val="none"/>
                <w:lang w:eastAsia="zh-CN"/>
              </w:rPr>
              <w:t>（</w:t>
            </w:r>
            <w:r>
              <w:rPr>
                <w:rFonts w:hint="eastAsia" w:eastAsia="方正仿宋_GBK"/>
                <w:sz w:val="24"/>
                <w:szCs w:val="24"/>
                <w:highlight w:val="none"/>
                <w:lang w:val="en-US" w:eastAsia="zh-CN"/>
              </w:rPr>
              <w:t>详见：《监测点</w:t>
            </w:r>
            <w:r>
              <w:rPr>
                <w:rFonts w:hint="eastAsia" w:eastAsia="方正仿宋_GBK"/>
                <w:sz w:val="24"/>
                <w:szCs w:val="24"/>
                <w:highlight w:val="none"/>
              </w:rPr>
              <w:t>·</w:t>
            </w:r>
            <w:r>
              <w:rPr>
                <w:rFonts w:hint="eastAsia" w:eastAsia="方正仿宋_GBK"/>
                <w:sz w:val="24"/>
                <w:szCs w:val="24"/>
                <w:highlight w:val="none"/>
                <w:lang w:val="en-US" w:eastAsia="zh-CN"/>
              </w:rPr>
              <w:t>次预估数量表》</w:t>
            </w:r>
            <w:r>
              <w:rPr>
                <w:rFonts w:hint="eastAsia" w:eastAsia="方正仿宋_GBK"/>
                <w:sz w:val="24"/>
                <w:szCs w:val="24"/>
                <w:highlight w:val="none"/>
                <w:lang w:eastAsia="zh-CN"/>
              </w:rPr>
              <w:t>）</w:t>
            </w:r>
            <w:r>
              <w:rPr>
                <w:rFonts w:hint="eastAsia" w:eastAsia="方正仿宋_GBK"/>
                <w:sz w:val="24"/>
                <w:szCs w:val="24"/>
                <w:highlight w:val="none"/>
              </w:rPr>
              <w:t>，具体监测点位布置及监测频次以评审通过的监测实施方案为准，最终实施的监测项目总点次不得低于1316点·次</w:t>
            </w:r>
            <w:r>
              <w:rPr>
                <w:rFonts w:hint="eastAsia" w:eastAsia="方正仿宋_GBK"/>
                <w:sz w:val="24"/>
                <w:szCs w:val="24"/>
                <w:highlight w:val="none"/>
                <w:lang w:eastAsia="zh-CN"/>
              </w:rPr>
              <w:t>；</w:t>
            </w:r>
          </w:p>
          <w:p>
            <w:pPr>
              <w:ind w:firstLine="480" w:firstLineChars="200"/>
              <w:rPr>
                <w:rFonts w:eastAsia="方正仿宋_GBK"/>
                <w:sz w:val="24"/>
                <w:szCs w:val="24"/>
                <w:highlight w:val="none"/>
              </w:rPr>
            </w:pPr>
            <w:r>
              <w:rPr>
                <w:rFonts w:hint="eastAsia" w:eastAsia="方正仿宋_GBK"/>
                <w:sz w:val="24"/>
                <w:szCs w:val="24"/>
                <w:highlight w:val="none"/>
              </w:rPr>
              <w:t>2. 根据边坡治理工程特点，选择监测变量，结合地表、应力等监测手段，完善监测网布置，做好桩板墙、高切坡、周边建筑物的监测；</w:t>
            </w:r>
          </w:p>
          <w:p>
            <w:pPr>
              <w:ind w:firstLine="480" w:firstLineChars="200"/>
              <w:rPr>
                <w:rFonts w:eastAsia="方正仿宋_GBK"/>
                <w:sz w:val="24"/>
                <w:szCs w:val="24"/>
                <w:highlight w:val="none"/>
              </w:rPr>
            </w:pPr>
            <w:r>
              <w:rPr>
                <w:rFonts w:hint="eastAsia" w:eastAsia="方正仿宋_GBK"/>
                <w:sz w:val="24"/>
                <w:szCs w:val="24"/>
                <w:highlight w:val="none"/>
              </w:rPr>
              <w:t>3.</w:t>
            </w:r>
            <w:r>
              <w:rPr>
                <w:rFonts w:hint="eastAsia"/>
                <w:highlight w:val="none"/>
              </w:rPr>
              <w:t xml:space="preserve"> </w:t>
            </w:r>
            <w:r>
              <w:rPr>
                <w:rFonts w:hint="eastAsia" w:eastAsia="方正仿宋_GBK"/>
                <w:sz w:val="24"/>
                <w:szCs w:val="24"/>
                <w:highlight w:val="none"/>
              </w:rPr>
              <w:t>南坪东路临时过渡公交站场项目边坡挡墙工程营运期间效果监测工作；空港公交维保场项目边坡挡墙工程施工监测和营运期间效果监测工作；采用旋挖桩桩基础的房屋沉降变形监测工作。</w:t>
            </w:r>
          </w:p>
          <w:p>
            <w:pPr>
              <w:ind w:firstLine="480" w:firstLineChars="200"/>
              <w:rPr>
                <w:rFonts w:eastAsia="方正仿宋_GBK"/>
                <w:sz w:val="24"/>
                <w:szCs w:val="24"/>
                <w:highlight w:val="none"/>
              </w:rPr>
            </w:pPr>
            <w:r>
              <w:rPr>
                <w:rFonts w:hint="eastAsia" w:eastAsia="方正仿宋_GBK"/>
                <w:sz w:val="24"/>
                <w:szCs w:val="24"/>
                <w:highlight w:val="none"/>
              </w:rPr>
              <w:t>4.应及时发现异常情况，应立即通知参建各单位共同研究解决办法。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比选被邀请人资格要求</w:t>
            </w:r>
          </w:p>
        </w:tc>
        <w:tc>
          <w:tcPr>
            <w:tcW w:w="6471" w:type="dxa"/>
            <w:vAlign w:val="center"/>
          </w:tcPr>
          <w:p>
            <w:pPr>
              <w:ind w:firstLine="480" w:firstLineChars="200"/>
              <w:rPr>
                <w:rFonts w:eastAsia="方正仿宋_GBK"/>
                <w:sz w:val="24"/>
                <w:szCs w:val="24"/>
                <w:highlight w:val="none"/>
              </w:rPr>
            </w:pPr>
            <w:bookmarkStart w:id="1" w:name="_Hlk96933259"/>
            <w:r>
              <w:rPr>
                <w:rFonts w:hint="eastAsia" w:eastAsia="方正仿宋_GBK"/>
                <w:sz w:val="24"/>
                <w:szCs w:val="24"/>
                <w:highlight w:val="none"/>
              </w:rPr>
              <w:t>1.营业执照</w:t>
            </w:r>
          </w:p>
          <w:p>
            <w:pPr>
              <w:ind w:firstLine="480" w:firstLineChars="200"/>
              <w:rPr>
                <w:rFonts w:eastAsia="方正仿宋_GBK"/>
                <w:sz w:val="24"/>
                <w:szCs w:val="24"/>
                <w:highlight w:val="none"/>
              </w:rPr>
            </w:pPr>
            <w:r>
              <w:rPr>
                <w:rFonts w:hint="eastAsia" w:eastAsia="方正仿宋_GBK"/>
                <w:sz w:val="24"/>
                <w:szCs w:val="24"/>
                <w:highlight w:val="none"/>
              </w:rPr>
              <w:t>具备独立法人资格，具备有效的营业执照；</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（提供有效的营业执照（正、副本均可）复印件）</w:t>
            </w:r>
          </w:p>
          <w:p>
            <w:pPr>
              <w:ind w:firstLine="480" w:firstLineChars="200"/>
              <w:rPr>
                <w:rFonts w:eastAsia="方正仿宋_GBK"/>
                <w:sz w:val="24"/>
                <w:szCs w:val="24"/>
                <w:highlight w:val="none"/>
              </w:rPr>
            </w:pPr>
            <w:r>
              <w:rPr>
                <w:rFonts w:hint="eastAsia" w:eastAsia="方正仿宋_GBK"/>
                <w:sz w:val="24"/>
                <w:szCs w:val="24"/>
                <w:highlight w:val="none"/>
              </w:rPr>
              <w:t>2.资质要求</w:t>
            </w:r>
          </w:p>
          <w:p>
            <w:pPr>
              <w:ind w:firstLine="480" w:firstLineChars="200"/>
              <w:rPr>
                <w:rFonts w:eastAsia="方正仿宋_GBK"/>
                <w:sz w:val="24"/>
                <w:szCs w:val="24"/>
                <w:highlight w:val="none"/>
              </w:rPr>
            </w:pPr>
            <w:r>
              <w:rPr>
                <w:rFonts w:hint="eastAsia" w:eastAsia="方正仿宋_GBK"/>
                <w:sz w:val="24"/>
                <w:szCs w:val="24"/>
                <w:highlight w:val="none"/>
              </w:rPr>
              <w:t>须具备工程勘察综合类甲级或乙级及以上测绘资质；</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（须提供有效的资质证书原件（正、副本均可）复印件）</w:t>
            </w:r>
          </w:p>
          <w:p>
            <w:pPr>
              <w:ind w:firstLine="480" w:firstLineChars="200"/>
              <w:rPr>
                <w:rFonts w:eastAsia="方正仿宋_GBK"/>
                <w:sz w:val="24"/>
                <w:szCs w:val="24"/>
                <w:highlight w:val="none"/>
              </w:rPr>
            </w:pPr>
            <w:r>
              <w:rPr>
                <w:rFonts w:hint="eastAsia" w:eastAsia="方正仿宋_GBK"/>
                <w:sz w:val="24"/>
                <w:szCs w:val="24"/>
                <w:highlight w:val="none"/>
              </w:rPr>
              <w:t>3.业绩要求</w:t>
            </w:r>
          </w:p>
          <w:p>
            <w:pPr>
              <w:ind w:firstLine="480" w:firstLineChars="200"/>
              <w:rPr>
                <w:rFonts w:eastAsia="方正仿宋_GBK"/>
                <w:sz w:val="24"/>
                <w:szCs w:val="24"/>
                <w:highlight w:val="none"/>
              </w:rPr>
            </w:pPr>
            <w:r>
              <w:rPr>
                <w:rFonts w:hint="eastAsia" w:eastAsia="方正仿宋_GBK"/>
                <w:sz w:val="24"/>
                <w:szCs w:val="24"/>
                <w:highlight w:val="none"/>
              </w:rPr>
              <w:t>2019年1月1日至比选截止日(以竣工时间为准)，比选被邀请人应具有单个合同金额不低于25万元的工程监测业绩1个及以上。</w:t>
            </w:r>
          </w:p>
          <w:bookmarkEnd w:id="1"/>
          <w:p>
            <w:pPr>
              <w:ind w:firstLine="480" w:firstLineChars="200"/>
              <w:rPr>
                <w:rFonts w:eastAsia="方正仿宋_GBK"/>
                <w:sz w:val="24"/>
                <w:szCs w:val="24"/>
                <w:highlight w:val="none"/>
              </w:rPr>
            </w:pPr>
            <w:bookmarkStart w:id="2" w:name="_Hlk96933316"/>
            <w:r>
              <w:rPr>
                <w:rFonts w:hint="eastAsia" w:ascii="方正仿宋_GBK" w:hAnsi="方正仿宋_GBK" w:eastAsia="方正仿宋_GBK" w:cs="方正仿宋_GBK"/>
                <w:sz w:val="24"/>
                <w:szCs w:val="24"/>
                <w:highlight w:val="none"/>
              </w:rPr>
              <w:t>（须提供合同复印件</w:t>
            </w:r>
            <w:bookmarkEnd w:id="2"/>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比选文件递交时间、地点及比选文件份数</w:t>
            </w:r>
          </w:p>
        </w:tc>
        <w:tc>
          <w:tcPr>
            <w:tcW w:w="6471" w:type="dxa"/>
            <w:vAlign w:val="center"/>
          </w:tcPr>
          <w:p>
            <w:pPr>
              <w:spacing w:line="440" w:lineRule="exact"/>
              <w:ind w:left="240" w:hanging="240" w:hangingChars="100"/>
              <w:rPr>
                <w:rFonts w:eastAsia="方正仿宋_GBK"/>
                <w:sz w:val="24"/>
                <w:szCs w:val="24"/>
                <w:highlight w:val="none"/>
              </w:rPr>
            </w:pPr>
            <w:r>
              <w:rPr>
                <w:rFonts w:eastAsia="方正仿宋_GBK"/>
                <w:sz w:val="24"/>
                <w:szCs w:val="24"/>
                <w:highlight w:val="none"/>
              </w:rPr>
              <w:t xml:space="preserve">递交时间： </w:t>
            </w:r>
            <w:r>
              <w:rPr>
                <w:rFonts w:hint="eastAsia" w:ascii="仿宋" w:hAnsi="仿宋" w:eastAsia="仿宋" w:cs="仿宋"/>
                <w:sz w:val="24"/>
                <w:szCs w:val="24"/>
                <w:highlight w:val="none"/>
              </w:rPr>
              <w:t>2022 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 至2022年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r>
              <w:rPr>
                <w:rFonts w:eastAsia="方正仿宋_GBK"/>
                <w:sz w:val="24"/>
                <w:szCs w:val="24"/>
                <w:highlight w:val="none"/>
              </w:rPr>
              <w:t xml:space="preserve">。    </w:t>
            </w:r>
          </w:p>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递交地点：在规定时间内发送到邮箱anzhibu2022@163.com  联系人：夏先生  88602693</w:t>
            </w:r>
          </w:p>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比选时间：于2022年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bookmarkStart w:id="4" w:name="_GoBack"/>
            <w:bookmarkEnd w:id="4"/>
          </w:p>
          <w:p>
            <w:pPr>
              <w:spacing w:line="440" w:lineRule="exact"/>
              <w:rPr>
                <w:rFonts w:eastAsia="方正仿宋_GBK"/>
                <w:color w:val="0000FF"/>
                <w:sz w:val="24"/>
                <w:szCs w:val="24"/>
                <w:highlight w:val="none"/>
              </w:rPr>
            </w:pPr>
            <w:r>
              <w:rPr>
                <w:rFonts w:hint="eastAsia" w:ascii="仿宋" w:hAnsi="仿宋" w:eastAsia="仿宋" w:cs="仿宋"/>
                <w:sz w:val="24"/>
                <w:szCs w:val="24"/>
                <w:highlight w:val="none"/>
              </w:rPr>
              <w:t>比选文件份数：扫描文件1份，资料需加盖鲜章。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限价及比选报价要求</w:t>
            </w:r>
          </w:p>
        </w:tc>
        <w:tc>
          <w:tcPr>
            <w:tcW w:w="6471" w:type="dxa"/>
            <w:vAlign w:val="center"/>
          </w:tcPr>
          <w:p>
            <w:pPr>
              <w:spacing w:line="380" w:lineRule="exact"/>
              <w:ind w:firstLine="480" w:firstLineChars="20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szCs w:val="24"/>
                <w:highlight w:val="none"/>
              </w:rPr>
              <w:t>限价：采用总价包干，</w:t>
            </w:r>
            <w:bookmarkStart w:id="3" w:name="_Hlk96435975"/>
            <w:r>
              <w:rPr>
                <w:rFonts w:hint="default" w:ascii="Times New Roman" w:hAnsi="Times New Roman" w:eastAsia="方正仿宋_GBK" w:cs="Times New Roman"/>
                <w:sz w:val="24"/>
                <w:szCs w:val="24"/>
                <w:highlight w:val="none"/>
              </w:rPr>
              <w:t>限价32.31万元</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其中南坪东路临时过渡公交站场项目</w:t>
            </w:r>
            <w:r>
              <w:rPr>
                <w:rFonts w:hint="eastAsia" w:eastAsia="方正仿宋_GBK" w:cs="Times New Roman"/>
                <w:sz w:val="24"/>
                <w:szCs w:val="24"/>
                <w:highlight w:val="none"/>
                <w:lang w:val="en-US" w:eastAsia="zh-CN"/>
              </w:rPr>
              <w:t>限价</w:t>
            </w:r>
            <w:r>
              <w:rPr>
                <w:rFonts w:hint="default" w:ascii="Times New Roman" w:hAnsi="Times New Roman" w:eastAsia="方正仿宋_GBK" w:cs="Times New Roman"/>
                <w:sz w:val="24"/>
                <w:szCs w:val="24"/>
                <w:highlight w:val="none"/>
              </w:rPr>
              <w:t>12.45万元，空港公交维保场项目</w:t>
            </w:r>
            <w:r>
              <w:rPr>
                <w:rFonts w:hint="eastAsia" w:eastAsia="方正仿宋_GBK" w:cs="Times New Roman"/>
                <w:sz w:val="24"/>
                <w:szCs w:val="24"/>
                <w:highlight w:val="none"/>
                <w:lang w:val="en-US" w:eastAsia="zh-CN"/>
              </w:rPr>
              <w:t>限价</w:t>
            </w:r>
            <w:r>
              <w:rPr>
                <w:rFonts w:hint="default" w:ascii="Times New Roman" w:hAnsi="Times New Roman" w:eastAsia="方正仿宋_GBK" w:cs="Times New Roman"/>
                <w:sz w:val="24"/>
                <w:szCs w:val="24"/>
                <w:highlight w:val="none"/>
              </w:rPr>
              <w:t>19.86万元</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w:t>
            </w:r>
            <w:bookmarkEnd w:id="3"/>
          </w:p>
          <w:p>
            <w:pPr>
              <w:pStyle w:val="2"/>
              <w:ind w:firstLine="480" w:firstLineChars="200"/>
              <w:rPr>
                <w:rFonts w:hint="eastAsia" w:eastAsia="方正仿宋_GBK"/>
                <w:sz w:val="24"/>
                <w:highlight w:val="none"/>
              </w:rPr>
            </w:pPr>
            <w:r>
              <w:rPr>
                <w:rFonts w:hint="eastAsia" w:eastAsia="方正仿宋_GBK"/>
                <w:sz w:val="24"/>
                <w:highlight w:val="none"/>
              </w:rPr>
              <w:t>结算: 总价</w:t>
            </w:r>
            <w:r>
              <w:rPr>
                <w:rFonts w:eastAsia="方正仿宋_GBK"/>
                <w:sz w:val="24"/>
                <w:highlight w:val="none"/>
              </w:rPr>
              <w:t>包干</w:t>
            </w:r>
            <w:r>
              <w:rPr>
                <w:rFonts w:hint="eastAsia" w:eastAsia="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费用支付方式</w:t>
            </w:r>
          </w:p>
        </w:tc>
        <w:tc>
          <w:tcPr>
            <w:tcW w:w="6471" w:type="dxa"/>
            <w:vAlign w:val="center"/>
          </w:tcPr>
          <w:p>
            <w:pPr>
              <w:pStyle w:val="2"/>
              <w:spacing w:line="240" w:lineRule="auto"/>
              <w:ind w:firstLine="480" w:firstLineChars="200"/>
              <w:rPr>
                <w:rFonts w:eastAsia="方正仿宋_GBK"/>
                <w:sz w:val="24"/>
                <w:highlight w:val="none"/>
              </w:rPr>
            </w:pPr>
            <w:r>
              <w:rPr>
                <w:rFonts w:hint="eastAsia" w:eastAsia="方正仿宋_GBK"/>
                <w:sz w:val="24"/>
                <w:highlight w:val="none"/>
              </w:rPr>
              <w:t>1.</w:t>
            </w:r>
            <w:r>
              <w:rPr>
                <w:rFonts w:hint="eastAsia" w:ascii="方正仿宋_GBK" w:hAnsi="方正仿宋_GBK" w:eastAsia="方正仿宋_GBK" w:cs="方正仿宋_GBK"/>
                <w:snapToGrid w:val="0"/>
                <w:kern w:val="0"/>
                <w:sz w:val="24"/>
                <w:szCs w:val="24"/>
                <w:highlight w:val="none"/>
                <w:lang w:val="en-US" w:eastAsia="zh-CN"/>
              </w:rPr>
              <w:t>监测费用</w:t>
            </w:r>
            <w:r>
              <w:rPr>
                <w:rFonts w:hint="eastAsia" w:ascii="方正仿宋_GBK" w:hAnsi="方正仿宋_GBK" w:eastAsia="方正仿宋_GBK" w:cs="方正仿宋_GBK"/>
                <w:snapToGrid w:val="0"/>
                <w:kern w:val="0"/>
                <w:sz w:val="24"/>
                <w:szCs w:val="24"/>
                <w:highlight w:val="none"/>
              </w:rPr>
              <w:t>按项目分别进行支付</w:t>
            </w:r>
            <w:r>
              <w:rPr>
                <w:rFonts w:hint="eastAsia" w:ascii="方正仿宋_GBK" w:hAnsi="方正仿宋_GBK" w:eastAsia="方正仿宋_GBK" w:cs="方正仿宋_GBK"/>
                <w:snapToGrid w:val="0"/>
                <w:kern w:val="0"/>
                <w:sz w:val="24"/>
                <w:szCs w:val="24"/>
                <w:highlight w:val="none"/>
                <w:lang w:eastAsia="zh-CN"/>
              </w:rPr>
              <w:t>。</w:t>
            </w:r>
            <w:r>
              <w:rPr>
                <w:rFonts w:hint="eastAsia" w:eastAsia="方正仿宋_GBK"/>
                <w:sz w:val="24"/>
                <w:highlight w:val="none"/>
              </w:rPr>
              <w:t>本工程无预付款，按照通过审批的监测实施方案，中选人完成第一次布点并通过甲方认可后，支付该项目监测费的20%；</w:t>
            </w:r>
          </w:p>
          <w:p>
            <w:pPr>
              <w:pStyle w:val="2"/>
              <w:spacing w:line="240" w:lineRule="auto"/>
              <w:ind w:firstLine="480" w:firstLineChars="200"/>
              <w:rPr>
                <w:rFonts w:eastAsia="方正仿宋_GBK"/>
                <w:sz w:val="24"/>
                <w:highlight w:val="none"/>
              </w:rPr>
            </w:pPr>
            <w:r>
              <w:rPr>
                <w:rFonts w:hint="eastAsia" w:eastAsia="方正仿宋_GBK"/>
                <w:sz w:val="24"/>
                <w:highlight w:val="none"/>
              </w:rPr>
              <w:t>2.自首轮监测工作开始满12个月，并按期提交阶段性监测报告后，支付该项目监测费用的40%；</w:t>
            </w:r>
          </w:p>
          <w:p>
            <w:pPr>
              <w:pStyle w:val="2"/>
              <w:spacing w:line="240" w:lineRule="auto"/>
              <w:ind w:firstLine="480" w:firstLineChars="200"/>
              <w:rPr>
                <w:rFonts w:hint="eastAsia" w:eastAsia="方正仿宋_GBK"/>
                <w:sz w:val="24"/>
                <w:highlight w:val="none"/>
              </w:rPr>
            </w:pPr>
            <w:r>
              <w:rPr>
                <w:rFonts w:hint="eastAsia" w:eastAsia="方正仿宋_GBK"/>
                <w:sz w:val="24"/>
                <w:highlight w:val="none"/>
              </w:rPr>
              <w:t>3.运行效果监测2年完工并向甲方提交监测报告后30日内，甲方付完剩余监测费用。</w:t>
            </w:r>
          </w:p>
          <w:p>
            <w:pPr>
              <w:pStyle w:val="2"/>
              <w:spacing w:line="240" w:lineRule="auto"/>
              <w:ind w:firstLine="480" w:firstLineChars="200"/>
              <w:rPr>
                <w:rFonts w:hint="eastAsia" w:eastAsia="方正仿宋_GBK"/>
                <w:sz w:val="24"/>
                <w:highlight w:val="none"/>
              </w:rPr>
            </w:pPr>
            <w:r>
              <w:rPr>
                <w:rFonts w:hint="eastAsia" w:eastAsia="方正仿宋_GBK"/>
                <w:sz w:val="24"/>
                <w:highlight w:val="none"/>
              </w:rPr>
              <w:t>以上费用乙方按照甲方要求出具相应</w:t>
            </w:r>
            <w:r>
              <w:rPr>
                <w:rFonts w:hint="eastAsia" w:eastAsia="方正仿宋_GBK"/>
                <w:sz w:val="24"/>
                <w:highlight w:val="none"/>
                <w:lang w:val="en-US" w:eastAsia="zh-CN"/>
              </w:rPr>
              <w:t>增值税专用</w:t>
            </w:r>
            <w:r>
              <w:rPr>
                <w:rFonts w:hint="eastAsia" w:eastAsia="方正仿宋_GBK"/>
                <w:sz w:val="24"/>
                <w:highlight w:val="none"/>
              </w:rPr>
              <w:t>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hint="eastAsia" w:eastAsia="方正仿宋_GBK"/>
                <w:sz w:val="24"/>
                <w:szCs w:val="24"/>
                <w:highlight w:val="none"/>
              </w:rPr>
              <w:t>标段划分（如有）</w:t>
            </w:r>
          </w:p>
        </w:tc>
        <w:tc>
          <w:tcPr>
            <w:tcW w:w="6471" w:type="dxa"/>
            <w:vAlign w:val="center"/>
          </w:tcPr>
          <w:p>
            <w:pPr>
              <w:spacing w:line="440" w:lineRule="exact"/>
              <w:rPr>
                <w:rFonts w:eastAsia="方正仿宋_GBK"/>
                <w:sz w:val="24"/>
                <w:szCs w:val="24"/>
                <w:highlight w:val="none"/>
              </w:rPr>
            </w:pPr>
            <w:r>
              <w:rPr>
                <w:rFonts w:hint="eastAsia" w:eastAsia="方正仿宋_GBK"/>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highlight w:val="none"/>
              </w:rPr>
            </w:pPr>
            <w:r>
              <w:rPr>
                <w:rFonts w:eastAsia="方正仿宋_GBK"/>
                <w:sz w:val="24"/>
                <w:szCs w:val="24"/>
                <w:highlight w:val="none"/>
              </w:rPr>
              <w:t>其他需告知比选被邀请人的要求</w:t>
            </w:r>
            <w:r>
              <w:rPr>
                <w:rFonts w:hint="eastAsia" w:eastAsia="方正仿宋_GBK"/>
                <w:sz w:val="24"/>
                <w:szCs w:val="24"/>
                <w:highlight w:val="none"/>
              </w:rPr>
              <w:t>（如有）</w:t>
            </w:r>
          </w:p>
        </w:tc>
        <w:tc>
          <w:tcPr>
            <w:tcW w:w="6471" w:type="dxa"/>
            <w:vAlign w:val="center"/>
          </w:tcPr>
          <w:p>
            <w:pPr>
              <w:spacing w:line="440" w:lineRule="exact"/>
              <w:rPr>
                <w:rFonts w:eastAsia="方正仿宋_GBK"/>
                <w:sz w:val="24"/>
                <w:szCs w:val="24"/>
                <w:highlight w:val="none"/>
              </w:rPr>
            </w:pPr>
            <w:r>
              <w:rPr>
                <w:rFonts w:hint="eastAsia" w:eastAsia="方正仿宋_GBK"/>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highlight w:val="none"/>
              </w:rPr>
            </w:pPr>
            <w:r>
              <w:rPr>
                <w:rFonts w:eastAsia="方正仿宋_GBK"/>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ind w:firstLine="480" w:firstLineChars="200"/>
              <w:rPr>
                <w:rFonts w:eastAsia="方正仿宋_GBK"/>
                <w:sz w:val="24"/>
                <w:szCs w:val="24"/>
                <w:highlight w:val="none"/>
              </w:rPr>
            </w:pPr>
            <w:r>
              <w:rPr>
                <w:rFonts w:eastAsia="方正仿宋_GBK"/>
                <w:sz w:val="24"/>
                <w:szCs w:val="24"/>
                <w:highlight w:val="none"/>
              </w:rPr>
              <w:t>评审方式：比选文件递交截止后，当众在电子邮箱内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竞选人进行资格评审）。若不满足比选文件邀请函要求，对排名第二的候选单位进行评审，以此类推。对未中选情况不做解释。若出现候选单位报价完全一致的情况，评选小组以抽签的形式确定中选人。</w:t>
            </w:r>
          </w:p>
          <w:p>
            <w:pPr>
              <w:spacing w:line="440" w:lineRule="exact"/>
              <w:ind w:firstLine="480" w:firstLineChars="200"/>
              <w:rPr>
                <w:rFonts w:eastAsia="方正仿宋_GBK"/>
                <w:sz w:val="24"/>
                <w:szCs w:val="24"/>
                <w:highlight w:val="none"/>
              </w:rPr>
            </w:pPr>
            <w:r>
              <w:rPr>
                <w:rFonts w:hint="eastAsia" w:eastAsia="方正仿宋_GBK"/>
                <w:sz w:val="24"/>
                <w:szCs w:val="24"/>
                <w:highlight w:val="none"/>
              </w:rPr>
              <w:t>若排名第一的候选单位在重庆城市综合交通枢纽(集团)有限公司以往承接的任务中合同履约情况较差，服务配合不好，则发包人有权否决其比选。</w:t>
            </w:r>
          </w:p>
          <w:p>
            <w:pPr>
              <w:pStyle w:val="2"/>
              <w:ind w:firstLine="2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2" w:type="dxa"/>
            <w:gridSpan w:val="2"/>
            <w:vAlign w:val="center"/>
          </w:tcPr>
          <w:p>
            <w:pPr>
              <w:spacing w:line="440" w:lineRule="exact"/>
              <w:rPr>
                <w:rFonts w:eastAsia="方正仿宋_GBK"/>
                <w:sz w:val="24"/>
                <w:szCs w:val="24"/>
                <w:highlight w:val="none"/>
              </w:rPr>
            </w:pPr>
            <w:r>
              <w:rPr>
                <w:rFonts w:eastAsia="方正仿宋_GBK"/>
                <w:sz w:val="24"/>
                <w:szCs w:val="24"/>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8522" w:type="dxa"/>
            <w:gridSpan w:val="2"/>
            <w:vAlign w:val="center"/>
          </w:tcPr>
          <w:p>
            <w:pPr>
              <w:numPr>
                <w:ilvl w:val="0"/>
                <w:numId w:val="2"/>
              </w:numPr>
              <w:spacing w:line="440" w:lineRule="exact"/>
              <w:rPr>
                <w:rFonts w:eastAsia="方正仿宋_GBK"/>
                <w:sz w:val="24"/>
                <w:szCs w:val="24"/>
                <w:highlight w:val="none"/>
              </w:rPr>
            </w:pPr>
            <w:r>
              <w:rPr>
                <w:rFonts w:eastAsia="方正仿宋_GBK"/>
                <w:sz w:val="24"/>
                <w:szCs w:val="24"/>
                <w:highlight w:val="none"/>
              </w:rPr>
              <w:t>比选文件包括但不限于以下内容：（1）比选函；（2）营业执照、企业资质证书复印件；（3）法定代表人或授权代理人身份证明及授权委托书；（4）公司业绩</w:t>
            </w:r>
            <w:r>
              <w:rPr>
                <w:rFonts w:eastAsia="方正仿宋_GBK"/>
                <w:color w:val="auto"/>
                <w:sz w:val="24"/>
                <w:szCs w:val="24"/>
                <w:highlight w:val="none"/>
              </w:rPr>
              <w:t>。</w:t>
            </w:r>
            <w:r>
              <w:rPr>
                <w:rFonts w:eastAsia="方正仿宋_GBK"/>
                <w:sz w:val="24"/>
                <w:szCs w:val="24"/>
                <w:highlight w:val="none"/>
              </w:rPr>
              <w:t xml:space="preserve">  </w:t>
            </w:r>
          </w:p>
          <w:p>
            <w:pPr>
              <w:numPr>
                <w:ilvl w:val="0"/>
                <w:numId w:val="2"/>
              </w:numPr>
              <w:spacing w:line="440" w:lineRule="exact"/>
              <w:rPr>
                <w:rFonts w:hint="eastAsia" w:eastAsia="方正仿宋_GBK"/>
                <w:sz w:val="24"/>
                <w:szCs w:val="24"/>
                <w:highlight w:val="none"/>
                <w:lang w:eastAsia="zh-CN"/>
              </w:rPr>
            </w:pPr>
            <w:r>
              <w:rPr>
                <w:rFonts w:eastAsia="方正仿宋_GBK"/>
                <w:sz w:val="24"/>
                <w:szCs w:val="24"/>
                <w:highlight w:val="none"/>
              </w:rPr>
              <w:t>要求提供的资料均需加盖鲜章</w:t>
            </w:r>
            <w:r>
              <w:rPr>
                <w:rFonts w:hint="eastAsia" w:eastAsia="方正仿宋_GBK"/>
                <w:sz w:val="24"/>
                <w:szCs w:val="24"/>
                <w:highlight w:val="none"/>
                <w:lang w:eastAsia="zh-CN"/>
              </w:rPr>
              <w:t>。</w:t>
            </w:r>
          </w:p>
          <w:p>
            <w:pPr>
              <w:numPr>
                <w:ilvl w:val="0"/>
                <w:numId w:val="2"/>
              </w:numPr>
              <w:spacing w:line="440" w:lineRule="exact"/>
              <w:rPr>
                <w:rFonts w:hint="eastAsia" w:eastAsia="方正仿宋_GBK"/>
                <w:sz w:val="24"/>
                <w:szCs w:val="24"/>
                <w:highlight w:val="none"/>
                <w:lang w:eastAsia="zh-CN"/>
              </w:rPr>
            </w:pPr>
            <w:r>
              <w:rPr>
                <w:rFonts w:hint="eastAsia" w:eastAsia="方正仿宋_GBK"/>
                <w:sz w:val="24"/>
                <w:szCs w:val="24"/>
                <w:highlight w:val="none"/>
                <w:lang w:eastAsia="zh-CN"/>
              </w:rPr>
              <w:t>全套比选资料扫描成一个PDF文件（盖公章，原件扫描）同时递交至指定邮箱。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highlight w:val="none"/>
              </w:rPr>
            </w:pPr>
            <w:r>
              <w:rPr>
                <w:rFonts w:eastAsia="方正仿宋_GBK"/>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color w:val="000000" w:themeColor="text1"/>
                <w:sz w:val="24"/>
                <w:szCs w:val="24"/>
                <w:highlight w:val="none"/>
              </w:rPr>
            </w:pPr>
            <w:r>
              <w:rPr>
                <w:rFonts w:eastAsia="方正仿宋_GBK"/>
                <w:color w:val="000000" w:themeColor="text1"/>
                <w:sz w:val="24"/>
                <w:szCs w:val="24"/>
                <w:highlight w:val="none"/>
              </w:rPr>
              <w:t>1、未在规定的时间内递交比选文件。</w:t>
            </w:r>
          </w:p>
          <w:p>
            <w:pPr>
              <w:spacing w:line="440" w:lineRule="exact"/>
              <w:rPr>
                <w:rFonts w:eastAsia="方正仿宋_GBK"/>
                <w:color w:val="000000" w:themeColor="text1"/>
                <w:sz w:val="24"/>
                <w:szCs w:val="24"/>
                <w:highlight w:val="none"/>
              </w:rPr>
            </w:pPr>
            <w:r>
              <w:rPr>
                <w:rFonts w:eastAsia="方正仿宋_GBK"/>
                <w:color w:val="000000" w:themeColor="text1"/>
                <w:sz w:val="24"/>
                <w:szCs w:val="24"/>
                <w:highlight w:val="none"/>
              </w:rPr>
              <w:t>2、报价超过最高限价。</w:t>
            </w:r>
          </w:p>
          <w:p>
            <w:pPr>
              <w:spacing w:line="440" w:lineRule="exact"/>
              <w:rPr>
                <w:rFonts w:eastAsia="方正仿宋_GBK"/>
                <w:color w:val="000000" w:themeColor="text1"/>
                <w:sz w:val="24"/>
                <w:szCs w:val="24"/>
                <w:highlight w:val="none"/>
              </w:rPr>
            </w:pPr>
            <w:r>
              <w:rPr>
                <w:rFonts w:eastAsia="方正仿宋_GBK"/>
                <w:color w:val="000000" w:themeColor="text1"/>
                <w:sz w:val="24"/>
                <w:szCs w:val="24"/>
                <w:highlight w:val="none"/>
              </w:rPr>
              <w:t>3、法定代表人或其委托代理人的签字（或盖章）不齐全，授权代表人身份证明不相符。</w:t>
            </w:r>
          </w:p>
          <w:p>
            <w:pPr>
              <w:spacing w:line="440" w:lineRule="exact"/>
              <w:rPr>
                <w:rFonts w:eastAsia="方正仿宋_GBK"/>
                <w:color w:val="000000" w:themeColor="text1"/>
                <w:sz w:val="24"/>
                <w:szCs w:val="24"/>
                <w:highlight w:val="none"/>
              </w:rPr>
            </w:pPr>
            <w:r>
              <w:rPr>
                <w:rFonts w:eastAsia="方正仿宋_GBK"/>
                <w:color w:val="000000" w:themeColor="text1"/>
                <w:sz w:val="24"/>
                <w:szCs w:val="24"/>
                <w:highlight w:val="none"/>
              </w:rPr>
              <w:t>4、资质（或营业执照明确的经营范围）不符合文件上述要求，审查营业执照范围或资质证书等级。</w:t>
            </w:r>
          </w:p>
          <w:p>
            <w:pPr>
              <w:spacing w:line="440" w:lineRule="exact"/>
              <w:rPr>
                <w:rFonts w:eastAsia="方正仿宋_GBK"/>
                <w:color w:val="000000" w:themeColor="text1"/>
                <w:sz w:val="24"/>
                <w:szCs w:val="24"/>
                <w:highlight w:val="none"/>
              </w:rPr>
            </w:pPr>
            <w:r>
              <w:rPr>
                <w:rFonts w:eastAsia="方正仿宋_GBK"/>
                <w:color w:val="000000" w:themeColor="text1"/>
                <w:sz w:val="24"/>
                <w:szCs w:val="24"/>
                <w:highlight w:val="none"/>
              </w:rPr>
              <w:t>5、业绩证明材料不符合比选邀请函要求的</w:t>
            </w:r>
            <w:r>
              <w:rPr>
                <w:rFonts w:hint="eastAsia" w:eastAsia="方正仿宋_GBK"/>
                <w:color w:val="000000" w:themeColor="text1"/>
                <w:sz w:val="24"/>
                <w:szCs w:val="24"/>
                <w:highlight w:val="none"/>
                <w:lang w:eastAsia="zh-CN"/>
              </w:rPr>
              <w:t>，</w:t>
            </w:r>
            <w:r>
              <w:rPr>
                <w:rFonts w:eastAsia="方正仿宋_GBK"/>
                <w:color w:val="000000" w:themeColor="text1"/>
                <w:sz w:val="24"/>
                <w:szCs w:val="24"/>
                <w:highlight w:val="none"/>
              </w:rPr>
              <w:t>审查内容：合同</w:t>
            </w:r>
            <w:r>
              <w:rPr>
                <w:rFonts w:hint="eastAsia" w:eastAsia="方正仿宋_GBK"/>
                <w:color w:val="000000" w:themeColor="text1"/>
                <w:sz w:val="24"/>
                <w:szCs w:val="24"/>
                <w:highlight w:val="none"/>
                <w:lang w:val="en-US" w:eastAsia="zh-CN"/>
              </w:rPr>
              <w:t>签订</w:t>
            </w:r>
            <w:r>
              <w:rPr>
                <w:rFonts w:eastAsia="方正仿宋_GBK"/>
                <w:color w:val="000000" w:themeColor="text1"/>
                <w:sz w:val="24"/>
                <w:szCs w:val="24"/>
                <w:highlight w:val="none"/>
              </w:rPr>
              <w:t>时间、合同金额。字迹不清晰或难以辨认视为不符合要求。</w:t>
            </w:r>
          </w:p>
          <w:p>
            <w:pPr>
              <w:spacing w:line="440" w:lineRule="exact"/>
              <w:rPr>
                <w:rFonts w:eastAsia="方正仿宋_GBK"/>
                <w:color w:val="000000" w:themeColor="text1"/>
                <w:sz w:val="24"/>
                <w:szCs w:val="24"/>
                <w:highlight w:val="none"/>
              </w:rPr>
            </w:pPr>
            <w:r>
              <w:rPr>
                <w:rFonts w:eastAsia="方正仿宋_GBK"/>
                <w:color w:val="000000" w:themeColor="text1"/>
                <w:sz w:val="24"/>
                <w:szCs w:val="24"/>
                <w:highlight w:val="none"/>
              </w:rPr>
              <w:t>6、比选文件未按要求加盖公章。</w:t>
            </w:r>
          </w:p>
          <w:p>
            <w:pPr>
              <w:spacing w:line="440" w:lineRule="exact"/>
              <w:rPr>
                <w:rFonts w:eastAsia="方正仿宋_GBK"/>
                <w:sz w:val="24"/>
                <w:szCs w:val="24"/>
                <w:highlight w:val="none"/>
              </w:rPr>
            </w:pPr>
            <w:r>
              <w:rPr>
                <w:rFonts w:eastAsia="方正仿宋_GBK"/>
                <w:color w:val="000000" w:themeColor="text1"/>
                <w:sz w:val="24"/>
                <w:szCs w:val="24"/>
                <w:highlight w:val="none"/>
              </w:rPr>
              <w:t>7、发现串通投标或弄虚作假或有其他违法行为的。</w:t>
            </w:r>
          </w:p>
        </w:tc>
      </w:tr>
    </w:tbl>
    <w:p>
      <w:pPr>
        <w:widowControl/>
        <w:spacing w:before="100" w:beforeAutospacing="1" w:after="100" w:afterAutospacing="1" w:line="252" w:lineRule="atLeast"/>
        <w:rPr>
          <w:rFonts w:eastAsia="方正仿宋_GBK"/>
          <w:sz w:val="24"/>
          <w:szCs w:val="24"/>
        </w:rPr>
      </w:pPr>
      <w:r>
        <w:rPr>
          <w:rFonts w:eastAsia="方正仿宋_GBK"/>
          <w:sz w:val="24"/>
          <w:szCs w:val="24"/>
        </w:rPr>
        <w:t>附件：比选文件格式</w:t>
      </w:r>
    </w:p>
    <w:p>
      <w:pPr>
        <w:widowControl/>
        <w:spacing w:before="100" w:beforeAutospacing="1" w:after="100" w:afterAutospacing="1" w:line="252" w:lineRule="atLeast"/>
        <w:ind w:firstLine="2640" w:firstLineChars="1100"/>
        <w:jc w:val="right"/>
        <w:rPr>
          <w:rFonts w:eastAsia="方正仿宋_GBK"/>
          <w:bCs/>
          <w:kern w:val="0"/>
          <w:sz w:val="24"/>
          <w:szCs w:val="24"/>
        </w:rPr>
      </w:pPr>
      <w:r>
        <w:rPr>
          <w:rFonts w:eastAsia="方正仿宋_GBK"/>
          <w:bCs/>
          <w:kern w:val="0"/>
          <w:sz w:val="24"/>
          <w:szCs w:val="24"/>
        </w:rPr>
        <w:t>重庆城市综合交通枢纽（集团）有限公司</w:t>
      </w:r>
    </w:p>
    <w:p>
      <w:pPr>
        <w:widowControl/>
        <w:spacing w:before="100" w:beforeAutospacing="1" w:after="100" w:afterAutospacing="1" w:line="252" w:lineRule="atLeast"/>
        <w:jc w:val="center"/>
        <w:rPr>
          <w:rFonts w:eastAsia="方正仿宋_GBK"/>
          <w:bCs/>
          <w:kern w:val="0"/>
          <w:sz w:val="24"/>
          <w:szCs w:val="24"/>
        </w:rPr>
      </w:pPr>
      <w:r>
        <w:rPr>
          <w:rFonts w:hint="eastAsia" w:eastAsia="方正仿宋_GBK"/>
          <w:bCs/>
          <w:kern w:val="0"/>
          <w:sz w:val="24"/>
          <w:szCs w:val="24"/>
          <w:lang w:val="en-US" w:eastAsia="zh-CN"/>
        </w:rPr>
        <w:t xml:space="preserve">                                   </w:t>
      </w:r>
      <w:r>
        <w:rPr>
          <w:rFonts w:eastAsia="方正仿宋_GBK"/>
          <w:bCs/>
          <w:kern w:val="0"/>
          <w:sz w:val="24"/>
          <w:szCs w:val="24"/>
        </w:rPr>
        <w:t>202</w:t>
      </w:r>
      <w:r>
        <w:rPr>
          <w:rFonts w:hint="eastAsia" w:eastAsia="方正仿宋_GBK"/>
          <w:bCs/>
          <w:kern w:val="0"/>
          <w:sz w:val="24"/>
          <w:szCs w:val="24"/>
        </w:rPr>
        <w:t>2</w:t>
      </w:r>
      <w:r>
        <w:rPr>
          <w:rFonts w:eastAsia="方正仿宋_GBK"/>
          <w:bCs/>
          <w:kern w:val="0"/>
          <w:sz w:val="24"/>
          <w:szCs w:val="24"/>
        </w:rPr>
        <w:t>年</w:t>
      </w:r>
      <w:r>
        <w:rPr>
          <w:rFonts w:hint="eastAsia" w:eastAsia="方正仿宋_GBK"/>
          <w:bCs/>
          <w:kern w:val="0"/>
          <w:sz w:val="24"/>
          <w:szCs w:val="24"/>
          <w:lang w:val="en-US" w:eastAsia="zh-CN"/>
        </w:rPr>
        <w:t xml:space="preserve"> </w:t>
      </w:r>
      <w:r>
        <w:rPr>
          <w:rFonts w:eastAsia="方正仿宋_GBK"/>
          <w:bCs/>
          <w:kern w:val="0"/>
          <w:sz w:val="24"/>
          <w:szCs w:val="24"/>
        </w:rPr>
        <w:t xml:space="preserve"> 月 </w:t>
      </w:r>
      <w:r>
        <w:rPr>
          <w:rFonts w:hint="eastAsia" w:eastAsia="方正仿宋_GBK"/>
          <w:bCs/>
          <w:kern w:val="0"/>
          <w:sz w:val="24"/>
          <w:szCs w:val="24"/>
          <w:lang w:val="en-US" w:eastAsia="zh-CN"/>
        </w:rPr>
        <w:t xml:space="preserve"> </w:t>
      </w:r>
      <w:r>
        <w:rPr>
          <w:rFonts w:eastAsia="方正仿宋_GBK"/>
          <w:bCs/>
          <w:kern w:val="0"/>
          <w:sz w:val="24"/>
          <w:szCs w:val="24"/>
        </w:rPr>
        <w:t>日</w:t>
      </w:r>
    </w:p>
    <w:p>
      <w:pPr>
        <w:jc w:val="left"/>
        <w:rPr>
          <w:rFonts w:eastAsia="方正仿宋_GBK"/>
          <w:sz w:val="28"/>
          <w:szCs w:val="28"/>
        </w:rPr>
      </w:pPr>
      <w:r>
        <w:rPr>
          <w:rFonts w:eastAsia="方正仿宋_GBK"/>
          <w:sz w:val="28"/>
          <w:szCs w:val="28"/>
        </w:rPr>
        <w:br w:type="page"/>
      </w:r>
    </w:p>
    <w:p>
      <w:pPr>
        <w:rPr>
          <w:rFonts w:eastAsia="方正仿宋_GBK"/>
          <w:sz w:val="28"/>
          <w:szCs w:val="28"/>
        </w:rPr>
      </w:pPr>
      <w:r>
        <w:rPr>
          <w:rFonts w:eastAsia="方正仿宋_GBK"/>
          <w:sz w:val="28"/>
          <w:szCs w:val="28"/>
        </w:rPr>
        <w:t>比选文件格式</w:t>
      </w:r>
    </w:p>
    <w:p>
      <w:pPr>
        <w:jc w:val="center"/>
        <w:rPr>
          <w:rFonts w:eastAsia="方正仿宋_GBK"/>
          <w:b/>
          <w:bCs/>
          <w:sz w:val="28"/>
          <w:szCs w:val="28"/>
        </w:rPr>
      </w:pPr>
      <w:r>
        <w:rPr>
          <w:rFonts w:eastAsia="方正仿宋_GBK"/>
          <w:b/>
          <w:bCs/>
          <w:sz w:val="28"/>
          <w:szCs w:val="28"/>
        </w:rPr>
        <w:t>格式一</w:t>
      </w:r>
      <w:r>
        <w:rPr>
          <w:rFonts w:hint="eastAsia" w:eastAsia="方正仿宋_GBK"/>
          <w:b/>
          <w:bCs/>
          <w:sz w:val="28"/>
          <w:szCs w:val="28"/>
          <w:lang w:val="en-US" w:eastAsia="zh-CN"/>
        </w:rPr>
        <w:t xml:space="preserve"> </w:t>
      </w:r>
      <w:r>
        <w:rPr>
          <w:rFonts w:eastAsia="方正仿宋_GBK"/>
          <w:b/>
          <w:bCs/>
          <w:sz w:val="28"/>
          <w:szCs w:val="28"/>
        </w:rPr>
        <w:t>比选函</w:t>
      </w:r>
    </w:p>
    <w:p>
      <w:pPr>
        <w:rPr>
          <w:rFonts w:eastAsia="方正仿宋_GBK"/>
          <w:color w:val="000000" w:themeColor="text1"/>
          <w:sz w:val="28"/>
          <w:szCs w:val="28"/>
          <w:u w:val="single"/>
        </w:rPr>
      </w:pPr>
      <w:r>
        <w:rPr>
          <w:rFonts w:eastAsia="方正仿宋_GBK"/>
          <w:sz w:val="28"/>
          <w:szCs w:val="28"/>
          <w:u w:val="single"/>
        </w:rPr>
        <w:t>重</w:t>
      </w:r>
      <w:r>
        <w:rPr>
          <w:rFonts w:eastAsia="方正仿宋_GBK"/>
          <w:color w:val="000000" w:themeColor="text1"/>
          <w:sz w:val="28"/>
          <w:szCs w:val="28"/>
          <w:u w:val="single"/>
        </w:rPr>
        <w:t>庆城市综合交通枢纽（集团）有限公司 ：</w:t>
      </w:r>
    </w:p>
    <w:p>
      <w:pPr>
        <w:rPr>
          <w:rFonts w:eastAsia="方正仿宋_GBK"/>
          <w:sz w:val="28"/>
          <w:szCs w:val="28"/>
        </w:rPr>
      </w:pPr>
      <w:r>
        <w:rPr>
          <w:rFonts w:eastAsia="方正仿宋_GBK"/>
          <w:color w:val="000000" w:themeColor="text1"/>
          <w:sz w:val="28"/>
          <w:szCs w:val="28"/>
        </w:rPr>
        <w:t xml:space="preserve">     根据贵方</w:t>
      </w:r>
      <w:r>
        <w:rPr>
          <w:rFonts w:hint="eastAsia" w:eastAsia="方正仿宋_GBK"/>
          <w:color w:val="000000" w:themeColor="text1"/>
          <w:sz w:val="28"/>
          <w:szCs w:val="28"/>
        </w:rPr>
        <w:t>《</w:t>
      </w:r>
      <w:r>
        <w:rPr>
          <w:rFonts w:hint="eastAsia" w:eastAsia="方正仿宋_GBK"/>
          <w:color w:val="000000" w:themeColor="text1"/>
          <w:sz w:val="28"/>
          <w:szCs w:val="28"/>
          <w:u w:val="single"/>
        </w:rPr>
        <w:t>空港公交维保场、南坪东路临时过渡临时过渡公交站场项目边坡工程第三方监测服务</w:t>
      </w:r>
      <w:r>
        <w:rPr>
          <w:rFonts w:hint="eastAsia" w:eastAsia="方正仿宋_GBK"/>
          <w:color w:val="000000" w:themeColor="text1"/>
          <w:sz w:val="28"/>
          <w:szCs w:val="28"/>
        </w:rPr>
        <w:t>》比选文件的要求</w:t>
      </w:r>
      <w:r>
        <w:rPr>
          <w:rFonts w:eastAsia="方正仿宋_GBK"/>
          <w:color w:val="000000" w:themeColor="text1"/>
          <w:sz w:val="28"/>
          <w:szCs w:val="28"/>
        </w:rPr>
        <w:t>，本公司正式授权的下述签字人</w:t>
      </w:r>
      <w:r>
        <w:rPr>
          <w:rFonts w:hint="eastAsia" w:eastAsia="方正仿宋_GBK"/>
          <w:color w:val="000000" w:themeColor="text1"/>
          <w:sz w:val="28"/>
          <w:szCs w:val="28"/>
          <w:u w:val="single"/>
          <w:lang w:val="en-US" w:eastAsia="zh-CN"/>
        </w:rPr>
        <w:t xml:space="preserve">         </w:t>
      </w:r>
      <w:r>
        <w:rPr>
          <w:rFonts w:eastAsia="方正仿宋_GBK"/>
          <w:color w:val="auto"/>
          <w:sz w:val="28"/>
          <w:szCs w:val="28"/>
          <w:highlight w:val="none"/>
        </w:rPr>
        <w:t>（姓名和职务）</w:t>
      </w:r>
      <w:r>
        <w:rPr>
          <w:rFonts w:eastAsia="方正仿宋_GBK"/>
          <w:color w:val="000000" w:themeColor="text1"/>
          <w:sz w:val="28"/>
          <w:szCs w:val="28"/>
        </w:rPr>
        <w:t>代表本公司</w:t>
      </w:r>
      <w:r>
        <w:rPr>
          <w:rFonts w:hint="eastAsia" w:eastAsia="方正仿宋_GBK"/>
          <w:color w:val="000000" w:themeColor="text1"/>
          <w:sz w:val="28"/>
          <w:szCs w:val="28"/>
        </w:rPr>
        <w:t>参加</w:t>
      </w:r>
      <w:r>
        <w:rPr>
          <w:rFonts w:hint="eastAsia" w:eastAsia="方正仿宋_GBK"/>
          <w:color w:val="000000" w:themeColor="text1"/>
          <w:sz w:val="28"/>
          <w:szCs w:val="28"/>
          <w:u w:val="single"/>
        </w:rPr>
        <w:t>空港公交维保场、南坪东路临时过渡公交站场项目边坡工程第三方监测服务</w:t>
      </w:r>
      <w:r>
        <w:rPr>
          <w:rFonts w:hint="eastAsia" w:eastAsia="方正仿宋_GBK"/>
          <w:sz w:val="28"/>
          <w:szCs w:val="28"/>
        </w:rPr>
        <w:t>比选</w:t>
      </w:r>
      <w:r>
        <w:rPr>
          <w:rFonts w:eastAsia="方正仿宋_GBK"/>
          <w:sz w:val="28"/>
          <w:szCs w:val="28"/>
        </w:rPr>
        <w:t>，提交本比选函。</w:t>
      </w:r>
    </w:p>
    <w:p>
      <w:pPr>
        <w:rPr>
          <w:rFonts w:eastAsia="方正仿宋_GBK"/>
          <w:sz w:val="28"/>
          <w:szCs w:val="28"/>
        </w:rPr>
      </w:pPr>
      <w:r>
        <w:rPr>
          <w:rFonts w:eastAsia="方正仿宋_GBK"/>
          <w:sz w:val="28"/>
          <w:szCs w:val="28"/>
        </w:rPr>
        <w:t>据此函，签字人兹宣布同意如下：</w:t>
      </w:r>
    </w:p>
    <w:p>
      <w:pPr>
        <w:numPr>
          <w:ilvl w:val="255"/>
          <w:numId w:val="0"/>
        </w:numPr>
        <w:rPr>
          <w:rFonts w:eastAsia="方正仿宋_GBK"/>
          <w:sz w:val="28"/>
          <w:szCs w:val="28"/>
        </w:rPr>
      </w:pPr>
      <w:r>
        <w:rPr>
          <w:rFonts w:eastAsia="方正仿宋_GBK"/>
          <w:sz w:val="28"/>
          <w:szCs w:val="28"/>
        </w:rPr>
        <w:t>(1)愿意接受比选函中提出的酬金支付方式与合同条款并按照</w:t>
      </w:r>
      <w:r>
        <w:rPr>
          <w:rFonts w:hint="eastAsia" w:eastAsia="方正仿宋_GBK"/>
          <w:sz w:val="28"/>
          <w:szCs w:val="28"/>
        </w:rPr>
        <w:t>总价</w:t>
      </w:r>
      <w:r>
        <w:rPr>
          <w:rFonts w:hint="eastAsia" w:eastAsia="方正仿宋_GBK"/>
          <w:sz w:val="28"/>
          <w:szCs w:val="28"/>
          <w:u w:val="single"/>
        </w:rPr>
        <w:t xml:space="preserve">      </w:t>
      </w:r>
      <w:r>
        <w:rPr>
          <w:rFonts w:hint="eastAsia" w:eastAsia="方正仿宋_GBK"/>
          <w:sz w:val="28"/>
          <w:szCs w:val="28"/>
        </w:rPr>
        <w:t>元</w:t>
      </w:r>
      <w:r>
        <w:rPr>
          <w:rFonts w:hint="eastAsia" w:eastAsia="方正仿宋_GBK"/>
          <w:sz w:val="28"/>
          <w:szCs w:val="28"/>
          <w:lang w:eastAsia="zh-CN"/>
        </w:rPr>
        <w:t>（其中南坪东路临时过渡公交站场项目</w:t>
      </w:r>
      <w:r>
        <w:rPr>
          <w:rFonts w:hint="eastAsia" w:eastAsia="方正仿宋_GBK"/>
          <w:sz w:val="28"/>
          <w:szCs w:val="28"/>
          <w:u w:val="single"/>
          <w:lang w:val="en-US" w:eastAsia="zh-CN"/>
        </w:rPr>
        <w:t xml:space="preserve">      </w:t>
      </w:r>
      <w:r>
        <w:rPr>
          <w:rFonts w:hint="eastAsia" w:eastAsia="方正仿宋_GBK"/>
          <w:sz w:val="28"/>
          <w:szCs w:val="28"/>
          <w:lang w:eastAsia="zh-CN"/>
        </w:rPr>
        <w:t>元，空港公交维保场项目</w:t>
      </w:r>
      <w:r>
        <w:rPr>
          <w:rFonts w:hint="eastAsia" w:eastAsia="方正仿宋_GBK"/>
          <w:sz w:val="28"/>
          <w:szCs w:val="28"/>
          <w:u w:val="single"/>
          <w:lang w:val="en-US" w:eastAsia="zh-CN"/>
        </w:rPr>
        <w:t xml:space="preserve">       </w:t>
      </w:r>
      <w:r>
        <w:rPr>
          <w:rFonts w:hint="eastAsia" w:eastAsia="方正仿宋_GBK"/>
          <w:sz w:val="28"/>
          <w:szCs w:val="28"/>
          <w:lang w:eastAsia="zh-CN"/>
        </w:rPr>
        <w:t>元）</w:t>
      </w:r>
      <w:r>
        <w:rPr>
          <w:rFonts w:eastAsia="方正仿宋_GBK"/>
          <w:sz w:val="28"/>
          <w:szCs w:val="28"/>
        </w:rPr>
        <w:t>作为本项目报价。</w:t>
      </w:r>
      <w:r>
        <w:rPr>
          <w:rFonts w:eastAsia="方正仿宋_GBK"/>
          <w:color w:val="auto"/>
          <w:sz w:val="28"/>
          <w:szCs w:val="28"/>
          <w:highlight w:val="none"/>
        </w:rPr>
        <w:t>（所填报数字须保留至小数点后2位）</w:t>
      </w:r>
      <w:r>
        <w:rPr>
          <w:rFonts w:hint="eastAsia" w:eastAsia="方正仿宋_GBK"/>
          <w:color w:val="auto"/>
          <w:sz w:val="28"/>
          <w:szCs w:val="28"/>
          <w:highlight w:val="none"/>
          <w:lang w:eastAsia="zh-CN"/>
        </w:rPr>
        <w:t>（</w:t>
      </w:r>
      <w:r>
        <w:rPr>
          <w:rFonts w:hint="eastAsia" w:eastAsia="方正仿宋_GBK"/>
          <w:color w:val="auto"/>
          <w:sz w:val="28"/>
          <w:szCs w:val="28"/>
          <w:highlight w:val="none"/>
          <w:lang w:val="en-US" w:eastAsia="zh-CN"/>
        </w:rPr>
        <w:t>备注：此条仅作为比选评审计算，不作为否决比选依据</w:t>
      </w:r>
      <w:r>
        <w:rPr>
          <w:rFonts w:hint="eastAsia" w:eastAsia="方正仿宋_GBK"/>
          <w:color w:val="auto"/>
          <w:sz w:val="28"/>
          <w:szCs w:val="28"/>
          <w:highlight w:val="none"/>
          <w:lang w:eastAsia="zh-CN"/>
        </w:rPr>
        <w:t>）</w:t>
      </w:r>
      <w:r>
        <w:rPr>
          <w:rFonts w:eastAsia="方正仿宋_GBK"/>
          <w:color w:val="auto"/>
          <w:sz w:val="28"/>
          <w:szCs w:val="28"/>
          <w:highlight w:val="none"/>
        </w:rPr>
        <w:t>。</w:t>
      </w:r>
    </w:p>
    <w:p>
      <w:pPr>
        <w:numPr>
          <w:ilvl w:val="255"/>
          <w:numId w:val="0"/>
        </w:numPr>
        <w:rPr>
          <w:rFonts w:eastAsia="方正仿宋_GBK"/>
          <w:sz w:val="28"/>
          <w:szCs w:val="28"/>
        </w:rPr>
      </w:pPr>
      <w:r>
        <w:rPr>
          <w:rFonts w:eastAsia="方正仿宋_GBK"/>
          <w:sz w:val="28"/>
          <w:szCs w:val="28"/>
        </w:rPr>
        <w:t>(2)我司承诺满足贵单位比选邀请函中的“比选被邀请人资格要求”</w:t>
      </w:r>
      <w:r>
        <w:rPr>
          <w:rFonts w:ascii="Wingdings 2" w:hAnsi="Wingdings 2" w:eastAsia="方正仿宋_GBK"/>
          <w:sz w:val="28"/>
          <w:szCs w:val="28"/>
        </w:rPr>
        <w:sym w:font="Wingdings 2" w:char="00A3"/>
      </w:r>
      <w:r>
        <w:rPr>
          <w:rFonts w:eastAsia="方正仿宋_GBK"/>
          <w:sz w:val="28"/>
          <w:szCs w:val="28"/>
        </w:rPr>
        <w:t>资质要求</w:t>
      </w:r>
      <w:r>
        <w:rPr>
          <w:rFonts w:eastAsia="方正仿宋_GBK"/>
          <w:sz w:val="28"/>
          <w:szCs w:val="28"/>
        </w:rPr>
        <w:sym w:font="Wingdings" w:char="00A8"/>
      </w:r>
      <w:r>
        <w:rPr>
          <w:rFonts w:eastAsia="方正仿宋_GBK"/>
          <w:sz w:val="28"/>
          <w:szCs w:val="28"/>
        </w:rPr>
        <w:t>业绩要求（勾选）。</w:t>
      </w:r>
    </w:p>
    <w:p>
      <w:pPr>
        <w:rPr>
          <w:rFonts w:eastAsia="方正仿宋_GBK"/>
          <w:sz w:val="28"/>
          <w:szCs w:val="28"/>
        </w:rPr>
      </w:pPr>
      <w:r>
        <w:rPr>
          <w:rFonts w:eastAsia="方正仿宋_GBK"/>
          <w:sz w:val="28"/>
          <w:szCs w:val="28"/>
        </w:rPr>
        <w:t>(3)我们已详细阅读了比选函全部内容，我们知道必须放弃提出含糊不清或误解的问题的权利。</w:t>
      </w:r>
    </w:p>
    <w:p>
      <w:pPr>
        <w:rPr>
          <w:rFonts w:eastAsia="方正仿宋_GBK"/>
          <w:color w:val="000000" w:themeColor="text1"/>
          <w:sz w:val="28"/>
          <w:szCs w:val="28"/>
        </w:rPr>
      </w:pPr>
      <w:r>
        <w:rPr>
          <w:rFonts w:eastAsia="方正仿宋_GBK"/>
          <w:color w:val="000000" w:themeColor="text1"/>
          <w:sz w:val="28"/>
          <w:szCs w:val="28"/>
        </w:rPr>
        <w:t>(4)我们保证根据规定履行合同责任和义务，不得要求变更我司所报</w:t>
      </w:r>
      <w:r>
        <w:rPr>
          <w:rFonts w:hint="eastAsia" w:eastAsia="方正仿宋_GBK"/>
          <w:color w:val="000000" w:themeColor="text1"/>
          <w:sz w:val="28"/>
          <w:szCs w:val="28"/>
        </w:rPr>
        <w:t>金额</w:t>
      </w:r>
      <w:r>
        <w:rPr>
          <w:rFonts w:eastAsia="方正仿宋_GBK"/>
          <w:color w:val="000000" w:themeColor="text1"/>
          <w:sz w:val="28"/>
          <w:szCs w:val="28"/>
        </w:rPr>
        <w:t>。</w:t>
      </w:r>
    </w:p>
    <w:p>
      <w:pPr>
        <w:rPr>
          <w:rFonts w:eastAsia="方正仿宋_GBK"/>
          <w:sz w:val="28"/>
          <w:szCs w:val="28"/>
        </w:rPr>
      </w:pPr>
      <w:r>
        <w:rPr>
          <w:rFonts w:eastAsia="方正仿宋_GBK"/>
          <w:sz w:val="28"/>
          <w:szCs w:val="28"/>
        </w:rPr>
        <w:t>(5)本比选函自开启之日起至项目全部完成之内有效。</w:t>
      </w:r>
    </w:p>
    <w:p>
      <w:pPr>
        <w:rPr>
          <w:rFonts w:eastAsia="方正仿宋_GBK"/>
          <w:sz w:val="28"/>
          <w:szCs w:val="28"/>
        </w:rPr>
      </w:pPr>
      <w:r>
        <w:rPr>
          <w:rFonts w:eastAsia="方正仿宋_GBK"/>
          <w:sz w:val="28"/>
          <w:szCs w:val="28"/>
        </w:rPr>
        <w:t xml:space="preserve">报价人全称（公章）： </w:t>
      </w:r>
    </w:p>
    <w:p>
      <w:pPr>
        <w:rPr>
          <w:rFonts w:eastAsia="方正仿宋_GBK"/>
          <w:sz w:val="28"/>
          <w:szCs w:val="28"/>
        </w:rPr>
      </w:pPr>
      <w:r>
        <w:rPr>
          <w:rFonts w:eastAsia="方正仿宋_GBK"/>
          <w:sz w:val="28"/>
          <w:szCs w:val="28"/>
        </w:rPr>
        <w:t xml:space="preserve">通信地址：                              </w:t>
      </w:r>
    </w:p>
    <w:p>
      <w:pPr>
        <w:rPr>
          <w:rFonts w:eastAsia="方正仿宋_GBK"/>
          <w:sz w:val="28"/>
          <w:szCs w:val="28"/>
        </w:rPr>
      </w:pPr>
      <w:r>
        <w:rPr>
          <w:rFonts w:eastAsia="方正仿宋_GBK"/>
          <w:sz w:val="28"/>
          <w:szCs w:val="28"/>
        </w:rPr>
        <w:t>电话、传真：</w:t>
      </w:r>
    </w:p>
    <w:p>
      <w:pPr>
        <w:rPr>
          <w:rFonts w:eastAsia="方正仿宋_GBK"/>
          <w:sz w:val="28"/>
          <w:szCs w:val="28"/>
        </w:rPr>
      </w:pPr>
      <w:r>
        <w:rPr>
          <w:rFonts w:eastAsia="方正仿宋_GBK"/>
          <w:sz w:val="28"/>
          <w:szCs w:val="28"/>
        </w:rPr>
        <w:t xml:space="preserve">报价人法定代表人或授权代理人签字 </w:t>
      </w:r>
    </w:p>
    <w:p>
      <w:pPr>
        <w:rPr>
          <w:rFonts w:eastAsia="方正仿宋_GBK"/>
          <w:sz w:val="28"/>
          <w:szCs w:val="28"/>
        </w:rPr>
      </w:pPr>
      <w:r>
        <w:rPr>
          <w:rFonts w:eastAsia="方正仿宋_GBK"/>
          <w:sz w:val="28"/>
          <w:szCs w:val="28"/>
        </w:rPr>
        <w:t xml:space="preserve">日期： </w:t>
      </w: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kern w:val="0"/>
          <w:sz w:val="24"/>
        </w:rPr>
      </w:pPr>
      <w:r>
        <w:rPr>
          <w:rFonts w:eastAsia="方正仿宋_GBK"/>
          <w:b/>
          <w:bCs/>
          <w:sz w:val="28"/>
          <w:szCs w:val="28"/>
        </w:rPr>
        <w:t>格式</w:t>
      </w:r>
      <w:r>
        <w:rPr>
          <w:rFonts w:hint="eastAsia" w:eastAsia="方正仿宋_GBK"/>
          <w:b/>
          <w:bCs/>
          <w:sz w:val="28"/>
          <w:szCs w:val="28"/>
        </w:rPr>
        <w:t>二</w:t>
      </w:r>
      <w:r>
        <w:rPr>
          <w:rFonts w:hint="eastAsia" w:eastAsia="方正仿宋_GBK"/>
          <w:b/>
          <w:bCs/>
          <w:sz w:val="28"/>
          <w:szCs w:val="28"/>
          <w:lang w:val="en-US" w:eastAsia="zh-CN"/>
        </w:rPr>
        <w:t xml:space="preserve"> </w:t>
      </w:r>
      <w:r>
        <w:rPr>
          <w:rFonts w:eastAsia="方正仿宋_GBK"/>
          <w:b/>
          <w:bCs/>
          <w:sz w:val="28"/>
          <w:szCs w:val="28"/>
        </w:rPr>
        <w:t>法定代表人授权委托书</w:t>
      </w:r>
    </w:p>
    <w:p>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hint="eastAsia" w:eastAsia="方正仿宋_GBK"/>
          <w:bCs/>
          <w:kern w:val="0"/>
          <w:sz w:val="28"/>
          <w:szCs w:val="28"/>
          <w:u w:val="single"/>
          <w:lang w:val="en-US" w:eastAsia="zh-CN"/>
        </w:rPr>
        <w:t xml:space="preserve">        </w:t>
      </w:r>
      <w:r>
        <w:rPr>
          <w:rFonts w:eastAsia="方正仿宋_GBK"/>
          <w:bCs/>
          <w:kern w:val="0"/>
          <w:sz w:val="28"/>
          <w:szCs w:val="28"/>
        </w:rPr>
        <w:t>（被授权人的姓名、职务）为本公司的合法代理人，就</w:t>
      </w:r>
      <w:r>
        <w:rPr>
          <w:rFonts w:hint="eastAsia" w:eastAsia="方正仿宋_GBK"/>
          <w:color w:val="0000FF"/>
          <w:sz w:val="28"/>
          <w:szCs w:val="28"/>
        </w:rPr>
        <w:t>空港公交维保场、南坪东路临时过渡公交站场项目边坡工程第三方监测服务</w:t>
      </w:r>
      <w:r>
        <w:rPr>
          <w:rFonts w:eastAsia="方正仿宋_GBK"/>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方正仿宋_GBK"/>
          <w:bCs/>
          <w:kern w:val="0"/>
          <w:sz w:val="28"/>
          <w:szCs w:val="28"/>
        </w:rPr>
      </w:pPr>
      <w:r>
        <w:rPr>
          <w:rFonts w:eastAsia="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kern w:val="0"/>
          <w:sz w:val="28"/>
          <w:szCs w:val="28"/>
        </w:rPr>
        <w:pict>
          <v:shape id="_x0000_s1026" o:spid="_x0000_s1026" o:spt="202" type="#_x0000_t202" style="position:absolute;left:0pt;margin-left:208pt;margin-top:11.6pt;height:179.4pt;width:234pt;z-index:251658240;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path/>
            <v:fill focussize="0,0"/>
            <v:stroke joinstyle="miter"/>
            <v:imagedata o:title=""/>
            <o:lock v:ext="edit"/>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正反两面</w:t>
                  </w:r>
                  <w:r>
                    <w:rPr>
                      <w:rFonts w:hint="eastAsia" w:ascii="仿宋_GB2312" w:hAnsi="仿宋_GB2312" w:eastAsia="仿宋_GB2312" w:cs="仿宋_GB2312"/>
                      <w:lang w:eastAsia="zh-CN"/>
                    </w:rPr>
                    <w:t>）</w:t>
                  </w:r>
                </w:p>
                <w:p/>
              </w:txbxContent>
            </v:textbox>
          </v:shape>
        </w:pict>
      </w:r>
      <w:r>
        <w:rPr>
          <w:rFonts w:eastAsia="方正仿宋_GBK"/>
          <w:b/>
          <w:kern w:val="0"/>
          <w:sz w:val="28"/>
          <w:szCs w:val="28"/>
        </w:rPr>
        <w:pict>
          <v:shape id="_x0000_s1027" o:spid="_x0000_s1027" o:spt="202" type="#_x0000_t202" style="position:absolute;left:0pt;margin-left:-36pt;margin-top:11.1pt;height:179.4pt;width:225pt;z-index:251657216;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path/>
            <v:fill focussize="0,0"/>
            <v:stroke joinstyle="miter"/>
            <v:imagedata o:title=""/>
            <o:lock v:ext="edit"/>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正反两面</w:t>
                  </w:r>
                  <w:r>
                    <w:rPr>
                      <w:rFonts w:hint="eastAsia" w:ascii="仿宋_GB2312" w:hAnsi="仿宋_GB2312" w:eastAsia="仿宋_GB2312" w:cs="仿宋_GB2312"/>
                      <w:lang w:eastAsia="zh-CN"/>
                    </w:rPr>
                    <w:t>）</w:t>
                  </w:r>
                </w:p>
              </w:txbxContent>
            </v:textbox>
          </v:shape>
        </w:pic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pPr>
        <w:widowControl/>
        <w:spacing w:before="100" w:beforeAutospacing="1" w:after="100" w:afterAutospacing="1" w:line="252" w:lineRule="atLeast"/>
        <w:rPr>
          <w:rFonts w:eastAsia="方正仿宋_GBK"/>
          <w:b/>
          <w:kern w:val="0"/>
          <w:sz w:val="28"/>
          <w:szCs w:val="28"/>
        </w:rPr>
      </w:pPr>
    </w:p>
    <w:p>
      <w:pPr>
        <w:rPr>
          <w:rFonts w:eastAsia="方正仿宋_GBK"/>
        </w:rPr>
      </w:pPr>
    </w:p>
    <w:p>
      <w:pPr>
        <w:rPr>
          <w:rFonts w:eastAsia="方正仿宋_GBK"/>
        </w:rPr>
      </w:pPr>
    </w:p>
    <w:p>
      <w:pPr>
        <w:tabs>
          <w:tab w:val="left" w:pos="8300"/>
        </w:tabs>
        <w:wordWrap w:val="0"/>
        <w:autoSpaceDE w:val="0"/>
        <w:autoSpaceDN w:val="0"/>
        <w:adjustRightInd w:val="0"/>
        <w:spacing w:line="312" w:lineRule="auto"/>
        <w:ind w:right="-20"/>
        <w:jc w:val="center"/>
        <w:rPr>
          <w:rFonts w:hint="eastAsia" w:ascii="仿宋" w:hAnsi="仿宋" w:eastAsia="仿宋" w:cs="仿宋"/>
          <w:snapToGrid w:val="0"/>
          <w:kern w:val="0"/>
          <w:sz w:val="28"/>
          <w:szCs w:val="28"/>
        </w:rPr>
      </w:pPr>
    </w:p>
    <w:p>
      <w:pPr>
        <w:tabs>
          <w:tab w:val="left" w:pos="8300"/>
        </w:tabs>
        <w:wordWrap w:val="0"/>
        <w:autoSpaceDE w:val="0"/>
        <w:autoSpaceDN w:val="0"/>
        <w:adjustRightInd w:val="0"/>
        <w:spacing w:line="312" w:lineRule="auto"/>
        <w:ind w:right="-20"/>
        <w:jc w:val="center"/>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格式三  业绩证明材料</w:t>
      </w:r>
    </w:p>
    <w:tbl>
      <w:tblPr>
        <w:tblStyle w:val="1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项目名称</w:t>
            </w:r>
          </w:p>
        </w:tc>
        <w:tc>
          <w:tcPr>
            <w:tcW w:w="6522" w:type="dxa"/>
          </w:tcPr>
          <w:p>
            <w:pPr>
              <w:tabs>
                <w:tab w:val="left" w:pos="8300"/>
              </w:tabs>
              <w:wordWrap w:val="0"/>
              <w:autoSpaceDE w:val="0"/>
              <w:autoSpaceDN w:val="0"/>
              <w:adjustRightInd w:val="0"/>
              <w:spacing w:line="312" w:lineRule="auto"/>
              <w:ind w:right="-20"/>
              <w:jc w:val="left"/>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发包人名称</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发包人地址</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发包人电话</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合同价格</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承担的工作</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工程质量</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项目描述</w:t>
            </w:r>
          </w:p>
        </w:tc>
        <w:tc>
          <w:tcPr>
            <w:tcW w:w="6522" w:type="dxa"/>
          </w:tcPr>
          <w:p>
            <w:pPr>
              <w:pStyle w:val="2"/>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备注</w:t>
            </w:r>
          </w:p>
        </w:tc>
        <w:tc>
          <w:tcPr>
            <w:tcW w:w="6522" w:type="dxa"/>
          </w:tcPr>
          <w:p>
            <w:pPr>
              <w:pStyle w:val="2"/>
              <w:ind w:firstLine="0" w:firstLineChars="0"/>
              <w:rPr>
                <w:rFonts w:ascii="仿宋" w:hAnsi="仿宋" w:eastAsia="仿宋" w:cs="仿宋"/>
                <w:snapToGrid w:val="0"/>
                <w:kern w:val="0"/>
                <w:sz w:val="28"/>
                <w:szCs w:val="28"/>
              </w:rPr>
            </w:pPr>
          </w:p>
        </w:tc>
      </w:tr>
    </w:tbl>
    <w:p>
      <w:pPr>
        <w:pStyle w:val="2"/>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注：以上</w:t>
      </w:r>
      <w:r>
        <w:rPr>
          <w:rFonts w:hint="eastAsia" w:ascii="仿宋" w:hAnsi="仿宋" w:eastAsia="仿宋" w:cs="仿宋"/>
          <w:snapToGrid w:val="0"/>
          <w:kern w:val="0"/>
          <w:sz w:val="28"/>
          <w:szCs w:val="28"/>
          <w:lang w:val="en-US" w:eastAsia="zh-CN"/>
        </w:rPr>
        <w:t>业绩</w:t>
      </w:r>
      <w:r>
        <w:rPr>
          <w:rFonts w:hint="eastAsia" w:ascii="仿宋" w:hAnsi="仿宋" w:eastAsia="仿宋" w:cs="仿宋"/>
          <w:snapToGrid w:val="0"/>
          <w:kern w:val="0"/>
          <w:sz w:val="28"/>
          <w:szCs w:val="28"/>
        </w:rPr>
        <w:t>需提供合同复印件并加盖鲜章</w:t>
      </w:r>
    </w:p>
    <w:p>
      <w:pPr>
        <w:jc w:val="both"/>
        <w:rPr>
          <w:rFonts w:hint="eastAsia" w:ascii="仿宋" w:hAnsi="仿宋" w:eastAsia="仿宋" w:cs="仿宋"/>
          <w:kern w:val="0"/>
          <w:sz w:val="28"/>
          <w:szCs w:val="28"/>
        </w:rPr>
      </w:pPr>
    </w:p>
    <w:p>
      <w:pPr>
        <w:jc w:val="center"/>
        <w:rPr>
          <w:rFonts w:hint="eastAsia" w:ascii="仿宋" w:hAnsi="仿宋" w:eastAsia="仿宋" w:cs="仿宋"/>
          <w:kern w:val="0"/>
          <w:sz w:val="28"/>
          <w:szCs w:val="28"/>
        </w:rPr>
      </w:pPr>
    </w:p>
    <w:p>
      <w:pPr>
        <w:jc w:val="center"/>
        <w:rPr>
          <w:rFonts w:hint="eastAsia" w:ascii="仿宋" w:hAnsi="仿宋" w:eastAsia="仿宋" w:cs="仿宋"/>
          <w:kern w:val="0"/>
          <w:sz w:val="28"/>
          <w:szCs w:val="28"/>
        </w:rPr>
      </w:pPr>
      <w:r>
        <w:rPr>
          <w:rFonts w:hint="eastAsia" w:ascii="仿宋" w:hAnsi="仿宋" w:eastAsia="仿宋" w:cs="仿宋"/>
          <w:kern w:val="0"/>
          <w:sz w:val="28"/>
          <w:szCs w:val="28"/>
        </w:rPr>
        <w:br w:type="page"/>
      </w:r>
    </w:p>
    <w:p>
      <w:pPr>
        <w:widowControl/>
        <w:spacing w:before="100" w:beforeAutospacing="1" w:after="100" w:afterAutospacing="1" w:line="560" w:lineRule="exact"/>
        <w:jc w:val="both"/>
        <w:rPr>
          <w:rFonts w:hint="default"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b w:val="0"/>
          <w:bCs/>
          <w:color w:val="auto"/>
          <w:kern w:val="0"/>
          <w:sz w:val="28"/>
          <w:szCs w:val="28"/>
          <w:highlight w:val="none"/>
        </w:rPr>
        <w:t xml:space="preserve">六 </w:t>
      </w:r>
      <w:r>
        <w:rPr>
          <w:rFonts w:hint="eastAsia" w:ascii="仿宋_GB2312" w:hAnsi="仿宋_GB2312" w:eastAsia="仿宋_GB2312" w:cs="仿宋_GB2312"/>
          <w:b w:val="0"/>
          <w:bCs/>
          <w:color w:val="auto"/>
          <w:kern w:val="0"/>
          <w:sz w:val="28"/>
          <w:szCs w:val="28"/>
          <w:highlight w:val="none"/>
          <w:lang w:eastAsia="zh-CN"/>
        </w:rPr>
        <w:t>、</w:t>
      </w:r>
      <w:r>
        <w:rPr>
          <w:rFonts w:hint="eastAsia" w:ascii="仿宋" w:hAnsi="仿宋" w:eastAsia="仿宋" w:cs="仿宋"/>
          <w:b w:val="0"/>
          <w:bCs/>
          <w:snapToGrid w:val="0"/>
          <w:color w:val="auto"/>
          <w:kern w:val="0"/>
          <w:sz w:val="28"/>
          <w:szCs w:val="28"/>
          <w:highlight w:val="none"/>
          <w:lang w:val="en-US" w:eastAsia="zh-CN"/>
        </w:rPr>
        <w:t>合同条款（征求法律意见稿，最终以法务审核意见为准）</w:t>
      </w:r>
    </w:p>
    <w:p>
      <w:pPr>
        <w:jc w:val="center"/>
        <w:rPr>
          <w:rFonts w:hint="eastAsia" w:ascii="仿宋" w:hAnsi="仿宋" w:eastAsia="仿宋" w:cs="仿宋"/>
          <w:kern w:val="0"/>
          <w:sz w:val="28"/>
          <w:szCs w:val="28"/>
        </w:rPr>
      </w:pPr>
    </w:p>
    <w:p>
      <w:pPr>
        <w:jc w:val="center"/>
        <w:rPr>
          <w:rFonts w:ascii="黑体" w:hAnsi="黑体" w:eastAsia="黑体"/>
          <w:b/>
          <w:bCs/>
          <w:sz w:val="30"/>
          <w:szCs w:val="30"/>
          <w:u w:val="single"/>
        </w:rPr>
      </w:pPr>
      <w:r>
        <w:rPr>
          <w:rFonts w:hint="eastAsia" w:ascii="黑体" w:hAnsi="黑体" w:eastAsia="黑体" w:cs="幼圆"/>
          <w:b/>
          <w:bCs/>
          <w:sz w:val="30"/>
          <w:szCs w:val="30"/>
        </w:rPr>
        <w:t>空港公交维保场、南坪东路临时过渡公交站场项目边坡工程第三方监测服务合同</w:t>
      </w:r>
    </w:p>
    <w:p>
      <w:pPr>
        <w:spacing w:line="540" w:lineRule="exact"/>
        <w:rPr>
          <w:rFonts w:ascii="仿宋_GB2312" w:eastAsia="仿宋_GB2312"/>
          <w:bCs/>
          <w:sz w:val="28"/>
          <w:szCs w:val="28"/>
        </w:rPr>
      </w:pPr>
      <w:r>
        <w:rPr>
          <w:rFonts w:hint="eastAsia" w:ascii="仿宋_GB2312" w:eastAsia="仿宋_GB2312" w:cs="仿宋_GB2312"/>
          <w:bCs/>
          <w:sz w:val="28"/>
          <w:szCs w:val="28"/>
        </w:rPr>
        <w:t>委托方（甲方）：重庆城市综合交通枢纽（集团）有限公司</w:t>
      </w:r>
    </w:p>
    <w:p>
      <w:pPr>
        <w:spacing w:line="540" w:lineRule="exact"/>
        <w:rPr>
          <w:rFonts w:ascii="仿宋_GB2312" w:eastAsia="仿宋_GB2312"/>
          <w:bCs/>
          <w:sz w:val="28"/>
          <w:szCs w:val="28"/>
        </w:rPr>
      </w:pPr>
      <w:r>
        <w:rPr>
          <w:rFonts w:hint="eastAsia" w:ascii="仿宋_GB2312" w:eastAsia="仿宋_GB2312" w:cs="仿宋_GB2312"/>
          <w:bCs/>
          <w:sz w:val="28"/>
          <w:szCs w:val="28"/>
        </w:rPr>
        <w:t xml:space="preserve">承接方（乙方）： </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甲方委托乙方承担空港公交维保场、南坪东路临时过渡公交站场项目边坡工程第三方监测服务工作，根据《中华人民共和国民法典》《中华人民共和国测绘法》和有关法律法规，经双方协商一致签订本合同。</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第一条  工作内容、技术要求、工期</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1.1 工作内容</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1.11结合本项目实际情况编制边坡监测实施方案，确保通过甲方审核；预估监测点65个，其中挡墙、边坡顶部平面、竖向位移监测点数39个，周边建筑物沉降监测26个，</w:t>
      </w:r>
      <w:r>
        <w:rPr>
          <w:rFonts w:hint="eastAsia" w:ascii="仿宋_GB2312" w:eastAsia="仿宋_GB2312" w:cs="仿宋_GB2312"/>
          <w:sz w:val="28"/>
          <w:szCs w:val="28"/>
          <w:lang w:val="en-US" w:eastAsia="zh-CN"/>
        </w:rPr>
        <w:t>预估</w:t>
      </w:r>
      <w:r>
        <w:rPr>
          <w:rFonts w:hint="eastAsia" w:ascii="仿宋_GB2312" w:eastAsia="仿宋_GB2312" w:cs="仿宋_GB2312"/>
          <w:sz w:val="28"/>
          <w:szCs w:val="28"/>
        </w:rPr>
        <w:t>监测量为1316点·次，具体监测点位布置及监测频次以甲方审核通过的监测实施方案为准</w:t>
      </w:r>
      <w:r>
        <w:rPr>
          <w:rFonts w:hint="eastAsia" w:ascii="仿宋_GB2312" w:eastAsia="仿宋_GB2312" w:cs="仿宋_GB2312"/>
          <w:sz w:val="28"/>
          <w:szCs w:val="28"/>
          <w:lang w:eastAsia="zh-CN"/>
        </w:rPr>
        <w:t>，最终实施的监测项目总点次不得低于1316点·次</w:t>
      </w:r>
      <w:r>
        <w:rPr>
          <w:rFonts w:hint="eastAsia" w:ascii="仿宋_GB2312" w:eastAsia="仿宋_GB2312" w:cs="仿宋_GB2312"/>
          <w:sz w:val="28"/>
          <w:szCs w:val="28"/>
        </w:rPr>
        <w:t>。</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1.12. 根据边坡治理工程特点，选择监测变量，结合地表、应力等监测手段，完善监测网布置，做好锚索、高切坡、周边建筑物的监测；</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1.13.施工过程中及竣工后，均应进行相关的所有监测，密切关注地质及边坡、周边建筑物、锚索的变化，满足设计提出的动态设计、信息法施工的要求；</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1.14. 及时发现异常情况，应立即通知参建各单位共同研究解决办法。</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1.2技术要求</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严格执行以下规范：</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（1）《建筑变形测量规范》（JGJ/8-2016）</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（2）《重庆城市综合交通枢纽（集团）有限公司空港公交维保场、南坪东路临时过渡临时过渡公交站场项目施工图设计》</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（3）《重庆城市综合交通枢纽（集团）有限公司空港公交维保场、南坪东路临时过渡公交站场施工图变更设计》</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（4）《建筑边坡支护技术规范》（GB 50330－2013）</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（5）《工程测量规范》（GB 50026-2007）</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（6）《建筑基坑工程监测技术规范》（GB 50497-2009）</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（7）《国家三角测量规范》（GB/T 17942-2000）</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1.3工期</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从进场开始至工程竣工两年后结束。根据施工情况,按甲方要求乙方应无条件及时从施工监测转为后期监测。</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第二条  监测等级、范围、方法、年限及周期和工作量</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2.1监测等级：严格按《建筑变形测量规范》（JBJ/8-2016）的3等精度执行，即沉降观测时观测点测站高差中误差≤1.5mm，平面位移观测时观测点坐标中误差≤10mm。用于监测变形观测点所需的基准点按二级精度执行，即沉降观测时观测点测站高差中误差≤0.5mm，平面位移观测时观测点坐标中误差≤3mm。</w:t>
      </w:r>
    </w:p>
    <w:p>
      <w:pPr>
        <w:spacing w:line="54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2.2监测范围：经甲方、设计、监理评审认可的监测技术方案拟定范围。</w:t>
      </w:r>
    </w:p>
    <w:p>
      <w:pPr>
        <w:spacing w:line="54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2.3监测方法：按经甲方、设计、监理评审认可的监测方案进行监测。</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（1）水平位移采用极坐标法或切线支距法。</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（2）施工期监测和运行期监测相结合。</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（3）日常宏观巡查。</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2.4监测年限及周期：根据《建筑边坡支护技术规范》（GB50330－2013）16.2.3条，边坡坡顶位移监测点应在施工开始前建成，并进行初始测量。</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边坡坡顶位移监测应与施工同时开展，锚杆应力监测应施工完成一批投入监测一批；边坡支护工程竣工初验后，进行治理工程运行效果监测，运行效果监测时间两年。具体监测频率详见监测方案。</w:t>
      </w:r>
    </w:p>
    <w:p>
      <w:pPr>
        <w:ind w:firstLine="560" w:firstLineChars="200"/>
        <w:rPr>
          <w:rFonts w:ascii="仿宋_GB2312" w:eastAsia="仿宋_GB2312" w:cs="仿宋_GB2312"/>
          <w:sz w:val="28"/>
          <w:szCs w:val="28"/>
        </w:rPr>
      </w:pPr>
      <w:r>
        <w:rPr>
          <w:rFonts w:hint="eastAsia" w:ascii="仿宋_GB2312" w:eastAsia="仿宋_GB2312" w:cs="仿宋_GB2312"/>
          <w:sz w:val="28"/>
          <w:szCs w:val="28"/>
        </w:rPr>
        <w:t>2.5本合同所用监测方案是乙方编制并通过甲方审核的监测方案，乙方是在充分了解项目情况、空港公交维保场、南坪东路临时过渡临时过渡公交站场项目的变更情况后制定的，位移、变形等监测和日常巡视频率均须满足设计要求，能满足施工单位信息法施工要求，能掌握边坡、防护工程、周边建筑在施工及本合同工程完成2年后受不良因素影响程度。特别是周边建筑，如果建筑的持有者提出因施工造成损坏或不良影响，能够有效证明我方的施工满足国家、行业要求。</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第三条  提交资料</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3.1监测方案</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3.2施工过程中及工程竣工后按月、按季、按年向业主单位分别提交监测月报、</w:t>
      </w:r>
      <w:r>
        <w:rPr>
          <w:rFonts w:ascii="仿宋_GB2312" w:eastAsia="仿宋_GB2312" w:cs="仿宋_GB2312"/>
          <w:sz w:val="28"/>
          <w:szCs w:val="28"/>
        </w:rPr>
        <w:t>季报</w:t>
      </w:r>
      <w:r>
        <w:rPr>
          <w:rFonts w:hint="eastAsia" w:ascii="仿宋_GB2312" w:eastAsia="仿宋_GB2312" w:cs="仿宋_GB2312"/>
          <w:sz w:val="28"/>
          <w:szCs w:val="28"/>
        </w:rPr>
        <w:t>、年报。边坡变形出现异常或险情时，提交监测专报。</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3.3完成本合同约定监测任务后提交总监测报告。</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第四条  双方责任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4.1甲方责任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4.1.1负责现场协调工作，配合乙方解决合同履行期间的有关问题。</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4.1.2按合同约定支付乙方工程款。</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4.1.3提供测区控制点成果（不少于2点）。</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4.2乙方责任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4.2.1根据甲方要求和有关规范，编写《监测实施方案》，保证监测方案的科学性、合理性和实用性并通过甲方审核，评审费由乙方支付，已包含在报价中。如方案未通过甲方审核，乙方应在5日内完成整改直至合格。由此造成甲方的损失由乙方承担。</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4.2.2派出项目负责人与甲方协调有关事宜。</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4.2.3做好设备调试工作，确保设备正常运行，若遇特殊情况，应加密监测。</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4.2.4做好监测设备、设施的运行管理及维护工作并承担相应的费用，配备满足监测所需的仪器、材料、设备、人员。</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4.2.5乙方必须严格按本合同规定的技术规范规定进行监测，并对提交的监测分析报告的准确性、真实性负责。</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4.2.6乙方工作人员必须服从甲方的管理，严格执行甲方现场管理制度，积极参与甲方召开的各项会议。</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4.2.7监测期间的 食宿、交通、安全事故等由乙方自行负责。</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4.2.8按本合同约定的时间、周期进行监测提交监测报告，如因乙方原因乙方不按约定期限进行监测并提交监测报告的，应按合同暂定总金额的3‰/日向甲方承担违约责任。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4.2.9 监测期间乙方应做好安全防护，并按照相关安全规范要求进行监测，作业过程中发生的一切安全事故均有乙方负责。</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 xml:space="preserve">第五条  </w:t>
      </w:r>
      <w:r>
        <w:rPr>
          <w:rFonts w:hint="eastAsia" w:ascii="仿宋_GB2312" w:eastAsia="仿宋_GB2312" w:cs="仿宋_GB2312"/>
          <w:b/>
          <w:bCs/>
          <w:sz w:val="28"/>
          <w:szCs w:val="28"/>
          <w:lang w:val="en-US" w:eastAsia="zh-CN"/>
        </w:rPr>
        <w:t>监测</w:t>
      </w:r>
      <w:r>
        <w:rPr>
          <w:rFonts w:hint="eastAsia" w:ascii="仿宋_GB2312" w:eastAsia="仿宋_GB2312" w:cs="仿宋_GB2312"/>
          <w:b/>
          <w:bCs/>
          <w:sz w:val="28"/>
          <w:szCs w:val="28"/>
        </w:rPr>
        <w:t>费用及支付方式</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5.1  合同价款</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5.1.1本合同为总价包干，总价</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元（大写人民币：</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w:t>
      </w:r>
      <w:r>
        <w:rPr>
          <w:rFonts w:hint="eastAsia" w:ascii="仿宋_GB2312" w:eastAsia="仿宋_GB2312" w:cs="仿宋_GB2312"/>
          <w:sz w:val="28"/>
          <w:szCs w:val="28"/>
          <w:lang w:eastAsia="zh-CN"/>
        </w:rPr>
        <w:t>，其中南坪东路临时过渡公交站场项目</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lang w:eastAsia="zh-CN"/>
        </w:rPr>
        <w:t>元，空港公交维保场项目</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lang w:eastAsia="zh-CN"/>
        </w:rPr>
        <w:t>元</w:t>
      </w:r>
      <w:r>
        <w:rPr>
          <w:rFonts w:hint="eastAsia" w:ascii="仿宋_GB2312" w:eastAsia="仿宋_GB2312" w:cs="仿宋_GB2312"/>
          <w:sz w:val="28"/>
          <w:szCs w:val="28"/>
        </w:rPr>
        <w:t>。包括但不限于包含专家评审费、监测布点费、技术服务费、税金、管理费等一切费用。</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  付款方式</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5.2.1. 监测费用按项目分别进行支付</w:t>
      </w:r>
      <w:r>
        <w:rPr>
          <w:rFonts w:hint="eastAsia" w:ascii="仿宋_GB2312" w:eastAsia="仿宋_GB2312" w:cs="仿宋_GB2312"/>
          <w:sz w:val="28"/>
          <w:szCs w:val="28"/>
          <w:lang w:eastAsia="zh-CN"/>
        </w:rPr>
        <w:t>。</w:t>
      </w:r>
      <w:r>
        <w:rPr>
          <w:rFonts w:hint="eastAsia" w:ascii="仿宋_GB2312" w:eastAsia="仿宋_GB2312" w:cs="仿宋_GB2312"/>
          <w:sz w:val="28"/>
          <w:szCs w:val="28"/>
        </w:rPr>
        <w:t>本工程无预付款，按照通过审批的监测实施方案，中选人完成第一次布点并通过甲方认可后，</w:t>
      </w:r>
      <w:r>
        <w:rPr>
          <w:rFonts w:hint="eastAsia" w:ascii="仿宋_GB2312" w:eastAsia="仿宋_GB2312" w:cs="仿宋_GB2312"/>
          <w:sz w:val="28"/>
          <w:szCs w:val="28"/>
          <w:lang w:val="en-US" w:eastAsia="zh-CN"/>
        </w:rPr>
        <w:t>甲方</w:t>
      </w:r>
      <w:r>
        <w:rPr>
          <w:rFonts w:hint="eastAsia" w:ascii="仿宋_GB2312" w:eastAsia="仿宋_GB2312" w:cs="仿宋_GB2312"/>
          <w:sz w:val="28"/>
          <w:szCs w:val="28"/>
        </w:rPr>
        <w:t>支付该项目监测费</w:t>
      </w:r>
      <w:r>
        <w:rPr>
          <w:rFonts w:hint="eastAsia" w:ascii="仿宋_GB2312" w:eastAsia="仿宋_GB2312" w:cs="仿宋_GB2312"/>
          <w:sz w:val="28"/>
          <w:szCs w:val="28"/>
          <w:lang w:val="en-US" w:eastAsia="zh-CN"/>
        </w:rPr>
        <w:t>用</w:t>
      </w:r>
      <w:r>
        <w:rPr>
          <w:rFonts w:hint="eastAsia" w:ascii="仿宋_GB2312" w:eastAsia="仿宋_GB2312" w:cs="仿宋_GB2312"/>
          <w:sz w:val="28"/>
          <w:szCs w:val="28"/>
        </w:rPr>
        <w:t>的20%；</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5.2.2.</w:t>
      </w:r>
      <w:r>
        <w:rPr>
          <w:rFonts w:hint="eastAsia"/>
        </w:rPr>
        <w:t xml:space="preserve"> </w:t>
      </w:r>
      <w:r>
        <w:rPr>
          <w:rFonts w:hint="eastAsia" w:ascii="仿宋_GB2312" w:eastAsia="仿宋_GB2312" w:cs="仿宋_GB2312"/>
          <w:sz w:val="28"/>
          <w:szCs w:val="28"/>
        </w:rPr>
        <w:t>自首轮监测工作开始满12个月，并按期提交阶段性监测报告后，</w:t>
      </w:r>
      <w:r>
        <w:rPr>
          <w:rFonts w:hint="eastAsia" w:ascii="仿宋_GB2312" w:eastAsia="仿宋_GB2312" w:cs="仿宋_GB2312"/>
          <w:sz w:val="28"/>
          <w:szCs w:val="28"/>
          <w:lang w:val="en-US" w:eastAsia="zh-CN"/>
        </w:rPr>
        <w:t>甲方</w:t>
      </w:r>
      <w:r>
        <w:rPr>
          <w:rFonts w:hint="eastAsia" w:ascii="仿宋_GB2312" w:eastAsia="仿宋_GB2312" w:cs="仿宋_GB2312"/>
          <w:sz w:val="28"/>
          <w:szCs w:val="28"/>
        </w:rPr>
        <w:t>支付该项目监测费用的40%；</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5.2.3.</w:t>
      </w:r>
      <w:r>
        <w:rPr>
          <w:rFonts w:hint="eastAsia"/>
        </w:rPr>
        <w:t xml:space="preserve"> </w:t>
      </w:r>
      <w:r>
        <w:rPr>
          <w:rFonts w:hint="eastAsia" w:ascii="仿宋_GB2312" w:eastAsia="仿宋_GB2312" w:cs="仿宋_GB2312"/>
          <w:sz w:val="28"/>
          <w:szCs w:val="28"/>
        </w:rPr>
        <w:t>运行效果监测2年完工并向甲方提交监测报告后30日内，甲方付完剩余监测费用。</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5.2.4.以上费用乙方按照甲方要求出具相应</w:t>
      </w:r>
      <w:r>
        <w:rPr>
          <w:rFonts w:hint="eastAsia" w:ascii="仿宋_GB2312" w:eastAsia="仿宋_GB2312" w:cs="仿宋_GB2312"/>
          <w:sz w:val="28"/>
          <w:szCs w:val="28"/>
          <w:lang w:val="en-US" w:eastAsia="zh-CN"/>
        </w:rPr>
        <w:t>增值税专用</w:t>
      </w:r>
      <w:r>
        <w:rPr>
          <w:rFonts w:hint="eastAsia" w:ascii="仿宋_GB2312" w:eastAsia="仿宋_GB2312" w:cs="仿宋_GB2312"/>
          <w:sz w:val="28"/>
          <w:szCs w:val="28"/>
        </w:rPr>
        <w:t>发票后，再进行支付。</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5.2.6 甲方开票信息</w:t>
      </w:r>
    </w:p>
    <w:p>
      <w:pPr>
        <w:spacing w:line="540" w:lineRule="exact"/>
        <w:ind w:left="420" w:leftChars="200"/>
        <w:rPr>
          <w:rFonts w:ascii="仿宋_GB2312" w:eastAsia="仿宋_GB2312" w:cs="仿宋_GB2312"/>
          <w:sz w:val="28"/>
          <w:szCs w:val="28"/>
        </w:rPr>
      </w:pPr>
      <w:r>
        <w:rPr>
          <w:rFonts w:hint="eastAsia" w:ascii="仿宋_GB2312" w:eastAsia="仿宋_GB2312" w:cs="仿宋_GB2312"/>
          <w:sz w:val="28"/>
          <w:szCs w:val="28"/>
        </w:rPr>
        <w:t>名</w:t>
      </w:r>
      <w:r>
        <w:rPr>
          <w:rFonts w:ascii="仿宋_GB2312" w:eastAsia="仿宋_GB2312" w:cs="仿宋_GB2312"/>
          <w:sz w:val="28"/>
          <w:szCs w:val="28"/>
        </w:rPr>
        <w:t>        </w:t>
      </w:r>
      <w:r>
        <w:rPr>
          <w:rFonts w:hint="eastAsia" w:ascii="仿宋_GB2312" w:eastAsia="仿宋_GB2312" w:cs="仿宋_GB2312"/>
          <w:sz w:val="28"/>
          <w:szCs w:val="28"/>
        </w:rPr>
        <w:t>称：重庆城市综合交通枢纽（集团）有限公司</w:t>
      </w:r>
      <w:r>
        <w:rPr>
          <w:rFonts w:ascii="仿宋_GB2312" w:eastAsia="仿宋_GB2312" w:cs="仿宋_GB2312"/>
          <w:sz w:val="28"/>
          <w:szCs w:val="28"/>
        </w:rPr>
        <w:t> </w:t>
      </w:r>
      <w:r>
        <w:rPr>
          <w:rFonts w:hint="eastAsia" w:ascii="仿宋_GB2312" w:eastAsia="仿宋_GB2312" w:cs="仿宋_GB2312"/>
          <w:sz w:val="28"/>
          <w:szCs w:val="28"/>
        </w:rPr>
        <w:br w:type="textWrapping"/>
      </w:r>
      <w:r>
        <w:rPr>
          <w:rFonts w:hint="eastAsia" w:ascii="仿宋_GB2312" w:eastAsia="仿宋_GB2312" w:cs="仿宋_GB2312"/>
          <w:sz w:val="28"/>
          <w:szCs w:val="28"/>
        </w:rPr>
        <w:t>纳税人识别号：915000002030278529</w:t>
      </w:r>
      <w:r>
        <w:rPr>
          <w:rFonts w:ascii="仿宋_GB2312" w:eastAsia="仿宋_GB2312" w:cs="仿宋_GB2312"/>
          <w:sz w:val="28"/>
          <w:szCs w:val="28"/>
        </w:rPr>
        <w:t>  </w:t>
      </w:r>
      <w:r>
        <w:rPr>
          <w:rFonts w:hint="eastAsia" w:ascii="仿宋_GB2312" w:eastAsia="仿宋_GB2312" w:cs="仿宋_GB2312"/>
          <w:sz w:val="28"/>
          <w:szCs w:val="28"/>
        </w:rPr>
        <w:br w:type="textWrapping"/>
      </w:r>
      <w:r>
        <w:rPr>
          <w:rFonts w:hint="eastAsia" w:ascii="仿宋_GB2312" w:eastAsia="仿宋_GB2312" w:cs="仿宋_GB2312"/>
          <w:sz w:val="28"/>
          <w:szCs w:val="28"/>
        </w:rPr>
        <w:t>地址</w:t>
      </w:r>
      <w:r>
        <w:rPr>
          <w:rFonts w:ascii="仿宋_GB2312" w:eastAsia="仿宋_GB2312" w:cs="仿宋_GB2312"/>
          <w:sz w:val="28"/>
          <w:szCs w:val="28"/>
        </w:rPr>
        <w:t>  </w:t>
      </w:r>
      <w:r>
        <w:rPr>
          <w:rFonts w:hint="eastAsia" w:ascii="仿宋_GB2312" w:eastAsia="仿宋_GB2312" w:cs="仿宋_GB2312"/>
          <w:sz w:val="28"/>
          <w:szCs w:val="28"/>
        </w:rPr>
        <w:t>、电话：重庆市渝中区健康路花园大厦B栋6楼</w:t>
      </w:r>
      <w:r>
        <w:rPr>
          <w:rFonts w:ascii="仿宋_GB2312" w:eastAsia="仿宋_GB2312" w:cs="仿宋_GB2312"/>
          <w:sz w:val="28"/>
          <w:szCs w:val="28"/>
        </w:rPr>
        <w:t>   </w:t>
      </w:r>
      <w:r>
        <w:rPr>
          <w:rFonts w:hint="eastAsia" w:ascii="仿宋_GB2312" w:eastAsia="仿宋_GB2312" w:cs="仿宋_GB2312"/>
          <w:sz w:val="28"/>
          <w:szCs w:val="28"/>
        </w:rPr>
        <w:t>88602665</w:t>
      </w:r>
      <w:r>
        <w:rPr>
          <w:rFonts w:hint="eastAsia" w:ascii="仿宋_GB2312" w:eastAsia="仿宋_GB2312" w:cs="仿宋_GB2312"/>
          <w:sz w:val="28"/>
          <w:szCs w:val="28"/>
        </w:rPr>
        <w:br w:type="textWrapping"/>
      </w:r>
      <w:r>
        <w:rPr>
          <w:rFonts w:hint="eastAsia" w:ascii="仿宋_GB2312" w:eastAsia="仿宋_GB2312" w:cs="仿宋_GB2312"/>
          <w:sz w:val="28"/>
          <w:szCs w:val="28"/>
        </w:rPr>
        <w:t>开户行及账号：浦发银行解放碑支行83150154900000062</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第六条  安全文明</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进场前乙方需对工作人员进行安全交底，作业时做好安全防护工作，杜绝安全事故。工作人员进入现场必须严格按规定佩戴安全帽，严禁穿拖鞋。服从施工现场管理。</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第七条  违约责任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7.1甲方和乙方双方任何一方不按本合同条款执行即违约。</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7.2在合同签订过程中，监测工作开始之前，双方若有任何一方违约的，则一次性支付违约金50000元。</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7.3监测过程中，甲方未按合同规定日期拨付监测费用，逾期每日按甲方应付款的3‰向乙方支付违约金；因乙方原因乙方不按约定期限进行监测并提交监测报告的，应按日以暂定合同总金额的3‰向甲方承担违约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7.4若乙方在监测过程中，未按国家规范、技术要求进行监测，被甲方检查发现，视为乙方违约，每发生一次，乙方须向甲方按次支付10000元的违约金。</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7.5本合同所述违约金，甲方有权在应支付给乙方的任何一笔监测费中扣减。</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7.6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第八条  不可抗力</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由于任何非政府行为例如天灾、山崩、雷击、火灾、公敌行为、 战争和封锁造成的不可抗力影响，致使甲方和乙方未能履行或需要延期履行本合同规定的义务，受影响一方，必须就不可抗力影响详情，以书函或电函通知另一方，并应在期后30天内，将有关机构签发的证明书寄予另一方，以供确认。乙方的服务时间应延长，但不会有额外服务费用的补偿，若不可抗力的影响持续超过 120天，双方必须解决继续执行合同的问题，若合同已无效，并不能继续执行，双方必须通过协商解决结算问题。</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第九条  合同时效</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本合同自甲乙双方签字盖章后生效，合同价款付清后失效。 </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第十条  其它事项</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10.1 如甲方认为乙方的任何人员之工作表现未能满足本合同有关监测工作职责的要求，甲方可随时要求撤换，乙方必须立即安排合适人员填补空缺。</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10.2乙方不得在没用甲方的书面同意下将本协议所带来的利益转让给他方。乙方也不得在没有甲方的书面同意下以任何方式将本协议所规定的义务转移给他人来完成。否则甲方有权单方解除合同，并要求乙方承担合同总金额30%的违约金。</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10.3 未尽事宜，双方可根据需要，经协商后另行签订补充合同或协议。</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10.4 本合同执行过程中，双方有分歧意见时，尽量釆取协商解决， 仍不能一致时，双方同意向项目所在地人民法院提起诉讼。</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双方文书送达地址：</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甲方送达地址：重庆两江新区泰山大道东段梧桐路6号       </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送达方式：邮寄或递送</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乙方送达地址：      </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送达方式：邮寄或递送</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该送达地址可用于接收各类文书。在合同履行过程中或发生诉讼时，按约定地址送达的视为当事人已签收，受送达人拒收的，不影响送达的效力。一方以特快专递邮寄送达的，寄出后第三日为送达日。甲、乙双方方任何一方若需变更送达地址，应在地址变更后三日内书面通知对方当事人；未按约定方式通知的，原约定送达地址仍为有效送达地址。电子送达具有同等效力。</w:t>
      </w:r>
    </w:p>
    <w:p>
      <w:pPr>
        <w:rPr>
          <w:szCs w:val="21"/>
        </w:rPr>
      </w:pPr>
    </w:p>
    <w:p/>
    <w:p>
      <w:pPr>
        <w:pStyle w:val="4"/>
      </w:pPr>
    </w:p>
    <w:p>
      <w:pPr>
        <w:spacing w:line="540" w:lineRule="exact"/>
        <w:ind w:firstLine="560" w:firstLineChars="200"/>
        <w:rPr>
          <w:rFonts w:ascii="幼圆" w:eastAsia="幼圆"/>
          <w:sz w:val="28"/>
          <w:szCs w:val="28"/>
        </w:rPr>
      </w:pPr>
      <w:r>
        <w:rPr>
          <w:rFonts w:hint="eastAsia" w:ascii="仿宋_GB2312" w:eastAsia="仿宋_GB2312" w:cs="仿宋_GB2312"/>
          <w:sz w:val="28"/>
          <w:szCs w:val="28"/>
        </w:rPr>
        <w:t>10.5本合同一式陆份，甲方肆份、乙方贰份，具有同等法律效力。</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以下无正文，为签署页。</w:t>
      </w:r>
    </w:p>
    <w:tbl>
      <w:tblPr>
        <w:tblStyle w:val="11"/>
        <w:tblW w:w="9045" w:type="dxa"/>
        <w:tblInd w:w="-106" w:type="dxa"/>
        <w:tblLayout w:type="fixed"/>
        <w:tblCellMar>
          <w:top w:w="0" w:type="dxa"/>
          <w:left w:w="108" w:type="dxa"/>
          <w:bottom w:w="0" w:type="dxa"/>
          <w:right w:w="108" w:type="dxa"/>
        </w:tblCellMar>
      </w:tblPr>
      <w:tblGrid>
        <w:gridCol w:w="4523"/>
        <w:gridCol w:w="4522"/>
      </w:tblGrid>
      <w:tr>
        <w:tblPrEx>
          <w:tblCellMar>
            <w:top w:w="0" w:type="dxa"/>
            <w:left w:w="108" w:type="dxa"/>
            <w:bottom w:w="0" w:type="dxa"/>
            <w:right w:w="108" w:type="dxa"/>
          </w:tblCellMar>
        </w:tblPrEx>
        <w:trPr>
          <w:trHeight w:val="3715" w:hRule="atLeast"/>
        </w:trPr>
        <w:tc>
          <w:tcPr>
            <w:tcW w:w="4523" w:type="dxa"/>
          </w:tcPr>
          <w:p>
            <w:pPr>
              <w:spacing w:line="540" w:lineRule="exact"/>
              <w:rPr>
                <w:rFonts w:ascii="仿宋_GB2312" w:eastAsia="仿宋_GB2312"/>
                <w:sz w:val="28"/>
                <w:szCs w:val="28"/>
              </w:rPr>
            </w:pPr>
            <w:r>
              <w:rPr>
                <w:rFonts w:hint="eastAsia" w:ascii="仿宋_GB2312" w:eastAsia="仿宋_GB2312" w:cs="仿宋_GB2312"/>
                <w:sz w:val="28"/>
                <w:szCs w:val="28"/>
              </w:rPr>
              <w:t>甲    方（盖章）：重庆城市综合交通枢纽（集团）有限公司</w:t>
            </w:r>
          </w:p>
          <w:p>
            <w:pPr>
              <w:spacing w:line="540" w:lineRule="exact"/>
              <w:rPr>
                <w:rFonts w:ascii="仿宋_GB2312" w:eastAsia="仿宋_GB2312" w:cs="仿宋_GB2312"/>
                <w:sz w:val="28"/>
                <w:szCs w:val="28"/>
              </w:rPr>
            </w:pPr>
            <w:r>
              <w:rPr>
                <w:rFonts w:hint="eastAsia" w:ascii="仿宋_GB2312" w:eastAsia="仿宋_GB2312" w:cs="仿宋_GB2312"/>
                <w:sz w:val="28"/>
                <w:szCs w:val="28"/>
              </w:rPr>
              <w:t xml:space="preserve">地    址：重庆市渝中区健康路花园大厦B栋6楼         </w:t>
            </w:r>
          </w:p>
          <w:p>
            <w:pPr>
              <w:spacing w:line="540" w:lineRule="exact"/>
              <w:rPr>
                <w:rFonts w:ascii="仿宋_GB2312" w:eastAsia="仿宋_GB2312"/>
                <w:sz w:val="28"/>
                <w:szCs w:val="28"/>
              </w:rPr>
            </w:pPr>
            <w:r>
              <w:rPr>
                <w:rFonts w:hint="eastAsia" w:ascii="仿宋_GB2312" w:eastAsia="仿宋_GB2312" w:cs="仿宋_GB2312"/>
                <w:sz w:val="28"/>
                <w:szCs w:val="28"/>
              </w:rPr>
              <w:t>经办人：</w:t>
            </w:r>
          </w:p>
          <w:p>
            <w:pPr>
              <w:spacing w:line="540" w:lineRule="exact"/>
              <w:rPr>
                <w:rFonts w:ascii="仿宋_GB2312" w:eastAsia="仿宋_GB2312" w:cs="仿宋_GB2312"/>
                <w:sz w:val="28"/>
                <w:szCs w:val="28"/>
              </w:rPr>
            </w:pPr>
            <w:r>
              <w:rPr>
                <w:rFonts w:hint="eastAsia" w:ascii="仿宋_GB2312" w:eastAsia="仿宋_GB2312" w:cs="仿宋_GB2312"/>
                <w:sz w:val="28"/>
                <w:szCs w:val="28"/>
              </w:rPr>
              <w:t>电    话： 023-88602665</w:t>
            </w:r>
          </w:p>
          <w:p>
            <w:pPr>
              <w:spacing w:line="540" w:lineRule="exact"/>
              <w:rPr>
                <w:rFonts w:ascii="仿宋_GB2312" w:eastAsia="仿宋_GB2312" w:cs="仿宋_GB2312"/>
                <w:sz w:val="28"/>
                <w:szCs w:val="28"/>
              </w:rPr>
            </w:pPr>
            <w:r>
              <w:rPr>
                <w:rFonts w:hint="eastAsia" w:ascii="仿宋_GB2312" w:eastAsia="仿宋_GB2312" w:cs="仿宋_GB2312"/>
                <w:sz w:val="28"/>
                <w:szCs w:val="28"/>
              </w:rPr>
              <w:t xml:space="preserve">开户银行：浦发银行解放碑支行  </w:t>
            </w:r>
          </w:p>
          <w:p>
            <w:pPr>
              <w:spacing w:line="540" w:lineRule="exact"/>
              <w:rPr>
                <w:rFonts w:ascii="仿宋_GB2312" w:eastAsia="仿宋_GB2312" w:cs="仿宋_GB2312"/>
                <w:sz w:val="28"/>
                <w:szCs w:val="28"/>
              </w:rPr>
            </w:pPr>
            <w:r>
              <w:rPr>
                <w:rFonts w:hint="eastAsia" w:ascii="仿宋_GB2312" w:eastAsia="仿宋_GB2312" w:cs="仿宋_GB2312"/>
                <w:sz w:val="28"/>
                <w:szCs w:val="28"/>
              </w:rPr>
              <w:t>账    号：83150154900000062</w:t>
            </w:r>
          </w:p>
        </w:tc>
        <w:tc>
          <w:tcPr>
            <w:tcW w:w="4522" w:type="dxa"/>
          </w:tcPr>
          <w:p>
            <w:pPr>
              <w:spacing w:line="540" w:lineRule="exact"/>
              <w:rPr>
                <w:rFonts w:ascii="仿宋_GB2312" w:eastAsia="仿宋_GB2312"/>
                <w:sz w:val="30"/>
                <w:szCs w:val="30"/>
              </w:rPr>
            </w:pPr>
            <w:r>
              <w:rPr>
                <w:rFonts w:hint="eastAsia" w:ascii="仿宋_GB2312" w:eastAsia="仿宋_GB2312" w:cs="仿宋_GB2312"/>
                <w:sz w:val="28"/>
                <w:szCs w:val="28"/>
              </w:rPr>
              <w:t>乙    方（盖章）：</w:t>
            </w:r>
          </w:p>
          <w:p>
            <w:pPr>
              <w:spacing w:line="540" w:lineRule="exact"/>
              <w:rPr>
                <w:rFonts w:ascii="仿宋_GB2312" w:eastAsia="仿宋_GB2312"/>
                <w:sz w:val="28"/>
                <w:szCs w:val="28"/>
              </w:rPr>
            </w:pPr>
            <w:r>
              <w:rPr>
                <w:rFonts w:hint="eastAsia" w:ascii="仿宋_GB2312" w:eastAsia="仿宋_GB2312" w:cs="仿宋_GB2312"/>
                <w:sz w:val="28"/>
                <w:szCs w:val="28"/>
              </w:rPr>
              <w:t xml:space="preserve">地    址： </w:t>
            </w:r>
          </w:p>
          <w:p>
            <w:pPr>
              <w:spacing w:line="540" w:lineRule="exact"/>
              <w:rPr>
                <w:rFonts w:ascii="仿宋_GB2312" w:eastAsia="仿宋_GB2312"/>
                <w:sz w:val="28"/>
                <w:szCs w:val="28"/>
              </w:rPr>
            </w:pPr>
            <w:r>
              <w:rPr>
                <w:rFonts w:hint="eastAsia" w:ascii="仿宋_GB2312" w:eastAsia="仿宋_GB2312" w:cs="仿宋_GB2312"/>
                <w:sz w:val="28"/>
                <w:szCs w:val="28"/>
              </w:rPr>
              <w:t>经办人：</w:t>
            </w:r>
          </w:p>
          <w:p>
            <w:pPr>
              <w:spacing w:line="540" w:lineRule="exact"/>
              <w:rPr>
                <w:rFonts w:ascii="仿宋_GB2312" w:eastAsia="仿宋_GB2312"/>
                <w:sz w:val="28"/>
                <w:szCs w:val="28"/>
              </w:rPr>
            </w:pPr>
            <w:r>
              <w:rPr>
                <w:rFonts w:hint="eastAsia" w:ascii="仿宋_GB2312" w:eastAsia="仿宋_GB2312" w:cs="仿宋_GB2312"/>
                <w:sz w:val="28"/>
                <w:szCs w:val="28"/>
              </w:rPr>
              <w:t xml:space="preserve">电    话： </w:t>
            </w:r>
          </w:p>
          <w:p>
            <w:pPr>
              <w:spacing w:line="540" w:lineRule="exact"/>
              <w:rPr>
                <w:rFonts w:ascii="仿宋_GB2312" w:eastAsia="仿宋_GB2312"/>
                <w:sz w:val="28"/>
                <w:szCs w:val="28"/>
              </w:rPr>
            </w:pPr>
            <w:r>
              <w:rPr>
                <w:rFonts w:hint="eastAsia" w:ascii="仿宋_GB2312" w:eastAsia="仿宋_GB2312" w:cs="仿宋_GB2312"/>
                <w:sz w:val="28"/>
                <w:szCs w:val="28"/>
              </w:rPr>
              <w:t>：</w:t>
            </w:r>
          </w:p>
          <w:p>
            <w:pPr>
              <w:spacing w:line="540" w:lineRule="exact"/>
              <w:rPr>
                <w:rFonts w:ascii="仿宋_GB2312" w:eastAsia="仿宋_GB2312"/>
                <w:sz w:val="28"/>
                <w:szCs w:val="28"/>
              </w:rPr>
            </w:pPr>
            <w:r>
              <w:rPr>
                <w:rFonts w:hint="eastAsia" w:ascii="仿宋_GB2312" w:eastAsia="仿宋_GB2312" w:cs="仿宋_GB2312"/>
                <w:sz w:val="28"/>
                <w:szCs w:val="28"/>
              </w:rPr>
              <w:t xml:space="preserve">开户银行： </w:t>
            </w:r>
          </w:p>
          <w:p>
            <w:pPr>
              <w:spacing w:line="540" w:lineRule="exact"/>
              <w:rPr>
                <w:rFonts w:ascii="仿宋_GB2312" w:eastAsia="仿宋_GB2312"/>
                <w:sz w:val="28"/>
                <w:szCs w:val="28"/>
              </w:rPr>
            </w:pPr>
          </w:p>
          <w:p>
            <w:pPr>
              <w:spacing w:line="540" w:lineRule="exact"/>
              <w:rPr>
                <w:rFonts w:ascii="仿宋_GB2312" w:eastAsia="仿宋_GB2312" w:cs="仿宋_GB2312"/>
                <w:sz w:val="28"/>
                <w:szCs w:val="28"/>
              </w:rPr>
            </w:pPr>
            <w:r>
              <w:rPr>
                <w:rFonts w:hint="eastAsia" w:ascii="仿宋_GB2312" w:eastAsia="仿宋_GB2312" w:cs="仿宋_GB2312"/>
                <w:sz w:val="28"/>
                <w:szCs w:val="28"/>
              </w:rPr>
              <w:t>账    号：</w:t>
            </w:r>
          </w:p>
          <w:p>
            <w:pPr>
              <w:spacing w:line="540" w:lineRule="exact"/>
              <w:rPr>
                <w:rFonts w:ascii="仿宋_GB2312" w:eastAsia="仿宋_GB2312"/>
                <w:sz w:val="28"/>
                <w:szCs w:val="28"/>
              </w:rPr>
            </w:pPr>
          </w:p>
        </w:tc>
      </w:tr>
    </w:tbl>
    <w:p>
      <w:pPr>
        <w:pStyle w:val="52"/>
        <w:spacing w:line="360" w:lineRule="auto"/>
        <w:ind w:right="210"/>
        <w:rPr>
          <w:rFonts w:ascii="仿宋_GB2312" w:hAnsi="Times New Roman" w:eastAsia="仿宋_GB2312" w:cs="仿宋_GB2312"/>
          <w:kern w:val="2"/>
          <w:lang w:val="en-U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326C3"/>
    <w:multiLevelType w:val="singleLevel"/>
    <w:tmpl w:val="A2B326C3"/>
    <w:lvl w:ilvl="0" w:tentative="0">
      <w:start w:val="1"/>
      <w:numFmt w:val="decimal"/>
      <w:suff w:val="nothing"/>
      <w:lvlText w:val="%1、"/>
      <w:lvlJc w:val="left"/>
    </w:lvl>
  </w:abstractNum>
  <w:abstractNum w:abstractNumId="1">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5"/>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pStyle w:val="6"/>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0.106.1.2:8091/seeyon/officeservlet"/>
  </w:docVars>
  <w:rsids>
    <w:rsidRoot w:val="70F65CA1"/>
    <w:rsid w:val="0003576B"/>
    <w:rsid w:val="00057F6A"/>
    <w:rsid w:val="00060357"/>
    <w:rsid w:val="000A6615"/>
    <w:rsid w:val="000B66F1"/>
    <w:rsid w:val="000B7080"/>
    <w:rsid w:val="001048E5"/>
    <w:rsid w:val="001156CA"/>
    <w:rsid w:val="001B252A"/>
    <w:rsid w:val="001B39F8"/>
    <w:rsid w:val="001C1CF7"/>
    <w:rsid w:val="001C3554"/>
    <w:rsid w:val="001E78AE"/>
    <w:rsid w:val="00205B2D"/>
    <w:rsid w:val="0027026F"/>
    <w:rsid w:val="002915B0"/>
    <w:rsid w:val="002B1228"/>
    <w:rsid w:val="002B35BA"/>
    <w:rsid w:val="002D3F82"/>
    <w:rsid w:val="00324D3D"/>
    <w:rsid w:val="003630AF"/>
    <w:rsid w:val="00373FC8"/>
    <w:rsid w:val="003E36B4"/>
    <w:rsid w:val="004176D1"/>
    <w:rsid w:val="0044367E"/>
    <w:rsid w:val="0045229F"/>
    <w:rsid w:val="00465294"/>
    <w:rsid w:val="00473649"/>
    <w:rsid w:val="004D1B1F"/>
    <w:rsid w:val="004E6472"/>
    <w:rsid w:val="005163F5"/>
    <w:rsid w:val="005239AB"/>
    <w:rsid w:val="00547C6D"/>
    <w:rsid w:val="00554E81"/>
    <w:rsid w:val="00556610"/>
    <w:rsid w:val="00557674"/>
    <w:rsid w:val="00585F87"/>
    <w:rsid w:val="005C0802"/>
    <w:rsid w:val="005C1764"/>
    <w:rsid w:val="005C766B"/>
    <w:rsid w:val="0060538C"/>
    <w:rsid w:val="006075E8"/>
    <w:rsid w:val="00614C81"/>
    <w:rsid w:val="00660E0C"/>
    <w:rsid w:val="006674B8"/>
    <w:rsid w:val="00673DB3"/>
    <w:rsid w:val="006D1FD9"/>
    <w:rsid w:val="00723069"/>
    <w:rsid w:val="007264D7"/>
    <w:rsid w:val="0076098C"/>
    <w:rsid w:val="007C097A"/>
    <w:rsid w:val="007D3622"/>
    <w:rsid w:val="007E186D"/>
    <w:rsid w:val="007E7011"/>
    <w:rsid w:val="007F764B"/>
    <w:rsid w:val="00807717"/>
    <w:rsid w:val="00857199"/>
    <w:rsid w:val="008643F9"/>
    <w:rsid w:val="00870D32"/>
    <w:rsid w:val="008926AF"/>
    <w:rsid w:val="00923C77"/>
    <w:rsid w:val="00924804"/>
    <w:rsid w:val="00930BA9"/>
    <w:rsid w:val="0096687E"/>
    <w:rsid w:val="0099032E"/>
    <w:rsid w:val="00991C39"/>
    <w:rsid w:val="009A2EAE"/>
    <w:rsid w:val="009B2C2B"/>
    <w:rsid w:val="009C3B8A"/>
    <w:rsid w:val="00A94CFF"/>
    <w:rsid w:val="00AE1F6C"/>
    <w:rsid w:val="00AF0AB3"/>
    <w:rsid w:val="00AF2CD5"/>
    <w:rsid w:val="00B136DA"/>
    <w:rsid w:val="00B77012"/>
    <w:rsid w:val="00C0257A"/>
    <w:rsid w:val="00C046F8"/>
    <w:rsid w:val="00C6412A"/>
    <w:rsid w:val="00C702C2"/>
    <w:rsid w:val="00C732DF"/>
    <w:rsid w:val="00CB065C"/>
    <w:rsid w:val="00CC6776"/>
    <w:rsid w:val="00D85BE5"/>
    <w:rsid w:val="00DA2C58"/>
    <w:rsid w:val="00DC7B39"/>
    <w:rsid w:val="00E172AB"/>
    <w:rsid w:val="00E67A2F"/>
    <w:rsid w:val="00EA44A0"/>
    <w:rsid w:val="00EC16E8"/>
    <w:rsid w:val="00F636EA"/>
    <w:rsid w:val="00F66262"/>
    <w:rsid w:val="00F82F57"/>
    <w:rsid w:val="00FA2536"/>
    <w:rsid w:val="00FC4951"/>
    <w:rsid w:val="00FD5BDF"/>
    <w:rsid w:val="00FD5DCA"/>
    <w:rsid w:val="00FE00A9"/>
    <w:rsid w:val="01010988"/>
    <w:rsid w:val="01063210"/>
    <w:rsid w:val="011B3710"/>
    <w:rsid w:val="01607223"/>
    <w:rsid w:val="01A26E98"/>
    <w:rsid w:val="01CF14B8"/>
    <w:rsid w:val="022A0803"/>
    <w:rsid w:val="022A4429"/>
    <w:rsid w:val="02B06905"/>
    <w:rsid w:val="02BF368B"/>
    <w:rsid w:val="02BF4A02"/>
    <w:rsid w:val="02C34602"/>
    <w:rsid w:val="02D76FBF"/>
    <w:rsid w:val="02DC356B"/>
    <w:rsid w:val="02E66689"/>
    <w:rsid w:val="03442996"/>
    <w:rsid w:val="03FE67D7"/>
    <w:rsid w:val="042E3DE3"/>
    <w:rsid w:val="04372847"/>
    <w:rsid w:val="04891405"/>
    <w:rsid w:val="04A73B52"/>
    <w:rsid w:val="04CD134A"/>
    <w:rsid w:val="04D1444D"/>
    <w:rsid w:val="05866260"/>
    <w:rsid w:val="05A7190C"/>
    <w:rsid w:val="05E06487"/>
    <w:rsid w:val="05FC7165"/>
    <w:rsid w:val="06193133"/>
    <w:rsid w:val="06B805C0"/>
    <w:rsid w:val="06BE6053"/>
    <w:rsid w:val="06D36DAE"/>
    <w:rsid w:val="06F87710"/>
    <w:rsid w:val="070F3873"/>
    <w:rsid w:val="073E4C7B"/>
    <w:rsid w:val="076C5D57"/>
    <w:rsid w:val="078953AD"/>
    <w:rsid w:val="078F4E9E"/>
    <w:rsid w:val="086F3253"/>
    <w:rsid w:val="09104E0D"/>
    <w:rsid w:val="092D2A73"/>
    <w:rsid w:val="093557AA"/>
    <w:rsid w:val="0992361E"/>
    <w:rsid w:val="09CF6F37"/>
    <w:rsid w:val="09E677D1"/>
    <w:rsid w:val="09FD542A"/>
    <w:rsid w:val="0A272022"/>
    <w:rsid w:val="0A4019AB"/>
    <w:rsid w:val="0AAA2D3C"/>
    <w:rsid w:val="0AB0235A"/>
    <w:rsid w:val="0AB224C8"/>
    <w:rsid w:val="0AC84796"/>
    <w:rsid w:val="0ACA108F"/>
    <w:rsid w:val="0AE16CB2"/>
    <w:rsid w:val="0AE54F7A"/>
    <w:rsid w:val="0B3D1620"/>
    <w:rsid w:val="0BA87EDA"/>
    <w:rsid w:val="0BE832C6"/>
    <w:rsid w:val="0BF25D89"/>
    <w:rsid w:val="0BF90394"/>
    <w:rsid w:val="0C111EEC"/>
    <w:rsid w:val="0C1A7BD9"/>
    <w:rsid w:val="0C435F4A"/>
    <w:rsid w:val="0C4D7314"/>
    <w:rsid w:val="0C554180"/>
    <w:rsid w:val="0C6B1F86"/>
    <w:rsid w:val="0C7546E1"/>
    <w:rsid w:val="0C893B35"/>
    <w:rsid w:val="0CBA25FB"/>
    <w:rsid w:val="0CC30F4F"/>
    <w:rsid w:val="0CE558BB"/>
    <w:rsid w:val="0D624D6B"/>
    <w:rsid w:val="0D7203C1"/>
    <w:rsid w:val="0D967F67"/>
    <w:rsid w:val="0E26175F"/>
    <w:rsid w:val="0E4516E4"/>
    <w:rsid w:val="0E985D24"/>
    <w:rsid w:val="0EAC55B5"/>
    <w:rsid w:val="0EC12EB9"/>
    <w:rsid w:val="0EF92606"/>
    <w:rsid w:val="0EFC129A"/>
    <w:rsid w:val="0F0866FF"/>
    <w:rsid w:val="0F10486E"/>
    <w:rsid w:val="0F1D12B8"/>
    <w:rsid w:val="0F303241"/>
    <w:rsid w:val="0F32155B"/>
    <w:rsid w:val="0F7300A4"/>
    <w:rsid w:val="0F9E1408"/>
    <w:rsid w:val="0FD8079E"/>
    <w:rsid w:val="10073A41"/>
    <w:rsid w:val="101166B3"/>
    <w:rsid w:val="10441893"/>
    <w:rsid w:val="108D1141"/>
    <w:rsid w:val="109F48A8"/>
    <w:rsid w:val="10AD24E2"/>
    <w:rsid w:val="10B53987"/>
    <w:rsid w:val="10DA3811"/>
    <w:rsid w:val="11066C54"/>
    <w:rsid w:val="11187D40"/>
    <w:rsid w:val="11D147A2"/>
    <w:rsid w:val="11E679E0"/>
    <w:rsid w:val="11E8208D"/>
    <w:rsid w:val="11E9780F"/>
    <w:rsid w:val="12331502"/>
    <w:rsid w:val="12343BEA"/>
    <w:rsid w:val="123958EB"/>
    <w:rsid w:val="123E036A"/>
    <w:rsid w:val="12441E8E"/>
    <w:rsid w:val="125C3BEB"/>
    <w:rsid w:val="126C3A65"/>
    <w:rsid w:val="12735316"/>
    <w:rsid w:val="127F7B44"/>
    <w:rsid w:val="12851D33"/>
    <w:rsid w:val="129235CF"/>
    <w:rsid w:val="12A76797"/>
    <w:rsid w:val="13315FE0"/>
    <w:rsid w:val="134F0198"/>
    <w:rsid w:val="137F76FF"/>
    <w:rsid w:val="13CC0A16"/>
    <w:rsid w:val="13DD6949"/>
    <w:rsid w:val="14217177"/>
    <w:rsid w:val="145D1229"/>
    <w:rsid w:val="14A804D1"/>
    <w:rsid w:val="14E14296"/>
    <w:rsid w:val="14F51940"/>
    <w:rsid w:val="15000B8B"/>
    <w:rsid w:val="156E3F63"/>
    <w:rsid w:val="15BA1ED5"/>
    <w:rsid w:val="15D03CDC"/>
    <w:rsid w:val="15F905DF"/>
    <w:rsid w:val="16140A12"/>
    <w:rsid w:val="16513DCC"/>
    <w:rsid w:val="1667061B"/>
    <w:rsid w:val="16BC71D7"/>
    <w:rsid w:val="16CF231F"/>
    <w:rsid w:val="16DE34E7"/>
    <w:rsid w:val="1706792F"/>
    <w:rsid w:val="170E1F4E"/>
    <w:rsid w:val="17B46EA6"/>
    <w:rsid w:val="17D67AF3"/>
    <w:rsid w:val="18173B7B"/>
    <w:rsid w:val="1838699A"/>
    <w:rsid w:val="18772E83"/>
    <w:rsid w:val="188B26FA"/>
    <w:rsid w:val="19264C6A"/>
    <w:rsid w:val="1A2955CD"/>
    <w:rsid w:val="1A2C443E"/>
    <w:rsid w:val="1A3C72EB"/>
    <w:rsid w:val="1B072444"/>
    <w:rsid w:val="1B4E7DC4"/>
    <w:rsid w:val="1BA223EB"/>
    <w:rsid w:val="1BA24CF0"/>
    <w:rsid w:val="1BF94372"/>
    <w:rsid w:val="1BFC5DC6"/>
    <w:rsid w:val="1C153CD0"/>
    <w:rsid w:val="1C2F5693"/>
    <w:rsid w:val="1C907FFF"/>
    <w:rsid w:val="1CE00D93"/>
    <w:rsid w:val="1CFF3263"/>
    <w:rsid w:val="1D0B5B06"/>
    <w:rsid w:val="1D4E7F30"/>
    <w:rsid w:val="1D57662F"/>
    <w:rsid w:val="1DB20B66"/>
    <w:rsid w:val="1DE900B2"/>
    <w:rsid w:val="1E0D5AF2"/>
    <w:rsid w:val="1E3921C9"/>
    <w:rsid w:val="1E485282"/>
    <w:rsid w:val="1E7B6C5F"/>
    <w:rsid w:val="1E9633D7"/>
    <w:rsid w:val="1EB41537"/>
    <w:rsid w:val="1F2112A4"/>
    <w:rsid w:val="1F2812F7"/>
    <w:rsid w:val="1F2B5EEE"/>
    <w:rsid w:val="1F34783C"/>
    <w:rsid w:val="1FA53477"/>
    <w:rsid w:val="1FAB1F8B"/>
    <w:rsid w:val="20320805"/>
    <w:rsid w:val="2056057E"/>
    <w:rsid w:val="209244BE"/>
    <w:rsid w:val="20A466E2"/>
    <w:rsid w:val="20D25EEB"/>
    <w:rsid w:val="20E9391A"/>
    <w:rsid w:val="20E94A52"/>
    <w:rsid w:val="20FD4F75"/>
    <w:rsid w:val="21070328"/>
    <w:rsid w:val="217A3AE8"/>
    <w:rsid w:val="2211442A"/>
    <w:rsid w:val="22345C19"/>
    <w:rsid w:val="2283689A"/>
    <w:rsid w:val="22CE66D6"/>
    <w:rsid w:val="22D30FED"/>
    <w:rsid w:val="22E34705"/>
    <w:rsid w:val="23844118"/>
    <w:rsid w:val="23B56068"/>
    <w:rsid w:val="23C04F74"/>
    <w:rsid w:val="23C141DE"/>
    <w:rsid w:val="23F4361A"/>
    <w:rsid w:val="242416EA"/>
    <w:rsid w:val="24492941"/>
    <w:rsid w:val="246E4E92"/>
    <w:rsid w:val="24B01353"/>
    <w:rsid w:val="24DA246A"/>
    <w:rsid w:val="24FF361D"/>
    <w:rsid w:val="250C5CC3"/>
    <w:rsid w:val="25351C9D"/>
    <w:rsid w:val="255E2CC8"/>
    <w:rsid w:val="256E539F"/>
    <w:rsid w:val="257D52AE"/>
    <w:rsid w:val="259B245E"/>
    <w:rsid w:val="25F27253"/>
    <w:rsid w:val="260625A2"/>
    <w:rsid w:val="26830D4A"/>
    <w:rsid w:val="26D401B1"/>
    <w:rsid w:val="26D87390"/>
    <w:rsid w:val="26E903DE"/>
    <w:rsid w:val="27177F09"/>
    <w:rsid w:val="272347AC"/>
    <w:rsid w:val="276028B1"/>
    <w:rsid w:val="277F758D"/>
    <w:rsid w:val="27A32734"/>
    <w:rsid w:val="27C916A0"/>
    <w:rsid w:val="281D231E"/>
    <w:rsid w:val="28811A69"/>
    <w:rsid w:val="28BD3180"/>
    <w:rsid w:val="293569DB"/>
    <w:rsid w:val="29B25369"/>
    <w:rsid w:val="2A1B5FAC"/>
    <w:rsid w:val="2A456F3E"/>
    <w:rsid w:val="2AAF0BE9"/>
    <w:rsid w:val="2B623418"/>
    <w:rsid w:val="2BA64D6D"/>
    <w:rsid w:val="2C2D3F04"/>
    <w:rsid w:val="2C327FBF"/>
    <w:rsid w:val="2C49228E"/>
    <w:rsid w:val="2C6732C2"/>
    <w:rsid w:val="2C9A4243"/>
    <w:rsid w:val="2CA34AEF"/>
    <w:rsid w:val="2CE76D77"/>
    <w:rsid w:val="2CF75A4D"/>
    <w:rsid w:val="2D3E7CE5"/>
    <w:rsid w:val="2D4537A6"/>
    <w:rsid w:val="2D733160"/>
    <w:rsid w:val="2DA5568C"/>
    <w:rsid w:val="2DD81779"/>
    <w:rsid w:val="2ED319FD"/>
    <w:rsid w:val="2EDD7D3C"/>
    <w:rsid w:val="2EFD63E6"/>
    <w:rsid w:val="2FC11E35"/>
    <w:rsid w:val="301457C1"/>
    <w:rsid w:val="306D5CFC"/>
    <w:rsid w:val="311B0171"/>
    <w:rsid w:val="321E0DB1"/>
    <w:rsid w:val="3274389B"/>
    <w:rsid w:val="332C1E47"/>
    <w:rsid w:val="3389652A"/>
    <w:rsid w:val="339D3AB4"/>
    <w:rsid w:val="33AB0C5F"/>
    <w:rsid w:val="33B6283B"/>
    <w:rsid w:val="33BE2BAE"/>
    <w:rsid w:val="341E0D0D"/>
    <w:rsid w:val="34566588"/>
    <w:rsid w:val="34BF3465"/>
    <w:rsid w:val="34CF1B58"/>
    <w:rsid w:val="35074F82"/>
    <w:rsid w:val="35236575"/>
    <w:rsid w:val="356158E5"/>
    <w:rsid w:val="358B63FD"/>
    <w:rsid w:val="35BA2742"/>
    <w:rsid w:val="35E726E7"/>
    <w:rsid w:val="362602E1"/>
    <w:rsid w:val="3635254C"/>
    <w:rsid w:val="367147CC"/>
    <w:rsid w:val="36AA3606"/>
    <w:rsid w:val="36B9374F"/>
    <w:rsid w:val="36DE60FB"/>
    <w:rsid w:val="37157C4F"/>
    <w:rsid w:val="376B7466"/>
    <w:rsid w:val="37CB1B78"/>
    <w:rsid w:val="38276BF3"/>
    <w:rsid w:val="383D66E1"/>
    <w:rsid w:val="38455187"/>
    <w:rsid w:val="384A0871"/>
    <w:rsid w:val="386466FD"/>
    <w:rsid w:val="386B07DB"/>
    <w:rsid w:val="39067EE7"/>
    <w:rsid w:val="39173ADD"/>
    <w:rsid w:val="395F2222"/>
    <w:rsid w:val="39B168AA"/>
    <w:rsid w:val="39B31088"/>
    <w:rsid w:val="39B34D1C"/>
    <w:rsid w:val="39D7143E"/>
    <w:rsid w:val="3A197229"/>
    <w:rsid w:val="3A1E4BFF"/>
    <w:rsid w:val="3A720266"/>
    <w:rsid w:val="3A7E4D8F"/>
    <w:rsid w:val="3A8A123C"/>
    <w:rsid w:val="3A8D590C"/>
    <w:rsid w:val="3A8F55F6"/>
    <w:rsid w:val="3B2A47C8"/>
    <w:rsid w:val="3B3C3B4D"/>
    <w:rsid w:val="3B753452"/>
    <w:rsid w:val="3B8615B4"/>
    <w:rsid w:val="3BB56E5D"/>
    <w:rsid w:val="3C8937F7"/>
    <w:rsid w:val="3CA516D5"/>
    <w:rsid w:val="3CA57250"/>
    <w:rsid w:val="3CA733B7"/>
    <w:rsid w:val="3CDB4628"/>
    <w:rsid w:val="3D29582F"/>
    <w:rsid w:val="3DA00483"/>
    <w:rsid w:val="3EB96A14"/>
    <w:rsid w:val="3F0E3578"/>
    <w:rsid w:val="3F1006B4"/>
    <w:rsid w:val="3F3074A9"/>
    <w:rsid w:val="3F315B44"/>
    <w:rsid w:val="3F3509A1"/>
    <w:rsid w:val="3F99154E"/>
    <w:rsid w:val="3FB3253A"/>
    <w:rsid w:val="3FCB5A91"/>
    <w:rsid w:val="3FD31E74"/>
    <w:rsid w:val="3FE14D38"/>
    <w:rsid w:val="3FE77642"/>
    <w:rsid w:val="407C144B"/>
    <w:rsid w:val="40AD231D"/>
    <w:rsid w:val="40B8487E"/>
    <w:rsid w:val="412C31DD"/>
    <w:rsid w:val="413A5C28"/>
    <w:rsid w:val="41423793"/>
    <w:rsid w:val="418F7BD6"/>
    <w:rsid w:val="42112AA4"/>
    <w:rsid w:val="42203249"/>
    <w:rsid w:val="42235582"/>
    <w:rsid w:val="422B38E3"/>
    <w:rsid w:val="42D20B93"/>
    <w:rsid w:val="42EF3E6A"/>
    <w:rsid w:val="43B46BDC"/>
    <w:rsid w:val="43C2295C"/>
    <w:rsid w:val="43C500DB"/>
    <w:rsid w:val="441F36D6"/>
    <w:rsid w:val="44231AD1"/>
    <w:rsid w:val="446266AD"/>
    <w:rsid w:val="44D95A34"/>
    <w:rsid w:val="44DE1320"/>
    <w:rsid w:val="44DE3C5F"/>
    <w:rsid w:val="44F92FB8"/>
    <w:rsid w:val="452257CB"/>
    <w:rsid w:val="4529586A"/>
    <w:rsid w:val="452C0D94"/>
    <w:rsid w:val="45BA7C43"/>
    <w:rsid w:val="45F31925"/>
    <w:rsid w:val="461B2771"/>
    <w:rsid w:val="46D572DE"/>
    <w:rsid w:val="47314E7B"/>
    <w:rsid w:val="474A049D"/>
    <w:rsid w:val="474D0D61"/>
    <w:rsid w:val="47880191"/>
    <w:rsid w:val="47AC4A39"/>
    <w:rsid w:val="47CB4D90"/>
    <w:rsid w:val="48991718"/>
    <w:rsid w:val="48A406D8"/>
    <w:rsid w:val="48AD0968"/>
    <w:rsid w:val="48B0473F"/>
    <w:rsid w:val="48C47FE4"/>
    <w:rsid w:val="49652667"/>
    <w:rsid w:val="4973679A"/>
    <w:rsid w:val="49DF1B2F"/>
    <w:rsid w:val="49EF3A03"/>
    <w:rsid w:val="4A2250E2"/>
    <w:rsid w:val="4A373AFE"/>
    <w:rsid w:val="4A3D33B3"/>
    <w:rsid w:val="4A6504B1"/>
    <w:rsid w:val="4A92442D"/>
    <w:rsid w:val="4A9357B7"/>
    <w:rsid w:val="4AA111A7"/>
    <w:rsid w:val="4ABF7D83"/>
    <w:rsid w:val="4B324853"/>
    <w:rsid w:val="4B347C27"/>
    <w:rsid w:val="4B702313"/>
    <w:rsid w:val="4B870C89"/>
    <w:rsid w:val="4C2D606C"/>
    <w:rsid w:val="4C944793"/>
    <w:rsid w:val="4CB737F7"/>
    <w:rsid w:val="4CCE4E4A"/>
    <w:rsid w:val="4CD762F1"/>
    <w:rsid w:val="4D075306"/>
    <w:rsid w:val="4D1C5593"/>
    <w:rsid w:val="4D4B0FB9"/>
    <w:rsid w:val="4D55334D"/>
    <w:rsid w:val="4DB452EE"/>
    <w:rsid w:val="4E200EE3"/>
    <w:rsid w:val="4E47361D"/>
    <w:rsid w:val="4E5647EA"/>
    <w:rsid w:val="4E585706"/>
    <w:rsid w:val="4E7B7851"/>
    <w:rsid w:val="4EEA7743"/>
    <w:rsid w:val="4F161E64"/>
    <w:rsid w:val="4F2A5264"/>
    <w:rsid w:val="4F3B1489"/>
    <w:rsid w:val="4F7E14B6"/>
    <w:rsid w:val="4F85663F"/>
    <w:rsid w:val="4FC30B1E"/>
    <w:rsid w:val="503B4ECA"/>
    <w:rsid w:val="5066528C"/>
    <w:rsid w:val="50943C34"/>
    <w:rsid w:val="50971DB6"/>
    <w:rsid w:val="50BE3031"/>
    <w:rsid w:val="51A503CC"/>
    <w:rsid w:val="51C11E82"/>
    <w:rsid w:val="524567F0"/>
    <w:rsid w:val="525D062B"/>
    <w:rsid w:val="52A72F1E"/>
    <w:rsid w:val="52B3451E"/>
    <w:rsid w:val="52B34D9D"/>
    <w:rsid w:val="52DD4E74"/>
    <w:rsid w:val="52FC7F2A"/>
    <w:rsid w:val="52FF4F94"/>
    <w:rsid w:val="531722E0"/>
    <w:rsid w:val="531B7714"/>
    <w:rsid w:val="532E2BDF"/>
    <w:rsid w:val="539C5D15"/>
    <w:rsid w:val="53B12D41"/>
    <w:rsid w:val="53B42AA0"/>
    <w:rsid w:val="53C91F1C"/>
    <w:rsid w:val="54297B17"/>
    <w:rsid w:val="549B651B"/>
    <w:rsid w:val="54D11270"/>
    <w:rsid w:val="54D81580"/>
    <w:rsid w:val="55272A52"/>
    <w:rsid w:val="553956F2"/>
    <w:rsid w:val="55481A6F"/>
    <w:rsid w:val="55BA6CEE"/>
    <w:rsid w:val="563B513E"/>
    <w:rsid w:val="56C1050B"/>
    <w:rsid w:val="56C60C2A"/>
    <w:rsid w:val="57471163"/>
    <w:rsid w:val="57966D33"/>
    <w:rsid w:val="57A04CC9"/>
    <w:rsid w:val="57E20D47"/>
    <w:rsid w:val="57F422C5"/>
    <w:rsid w:val="581D5FCD"/>
    <w:rsid w:val="58705578"/>
    <w:rsid w:val="58710D7F"/>
    <w:rsid w:val="58766249"/>
    <w:rsid w:val="58BF68F4"/>
    <w:rsid w:val="58CB6E52"/>
    <w:rsid w:val="58E44535"/>
    <w:rsid w:val="58FA57BB"/>
    <w:rsid w:val="58FE4BC4"/>
    <w:rsid w:val="590D5E9C"/>
    <w:rsid w:val="596E2599"/>
    <w:rsid w:val="59BF0A6F"/>
    <w:rsid w:val="5A370369"/>
    <w:rsid w:val="5A412B1C"/>
    <w:rsid w:val="5A6F2BF5"/>
    <w:rsid w:val="5A8D7276"/>
    <w:rsid w:val="5AE60D9D"/>
    <w:rsid w:val="5B247CBB"/>
    <w:rsid w:val="5B251A62"/>
    <w:rsid w:val="5B3079E1"/>
    <w:rsid w:val="5B483F98"/>
    <w:rsid w:val="5B5B529E"/>
    <w:rsid w:val="5B5F2A41"/>
    <w:rsid w:val="5B697855"/>
    <w:rsid w:val="5BB62DA4"/>
    <w:rsid w:val="5BC50A72"/>
    <w:rsid w:val="5BC73856"/>
    <w:rsid w:val="5C7550AA"/>
    <w:rsid w:val="5CDE173D"/>
    <w:rsid w:val="5CE01BAF"/>
    <w:rsid w:val="5D160D21"/>
    <w:rsid w:val="5D594A11"/>
    <w:rsid w:val="5D760C99"/>
    <w:rsid w:val="5D920028"/>
    <w:rsid w:val="5D9A17BE"/>
    <w:rsid w:val="5DBF41C8"/>
    <w:rsid w:val="5DCD4AFC"/>
    <w:rsid w:val="5E0C5EFC"/>
    <w:rsid w:val="5E3B571C"/>
    <w:rsid w:val="5E575CA0"/>
    <w:rsid w:val="5E6A1C66"/>
    <w:rsid w:val="5EAA0513"/>
    <w:rsid w:val="5EBE756B"/>
    <w:rsid w:val="5F1724A8"/>
    <w:rsid w:val="5F533679"/>
    <w:rsid w:val="5F631393"/>
    <w:rsid w:val="5F674CEA"/>
    <w:rsid w:val="5F6D5031"/>
    <w:rsid w:val="5F9224C6"/>
    <w:rsid w:val="5F9A0BD0"/>
    <w:rsid w:val="5F9A4004"/>
    <w:rsid w:val="60262B08"/>
    <w:rsid w:val="609F24F1"/>
    <w:rsid w:val="60A34C66"/>
    <w:rsid w:val="612420E0"/>
    <w:rsid w:val="61743B99"/>
    <w:rsid w:val="6190716F"/>
    <w:rsid w:val="61DF1A84"/>
    <w:rsid w:val="61F02EC5"/>
    <w:rsid w:val="61F45A7E"/>
    <w:rsid w:val="621B0F61"/>
    <w:rsid w:val="62672707"/>
    <w:rsid w:val="62CA1CB2"/>
    <w:rsid w:val="62EF39DB"/>
    <w:rsid w:val="62FE51F3"/>
    <w:rsid w:val="63227C9F"/>
    <w:rsid w:val="633B2EA3"/>
    <w:rsid w:val="63457D07"/>
    <w:rsid w:val="638D7B7A"/>
    <w:rsid w:val="64456820"/>
    <w:rsid w:val="6584625F"/>
    <w:rsid w:val="660718E3"/>
    <w:rsid w:val="660B1B0F"/>
    <w:rsid w:val="662A0840"/>
    <w:rsid w:val="6637056D"/>
    <w:rsid w:val="665A1AE6"/>
    <w:rsid w:val="66734523"/>
    <w:rsid w:val="66923E83"/>
    <w:rsid w:val="669809CC"/>
    <w:rsid w:val="672003C3"/>
    <w:rsid w:val="67207B78"/>
    <w:rsid w:val="672D7CD1"/>
    <w:rsid w:val="67EF1461"/>
    <w:rsid w:val="67F04177"/>
    <w:rsid w:val="68135320"/>
    <w:rsid w:val="683023D2"/>
    <w:rsid w:val="68A4049D"/>
    <w:rsid w:val="68B87D76"/>
    <w:rsid w:val="68C32B4E"/>
    <w:rsid w:val="68CF1261"/>
    <w:rsid w:val="68D66A8B"/>
    <w:rsid w:val="692C01F4"/>
    <w:rsid w:val="69B22A27"/>
    <w:rsid w:val="69D23F78"/>
    <w:rsid w:val="6A325D0B"/>
    <w:rsid w:val="6A472471"/>
    <w:rsid w:val="6AB07A2E"/>
    <w:rsid w:val="6ADC63AC"/>
    <w:rsid w:val="6AEC79B9"/>
    <w:rsid w:val="6B0A1E8E"/>
    <w:rsid w:val="6B113D62"/>
    <w:rsid w:val="6B2D0936"/>
    <w:rsid w:val="6B4D03BF"/>
    <w:rsid w:val="6B8C19C8"/>
    <w:rsid w:val="6BD64AEA"/>
    <w:rsid w:val="6C1B49F2"/>
    <w:rsid w:val="6C2D79E0"/>
    <w:rsid w:val="6C48320D"/>
    <w:rsid w:val="6C583461"/>
    <w:rsid w:val="6C654ACD"/>
    <w:rsid w:val="6C961F80"/>
    <w:rsid w:val="6CDE19C8"/>
    <w:rsid w:val="6D6B6494"/>
    <w:rsid w:val="6D983C06"/>
    <w:rsid w:val="6DD6284A"/>
    <w:rsid w:val="6E221159"/>
    <w:rsid w:val="6E3F4BB3"/>
    <w:rsid w:val="6E8C26B8"/>
    <w:rsid w:val="6E9A0342"/>
    <w:rsid w:val="6EAD627B"/>
    <w:rsid w:val="6EDC7C8C"/>
    <w:rsid w:val="6EEB2DF2"/>
    <w:rsid w:val="6F366108"/>
    <w:rsid w:val="6F533B7D"/>
    <w:rsid w:val="6F821864"/>
    <w:rsid w:val="6FA156BB"/>
    <w:rsid w:val="6FA6681E"/>
    <w:rsid w:val="6FAF77B6"/>
    <w:rsid w:val="6FE52149"/>
    <w:rsid w:val="6FEC447E"/>
    <w:rsid w:val="6FF77396"/>
    <w:rsid w:val="702A7D5B"/>
    <w:rsid w:val="705B6141"/>
    <w:rsid w:val="707F281B"/>
    <w:rsid w:val="7091353D"/>
    <w:rsid w:val="709445AD"/>
    <w:rsid w:val="70B619B5"/>
    <w:rsid w:val="70F65CA1"/>
    <w:rsid w:val="710B4F8E"/>
    <w:rsid w:val="711E5251"/>
    <w:rsid w:val="713B6B48"/>
    <w:rsid w:val="716857D9"/>
    <w:rsid w:val="71FE6F85"/>
    <w:rsid w:val="72294DDB"/>
    <w:rsid w:val="729B05C0"/>
    <w:rsid w:val="72A34FC7"/>
    <w:rsid w:val="72B84C31"/>
    <w:rsid w:val="73B349C7"/>
    <w:rsid w:val="73EE2982"/>
    <w:rsid w:val="743A7574"/>
    <w:rsid w:val="751354C3"/>
    <w:rsid w:val="75A200BF"/>
    <w:rsid w:val="75BB5571"/>
    <w:rsid w:val="75DC0298"/>
    <w:rsid w:val="75FE20F2"/>
    <w:rsid w:val="75FE5A5C"/>
    <w:rsid w:val="764B1B47"/>
    <w:rsid w:val="76A13B1A"/>
    <w:rsid w:val="76AE6C9F"/>
    <w:rsid w:val="771A19EA"/>
    <w:rsid w:val="77711514"/>
    <w:rsid w:val="778D53F9"/>
    <w:rsid w:val="77B20FD5"/>
    <w:rsid w:val="78073EC2"/>
    <w:rsid w:val="784F3948"/>
    <w:rsid w:val="786A0EBC"/>
    <w:rsid w:val="7875179B"/>
    <w:rsid w:val="787B0ED3"/>
    <w:rsid w:val="78915D5E"/>
    <w:rsid w:val="7928027D"/>
    <w:rsid w:val="797420D8"/>
    <w:rsid w:val="79AA5C9D"/>
    <w:rsid w:val="79D60EF0"/>
    <w:rsid w:val="7A554E45"/>
    <w:rsid w:val="7A9A04DB"/>
    <w:rsid w:val="7ABA19B8"/>
    <w:rsid w:val="7B112844"/>
    <w:rsid w:val="7B70642D"/>
    <w:rsid w:val="7BD23ED3"/>
    <w:rsid w:val="7BEA2C6F"/>
    <w:rsid w:val="7C7C215E"/>
    <w:rsid w:val="7CB51F15"/>
    <w:rsid w:val="7CD44133"/>
    <w:rsid w:val="7CE86408"/>
    <w:rsid w:val="7D191D74"/>
    <w:rsid w:val="7D2020D5"/>
    <w:rsid w:val="7D8C166E"/>
    <w:rsid w:val="7E0E772A"/>
    <w:rsid w:val="7E255308"/>
    <w:rsid w:val="7E895D40"/>
    <w:rsid w:val="7EB31F74"/>
    <w:rsid w:val="7ED0378D"/>
    <w:rsid w:val="7ED94876"/>
    <w:rsid w:val="7F465F8E"/>
    <w:rsid w:val="7F5C75F2"/>
    <w:rsid w:val="7FBF3138"/>
    <w:rsid w:val="7FE15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paragraph" w:styleId="5">
    <w:name w:val="heading 4"/>
    <w:basedOn w:val="1"/>
    <w:next w:val="1"/>
    <w:qFormat/>
    <w:uiPriority w:val="0"/>
    <w:pPr>
      <w:numPr>
        <w:ilvl w:val="3"/>
        <w:numId w:val="1"/>
      </w:numPr>
      <w:adjustRightInd w:val="0"/>
      <w:snapToGrid w:val="0"/>
      <w:spacing w:before="62" w:afterLines="50"/>
      <w:outlineLvl w:val="3"/>
    </w:pPr>
    <w:rPr>
      <w:b/>
      <w:bCs/>
      <w:snapToGrid w:val="0"/>
      <w:kern w:val="0"/>
      <w:sz w:val="24"/>
      <w:szCs w:val="28"/>
    </w:rPr>
  </w:style>
  <w:style w:type="paragraph" w:styleId="6">
    <w:name w:val="heading 5"/>
    <w:basedOn w:val="1"/>
    <w:next w:val="1"/>
    <w:qFormat/>
    <w:uiPriority w:val="0"/>
    <w:pPr>
      <w:numPr>
        <w:ilvl w:val="4"/>
        <w:numId w:val="1"/>
      </w:numPr>
      <w:adjustRightInd w:val="0"/>
      <w:snapToGrid w:val="0"/>
      <w:spacing w:line="360" w:lineRule="auto"/>
      <w:ind w:firstLine="200" w:firstLineChars="200"/>
      <w:outlineLvl w:val="4"/>
    </w:pPr>
    <w:rPr>
      <w:bCs/>
      <w:snapToGrid w:val="0"/>
      <w:kern w:val="0"/>
      <w:sz w:val="24"/>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szCs w:val="24"/>
    </w:rPr>
  </w:style>
  <w:style w:type="paragraph" w:styleId="7">
    <w:name w:val="annotation text"/>
    <w:basedOn w:val="1"/>
    <w:link w:val="51"/>
    <w:unhideWhenUsed/>
    <w:qFormat/>
    <w:uiPriority w:val="99"/>
    <w:pPr>
      <w:jc w:val="left"/>
    </w:pPr>
    <w:rPr>
      <w:szCs w:val="21"/>
    </w:rPr>
  </w:style>
  <w:style w:type="paragraph" w:styleId="8">
    <w:name w:val="footer"/>
    <w:basedOn w:val="1"/>
    <w:link w:val="50"/>
    <w:unhideWhenUsed/>
    <w:qFormat/>
    <w:uiPriority w:val="0"/>
    <w:pPr>
      <w:tabs>
        <w:tab w:val="center" w:pos="4153"/>
        <w:tab w:val="right" w:pos="8306"/>
      </w:tabs>
      <w:snapToGrid w:val="0"/>
      <w:jc w:val="left"/>
    </w:pPr>
    <w:rPr>
      <w:sz w:val="18"/>
      <w:szCs w:val="18"/>
    </w:rPr>
  </w:style>
  <w:style w:type="paragraph" w:styleId="9">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widowControl/>
      <w:snapToGrid w:val="0"/>
      <w:jc w:val="left"/>
    </w:pPr>
    <w:rPr>
      <w:rFonts w:ascii="Arial" w:hAnsi="Arial" w:cs="Arial"/>
      <w:kern w:val="0"/>
      <w:sz w:val="18"/>
      <w:szCs w:val="18"/>
      <w:lang w:eastAsia="en-U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2490F8"/>
      <w:u w:val="none"/>
    </w:rPr>
  </w:style>
  <w:style w:type="character" w:styleId="15">
    <w:name w:val="HTML Definition"/>
    <w:basedOn w:val="13"/>
    <w:qFormat/>
    <w:uiPriority w:val="0"/>
  </w:style>
  <w:style w:type="character" w:styleId="16">
    <w:name w:val="HTML Variable"/>
    <w:basedOn w:val="13"/>
    <w:qFormat/>
    <w:uiPriority w:val="0"/>
  </w:style>
  <w:style w:type="character" w:styleId="17">
    <w:name w:val="Hyperlink"/>
    <w:basedOn w:val="13"/>
    <w:qFormat/>
    <w:uiPriority w:val="0"/>
    <w:rPr>
      <w:color w:val="2490F8"/>
      <w:u w:val="none"/>
    </w:rPr>
  </w:style>
  <w:style w:type="character" w:styleId="18">
    <w:name w:val="HTML Code"/>
    <w:basedOn w:val="13"/>
    <w:qFormat/>
    <w:uiPriority w:val="0"/>
    <w:rPr>
      <w:rFonts w:ascii="Courier New" w:hAnsi="Courier New"/>
      <w:sz w:val="20"/>
    </w:rPr>
  </w:style>
  <w:style w:type="character" w:styleId="19">
    <w:name w:val="annotation reference"/>
    <w:basedOn w:val="13"/>
    <w:unhideWhenUsed/>
    <w:qFormat/>
    <w:uiPriority w:val="99"/>
    <w:rPr>
      <w:sz w:val="21"/>
      <w:szCs w:val="21"/>
    </w:rPr>
  </w:style>
  <w:style w:type="character" w:styleId="20">
    <w:name w:val="HTML Cite"/>
    <w:basedOn w:val="13"/>
    <w:qFormat/>
    <w:uiPriority w:val="0"/>
  </w:style>
  <w:style w:type="paragraph" w:customStyle="1" w:styleId="21">
    <w:name w:val="pa-34"/>
    <w:basedOn w:val="1"/>
    <w:qFormat/>
    <w:uiPriority w:val="0"/>
    <w:pPr>
      <w:widowControl/>
      <w:spacing w:line="360" w:lineRule="atLeast"/>
      <w:ind w:firstLine="420"/>
      <w:jc w:val="left"/>
    </w:pPr>
    <w:rPr>
      <w:rFonts w:ascii="宋体" w:hAnsi="宋体" w:cs="宋体"/>
      <w:kern w:val="0"/>
      <w:sz w:val="24"/>
    </w:rPr>
  </w:style>
  <w:style w:type="character" w:customStyle="1" w:styleId="22">
    <w:name w:val="active"/>
    <w:basedOn w:val="13"/>
    <w:qFormat/>
    <w:uiPriority w:val="0"/>
    <w:rPr>
      <w:color w:val="00FF00"/>
      <w:shd w:val="clear" w:color="auto" w:fill="111111"/>
    </w:rPr>
  </w:style>
  <w:style w:type="character" w:customStyle="1" w:styleId="23">
    <w:name w:val="hilite6"/>
    <w:basedOn w:val="13"/>
    <w:qFormat/>
    <w:uiPriority w:val="0"/>
    <w:rPr>
      <w:color w:val="FFFFFF"/>
      <w:shd w:val="clear" w:color="auto" w:fill="666666"/>
    </w:rPr>
  </w:style>
  <w:style w:type="character" w:customStyle="1" w:styleId="24">
    <w:name w:val="cy"/>
    <w:basedOn w:val="13"/>
    <w:qFormat/>
    <w:uiPriority w:val="0"/>
  </w:style>
  <w:style w:type="character" w:customStyle="1" w:styleId="25">
    <w:name w:val="pagechatarealistclose_box"/>
    <w:basedOn w:val="13"/>
    <w:qFormat/>
    <w:uiPriority w:val="0"/>
  </w:style>
  <w:style w:type="character" w:customStyle="1" w:styleId="26">
    <w:name w:val="pagechatarealistclose_box1"/>
    <w:basedOn w:val="13"/>
    <w:qFormat/>
    <w:uiPriority w:val="0"/>
  </w:style>
  <w:style w:type="character" w:customStyle="1" w:styleId="27">
    <w:name w:val="ico16"/>
    <w:basedOn w:val="13"/>
    <w:qFormat/>
    <w:uiPriority w:val="0"/>
  </w:style>
  <w:style w:type="character" w:customStyle="1" w:styleId="28">
    <w:name w:val="ico161"/>
    <w:basedOn w:val="13"/>
    <w:qFormat/>
    <w:uiPriority w:val="0"/>
  </w:style>
  <w:style w:type="character" w:customStyle="1" w:styleId="29">
    <w:name w:val="ico162"/>
    <w:basedOn w:val="13"/>
    <w:qFormat/>
    <w:uiPriority w:val="0"/>
  </w:style>
  <w:style w:type="character" w:customStyle="1" w:styleId="30">
    <w:name w:val="first-child"/>
    <w:basedOn w:val="13"/>
    <w:qFormat/>
    <w:uiPriority w:val="0"/>
  </w:style>
  <w:style w:type="character" w:customStyle="1" w:styleId="31">
    <w:name w:val="copytolefthover"/>
    <w:basedOn w:val="13"/>
    <w:qFormat/>
    <w:uiPriority w:val="0"/>
    <w:rPr>
      <w:vanish/>
    </w:rPr>
  </w:style>
  <w:style w:type="character" w:customStyle="1" w:styleId="32">
    <w:name w:val="layui-layer-tabnow"/>
    <w:basedOn w:val="13"/>
    <w:qFormat/>
    <w:uiPriority w:val="0"/>
    <w:rPr>
      <w:bdr w:val="single" w:color="CCCCCC" w:sz="6" w:space="0"/>
      <w:shd w:val="clear" w:color="auto" w:fill="FFFFFF"/>
    </w:rPr>
  </w:style>
  <w:style w:type="character" w:customStyle="1" w:styleId="33">
    <w:name w:val="drapbtn"/>
    <w:basedOn w:val="13"/>
    <w:qFormat/>
    <w:uiPriority w:val="0"/>
  </w:style>
  <w:style w:type="character" w:customStyle="1" w:styleId="34">
    <w:name w:val="tmpztreemove_arrow"/>
    <w:basedOn w:val="13"/>
    <w:qFormat/>
    <w:uiPriority w:val="0"/>
  </w:style>
  <w:style w:type="character" w:customStyle="1" w:styleId="35">
    <w:name w:val="after"/>
    <w:basedOn w:val="13"/>
    <w:qFormat/>
    <w:uiPriority w:val="0"/>
    <w:rPr>
      <w:sz w:val="0"/>
      <w:szCs w:val="0"/>
    </w:rPr>
  </w:style>
  <w:style w:type="character" w:customStyle="1" w:styleId="36">
    <w:name w:val="icontext3"/>
    <w:basedOn w:val="13"/>
    <w:qFormat/>
    <w:uiPriority w:val="0"/>
  </w:style>
  <w:style w:type="character" w:customStyle="1" w:styleId="37">
    <w:name w:val="icontext1"/>
    <w:basedOn w:val="13"/>
    <w:qFormat/>
    <w:uiPriority w:val="0"/>
  </w:style>
  <w:style w:type="character" w:customStyle="1" w:styleId="38">
    <w:name w:val="icontext11"/>
    <w:basedOn w:val="13"/>
    <w:qFormat/>
    <w:uiPriority w:val="0"/>
  </w:style>
  <w:style w:type="character" w:customStyle="1" w:styleId="39">
    <w:name w:val="icontext12"/>
    <w:basedOn w:val="13"/>
    <w:qFormat/>
    <w:uiPriority w:val="0"/>
  </w:style>
  <w:style w:type="character" w:customStyle="1" w:styleId="40">
    <w:name w:val="iconline2"/>
    <w:basedOn w:val="13"/>
    <w:qFormat/>
    <w:uiPriority w:val="0"/>
  </w:style>
  <w:style w:type="character" w:customStyle="1" w:styleId="41">
    <w:name w:val="iconline21"/>
    <w:basedOn w:val="13"/>
    <w:qFormat/>
    <w:uiPriority w:val="0"/>
  </w:style>
  <w:style w:type="character" w:customStyle="1" w:styleId="42">
    <w:name w:val="button4"/>
    <w:basedOn w:val="13"/>
    <w:qFormat/>
    <w:uiPriority w:val="0"/>
  </w:style>
  <w:style w:type="character" w:customStyle="1" w:styleId="43">
    <w:name w:val="icontext2"/>
    <w:basedOn w:val="13"/>
    <w:qFormat/>
    <w:uiPriority w:val="0"/>
  </w:style>
  <w:style w:type="character" w:customStyle="1" w:styleId="44">
    <w:name w:val="w32"/>
    <w:basedOn w:val="13"/>
    <w:qFormat/>
    <w:uiPriority w:val="0"/>
  </w:style>
  <w:style w:type="character" w:customStyle="1" w:styleId="45">
    <w:name w:val="associateddata"/>
    <w:basedOn w:val="13"/>
    <w:qFormat/>
    <w:uiPriority w:val="0"/>
    <w:rPr>
      <w:shd w:val="clear" w:color="auto" w:fill="50A6F9"/>
    </w:rPr>
  </w:style>
  <w:style w:type="character" w:customStyle="1" w:styleId="46">
    <w:name w:val="cdropright"/>
    <w:basedOn w:val="13"/>
    <w:qFormat/>
    <w:uiPriority w:val="0"/>
  </w:style>
  <w:style w:type="character" w:customStyle="1" w:styleId="47">
    <w:name w:val="cdropleft"/>
    <w:basedOn w:val="13"/>
    <w:qFormat/>
    <w:uiPriority w:val="0"/>
  </w:style>
  <w:style w:type="character" w:customStyle="1" w:styleId="48">
    <w:name w:val="hover41"/>
    <w:basedOn w:val="13"/>
    <w:qFormat/>
    <w:uiPriority w:val="0"/>
    <w:rPr>
      <w:color w:val="2490F8"/>
    </w:rPr>
  </w:style>
  <w:style w:type="character" w:customStyle="1" w:styleId="49">
    <w:name w:val="页眉 Char"/>
    <w:basedOn w:val="13"/>
    <w:link w:val="9"/>
    <w:qFormat/>
    <w:uiPriority w:val="0"/>
    <w:rPr>
      <w:kern w:val="2"/>
      <w:sz w:val="18"/>
      <w:szCs w:val="18"/>
    </w:rPr>
  </w:style>
  <w:style w:type="character" w:customStyle="1" w:styleId="50">
    <w:name w:val="页脚 Char"/>
    <w:basedOn w:val="13"/>
    <w:link w:val="8"/>
    <w:qFormat/>
    <w:uiPriority w:val="0"/>
    <w:rPr>
      <w:kern w:val="2"/>
      <w:sz w:val="18"/>
      <w:szCs w:val="18"/>
    </w:rPr>
  </w:style>
  <w:style w:type="character" w:customStyle="1" w:styleId="51">
    <w:name w:val="批注文字 Char"/>
    <w:basedOn w:val="13"/>
    <w:link w:val="7"/>
    <w:semiHidden/>
    <w:qFormat/>
    <w:uiPriority w:val="99"/>
    <w:rPr>
      <w:kern w:val="2"/>
      <w:sz w:val="21"/>
      <w:szCs w:val="21"/>
    </w:rPr>
  </w:style>
  <w:style w:type="paragraph" w:customStyle="1" w:styleId="52">
    <w:name w:val="样式1"/>
    <w:basedOn w:val="1"/>
    <w:qFormat/>
    <w:uiPriority w:val="99"/>
    <w:pPr>
      <w:widowControl/>
      <w:spacing w:after="100" w:afterAutospacing="1" w:line="440" w:lineRule="exact"/>
      <w:ind w:right="100" w:rightChars="100"/>
    </w:pPr>
    <w:rPr>
      <w:rFonts w:ascii="宋体" w:hAnsi="宋体" w:cs="宋体"/>
      <w:kern w:val="0"/>
      <w:sz w:val="28"/>
      <w:szCs w:val="28"/>
      <w:lang w:val="zh-CN"/>
    </w:rPr>
  </w:style>
  <w:style w:type="paragraph" w:customStyle="1" w:styleId="5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1110</Words>
  <Characters>6330</Characters>
  <Lines>52</Lines>
  <Paragraphs>14</Paragraphs>
  <TotalTime>16</TotalTime>
  <ScaleCrop>false</ScaleCrop>
  <LinksUpToDate>false</LinksUpToDate>
  <CharactersWithSpaces>7426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2022-09-05T17:00:00Z</dcterms:created>
  <dc:creator>高晶</dc:creator>
  <cp:lastModifiedBy>夏毓坤</cp:lastModifiedBy>
  <cp:lastPrinted>2022-09-07T00:44:00Z</cp:lastPrinted>
  <dcterms:modified xsi:type="dcterms:W3CDTF">2022-09-26T09:08:26Z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