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88"/>
        </w:tabs>
        <w:ind w:right="611" w:rightChars="291"/>
        <w:jc w:val="center"/>
        <w:rPr>
          <w:rFonts w:ascii="方正小标宋_GBK" w:hAnsi="仿宋_GB2312" w:eastAsia="方正小标宋_GBK" w:cs="仿宋_GB2312"/>
          <w:b/>
          <w:bCs/>
          <w:sz w:val="36"/>
          <w:szCs w:val="36"/>
        </w:rPr>
      </w:pPr>
      <w:r>
        <w:rPr>
          <w:rFonts w:ascii="方正小标宋_GBK" w:hAnsi="仿宋_GB2312" w:eastAsia="方正小标宋_GBK" w:cs="仿宋_GB2312"/>
          <w:b/>
          <w:bCs/>
          <w:sz w:val="36"/>
          <w:szCs w:val="36"/>
        </w:rPr>
        <w:t xml:space="preserve">    </w:t>
      </w:r>
      <w:r>
        <w:rPr>
          <w:rFonts w:hint="eastAsia" w:ascii="方正小标宋_GBK" w:hAnsi="仿宋_GB2312" w:eastAsia="方正小标宋_GBK" w:cs="仿宋_GB2312"/>
          <w:b/>
          <w:bCs/>
          <w:sz w:val="36"/>
          <w:szCs w:val="36"/>
          <w:lang w:val="en-US" w:eastAsia="zh-CN"/>
        </w:rPr>
        <w:t>重庆东站电力管廊一期工程第三方检测</w:t>
      </w:r>
    </w:p>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lang w:val="en-US" w:eastAsia="zh-CN"/>
        </w:rPr>
        <w:t>竞争性比选</w:t>
      </w:r>
      <w:r>
        <w:rPr>
          <w:rFonts w:hint="eastAsia" w:ascii="方正小标宋_GBK" w:hAnsi="仿宋_GB2312" w:eastAsia="方正小标宋_GBK" w:cs="仿宋_GB2312"/>
          <w:b/>
          <w:bCs/>
          <w:sz w:val="36"/>
          <w:szCs w:val="36"/>
        </w:rPr>
        <w:t>文件</w:t>
      </w:r>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jc w:val="left"/>
        <w:rPr>
          <w:rFonts w:ascii="方正仿宋_GBK" w:hAnsi="仿宋_GB2312" w:eastAsia="方正仿宋_GBK" w:cs="仿宋_GB2312"/>
          <w:sz w:val="28"/>
          <w:szCs w:val="28"/>
        </w:rPr>
      </w:pPr>
      <w:r>
        <w:rPr>
          <w:rFonts w:ascii="仿宋_GB2312" w:hAnsi="仿宋_GB2312" w:eastAsia="仿宋_GB2312" w:cs="仿宋_GB2312"/>
          <w:sz w:val="28"/>
          <w:szCs w:val="28"/>
        </w:rPr>
        <w:t xml:space="preserve">    </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我司拟开展</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b w:val="0"/>
          <w:bCs w:val="0"/>
          <w:sz w:val="28"/>
          <w:szCs w:val="28"/>
          <w:u w:val="single"/>
          <w:lang w:val="en-US" w:eastAsia="zh-CN"/>
        </w:rPr>
        <w:t>重庆东站电力管廊一期工程第三方检测</w:t>
      </w:r>
      <w:r>
        <w:rPr>
          <w:rFonts w:hint="eastAsia" w:ascii="方正仿宋_GBK" w:hAnsi="仿宋_GB2312" w:eastAsia="方正仿宋_GBK" w:cs="仿宋_GB2312"/>
          <w:sz w:val="28"/>
          <w:szCs w:val="28"/>
        </w:rPr>
        <w:t>工作，本次</w:t>
      </w:r>
      <w:r>
        <w:rPr>
          <w:rFonts w:hint="eastAsia" w:ascii="方正仿宋_GBK" w:hAnsi="仿宋_GB2312" w:eastAsia="方正仿宋_GBK" w:cs="仿宋_GB2312"/>
          <w:b w:val="0"/>
          <w:bCs w:val="0"/>
          <w:sz w:val="28"/>
          <w:szCs w:val="28"/>
          <w:u w:val="single"/>
          <w:lang w:val="en-US" w:eastAsia="zh-CN"/>
        </w:rPr>
        <w:t>重庆东站电力管廊一期工程第三方检测</w:t>
      </w:r>
      <w:r>
        <w:rPr>
          <w:rFonts w:hint="eastAsia" w:ascii="方正仿宋_GBK" w:hAnsi="仿宋_GB2312" w:eastAsia="方正仿宋_GBK" w:cs="仿宋_GB2312"/>
          <w:sz w:val="28"/>
          <w:szCs w:val="28"/>
        </w:rPr>
        <w:t>实施单位的确定将采用</w:t>
      </w:r>
      <w:r>
        <w:rPr>
          <w:rFonts w:hint="eastAsia" w:ascii="方正仿宋_GBK" w:hAnsi="仿宋_GB2312" w:eastAsia="方正仿宋_GBK" w:cs="仿宋_GB2312"/>
          <w:sz w:val="28"/>
          <w:szCs w:val="28"/>
          <w:lang w:val="en-US" w:eastAsia="zh-CN"/>
        </w:rPr>
        <w:t>竞争性</w:t>
      </w:r>
      <w:r>
        <w:rPr>
          <w:rFonts w:hint="eastAsia" w:ascii="方正仿宋_GBK" w:hAnsi="仿宋_GB2312" w:eastAsia="方正仿宋_GBK" w:cs="仿宋_GB2312"/>
          <w:sz w:val="28"/>
          <w:szCs w:val="28"/>
        </w:rPr>
        <w:t>比选方式进行。请</w:t>
      </w:r>
      <w:r>
        <w:rPr>
          <w:rFonts w:hint="eastAsia" w:ascii="方正仿宋_GBK" w:hAnsi="仿宋_GB2312" w:eastAsia="方正仿宋_GBK" w:cs="仿宋_GB2312"/>
          <w:sz w:val="28"/>
          <w:szCs w:val="28"/>
          <w:lang w:val="en-US" w:eastAsia="zh-CN"/>
        </w:rPr>
        <w:t>满足比选要求的各</w:t>
      </w:r>
      <w:r>
        <w:rPr>
          <w:rFonts w:hint="eastAsia" w:ascii="方正仿宋_GBK" w:hAnsi="仿宋_GB2312" w:eastAsia="方正仿宋_GBK" w:cs="仿宋_GB2312"/>
          <w:sz w:val="28"/>
          <w:szCs w:val="28"/>
        </w:rPr>
        <w:t>单位参加报价和比选。具体项目情况如下：</w:t>
      </w:r>
      <w:r>
        <w:rPr>
          <w:rFonts w:ascii="方正仿宋_GBK" w:hAnsi="仿宋_GB2312" w:eastAsia="方正仿宋_GBK" w:cs="仿宋_GB2312"/>
          <w:sz w:val="28"/>
          <w:szCs w:val="28"/>
        </w:rPr>
        <w:t xml:space="preserve"> </w:t>
      </w:r>
    </w:p>
    <w:tbl>
      <w:tblPr>
        <w:tblStyle w:val="13"/>
        <w:tblW w:w="8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rPr>
                <w:sz w:val="24"/>
                <w:szCs w:val="24"/>
              </w:rPr>
            </w:pPr>
            <w:r>
              <w:rPr>
                <w:rFonts w:hint="eastAsia" w:ascii="仿宋_GB2312" w:hAnsi="仿宋_GB2312" w:eastAsia="仿宋_GB2312" w:cs="仿宋_GB2312"/>
                <w:sz w:val="24"/>
                <w:szCs w:val="24"/>
              </w:rPr>
              <w:t>一、</w:t>
            </w:r>
            <w:r>
              <w:rPr>
                <w:rFonts w:hint="eastAsia" w:ascii="方正仿宋_GBK" w:hAnsi="仿宋_GB2312" w:eastAsia="方正仿宋_GBK" w:cs="仿宋_GB2312"/>
                <w:sz w:val="24"/>
                <w:szCs w:val="24"/>
              </w:rPr>
              <w:t>项目概况</w:t>
            </w:r>
            <w:r>
              <w:rPr>
                <w:rFonts w:ascii="方正仿宋_GBK" w:hAnsi="仿宋_GB2312" w:eastAsia="方正仿宋_GBK"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sz w:val="24"/>
                <w:szCs w:val="24"/>
              </w:rPr>
            </w:pPr>
            <w:r>
              <w:rPr>
                <w:rFonts w:hint="eastAsia" w:ascii="方正仿宋_GBK" w:hAnsi="仿宋_GB2312" w:eastAsia="方正仿宋_GBK" w:cs="仿宋_GB2312"/>
                <w:sz w:val="24"/>
                <w:szCs w:val="24"/>
              </w:rPr>
              <w:t>项目名称</w:t>
            </w:r>
          </w:p>
        </w:tc>
        <w:tc>
          <w:tcPr>
            <w:tcW w:w="6305" w:type="dxa"/>
            <w:vAlign w:val="center"/>
          </w:tcPr>
          <w:p>
            <w:pPr>
              <w:rPr>
                <w:rFonts w:hint="eastAsia" w:ascii="方正仿宋_GBK" w:hAnsi="仿宋_GB2312" w:eastAsia="方正仿宋_GBK" w:cs="仿宋_GB2312"/>
                <w:sz w:val="24"/>
                <w:szCs w:val="24"/>
              </w:rPr>
            </w:pPr>
            <w:r>
              <w:rPr>
                <w:rFonts w:hint="eastAsia" w:ascii="方正仿宋_GBK" w:hAnsi="仿宋_GB2312" w:eastAsia="方正仿宋_GBK" w:cs="仿宋_GB2312"/>
                <w:b w:val="0"/>
                <w:bCs w:val="0"/>
                <w:sz w:val="24"/>
                <w:szCs w:val="24"/>
                <w:lang w:val="en-US" w:eastAsia="zh-CN"/>
              </w:rPr>
              <w:t>重庆东站电力管廊一期工程第三方检测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sz w:val="24"/>
                <w:szCs w:val="24"/>
              </w:rPr>
            </w:pPr>
            <w:r>
              <w:rPr>
                <w:rFonts w:hint="eastAsia" w:ascii="方正仿宋_GBK" w:hAnsi="仿宋_GB2312" w:eastAsia="方正仿宋_GBK" w:cs="仿宋_GB2312"/>
                <w:sz w:val="24"/>
                <w:szCs w:val="24"/>
              </w:rPr>
              <w:t>项目投资</w:t>
            </w:r>
          </w:p>
        </w:tc>
        <w:tc>
          <w:tcPr>
            <w:tcW w:w="6305" w:type="dxa"/>
            <w:vAlign w:val="center"/>
          </w:tcPr>
          <w:p>
            <w:pPr>
              <w:rPr>
                <w:rFonts w:hint="default"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本项目第三方检测估算金额约90万元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sz w:val="24"/>
                <w:szCs w:val="24"/>
              </w:rPr>
            </w:pPr>
            <w:r>
              <w:rPr>
                <w:rFonts w:hint="eastAsia" w:ascii="方正仿宋_GBK" w:hAnsi="仿宋_GB2312" w:eastAsia="方正仿宋_GBK" w:cs="仿宋_GB2312"/>
                <w:sz w:val="24"/>
                <w:szCs w:val="24"/>
              </w:rPr>
              <w:t>项目具体概况</w:t>
            </w:r>
          </w:p>
        </w:tc>
        <w:tc>
          <w:tcPr>
            <w:tcW w:w="6305" w:type="dxa"/>
            <w:vAlign w:val="center"/>
          </w:tcPr>
          <w:p>
            <w:pPr>
              <w:autoSpaceDE/>
              <w:autoSpaceDN/>
              <w:adjustRightInd/>
              <w:snapToGrid/>
              <w:spacing w:line="240" w:lineRule="auto"/>
              <w:ind w:firstLine="480" w:firstLineChars="200"/>
              <w:jc w:val="left"/>
              <w:rPr>
                <w:rFonts w:hint="default" w:ascii="方正仿宋_GBK" w:hAnsi="仿宋_GB2312" w:eastAsia="方正仿宋_GBK" w:cs="仿宋_GB2312"/>
                <w:snapToGrid/>
                <w:kern w:val="2"/>
                <w:sz w:val="24"/>
                <w:szCs w:val="24"/>
                <w:lang w:bidi="ar"/>
              </w:rPr>
            </w:pPr>
            <w:r>
              <w:rPr>
                <w:rFonts w:hint="default" w:ascii="方正仿宋_GBK" w:hAnsi="仿宋_GB2312" w:eastAsia="方正仿宋_GBK" w:cs="仿宋_GB2312"/>
                <w:snapToGrid/>
                <w:kern w:val="2"/>
                <w:sz w:val="24"/>
                <w:szCs w:val="24"/>
                <w:lang w:bidi="ar"/>
              </w:rPr>
              <w:t>开成路电力</w:t>
            </w:r>
            <w:r>
              <w:rPr>
                <w:rFonts w:hint="default" w:ascii="方正仿宋_GBK" w:hAnsi="仿宋_GB2312" w:eastAsia="方正仿宋_GBK" w:cs="仿宋_GB2312"/>
                <w:snapToGrid/>
                <w:kern w:val="2"/>
                <w:sz w:val="24"/>
                <w:szCs w:val="24"/>
                <w:u w:val="none"/>
                <w:lang w:bidi="ar"/>
              </w:rPr>
              <w:t>管廊</w:t>
            </w:r>
            <w:r>
              <w:rPr>
                <w:rFonts w:hint="default" w:ascii="方正仿宋_GBK" w:hAnsi="仿宋_GB2312" w:eastAsia="方正仿宋_GBK" w:cs="仿宋_GB2312"/>
                <w:snapToGrid/>
                <w:kern w:val="2"/>
                <w:sz w:val="24"/>
                <w:szCs w:val="24"/>
                <w:lang w:bidi="ar"/>
              </w:rPr>
              <w:t>设计范围起点为翠竹园110kv变电站，终点为茶园220kv变电站，全长6.1km。开成路电力</w:t>
            </w:r>
            <w:r>
              <w:rPr>
                <w:rFonts w:hint="default" w:ascii="方正仿宋_GBK" w:hAnsi="仿宋_GB2312" w:eastAsia="方正仿宋_GBK" w:cs="仿宋_GB2312"/>
                <w:snapToGrid/>
                <w:kern w:val="2"/>
                <w:sz w:val="24"/>
                <w:szCs w:val="24"/>
                <w:u w:val="none"/>
                <w:lang w:bidi="ar"/>
              </w:rPr>
              <w:t>管廊</w:t>
            </w:r>
            <w:r>
              <w:rPr>
                <w:rFonts w:hint="default" w:ascii="方正仿宋_GBK" w:hAnsi="仿宋_GB2312" w:eastAsia="方正仿宋_GBK" w:cs="仿宋_GB2312"/>
                <w:snapToGrid/>
                <w:kern w:val="2"/>
                <w:sz w:val="24"/>
                <w:szCs w:val="24"/>
                <w:lang w:bidi="ar"/>
              </w:rPr>
              <w:t>分一二期进行实施。</w:t>
            </w:r>
          </w:p>
          <w:p>
            <w:pPr>
              <w:autoSpaceDE/>
              <w:autoSpaceDN/>
              <w:adjustRightInd/>
              <w:snapToGrid/>
              <w:spacing w:line="240" w:lineRule="auto"/>
              <w:ind w:firstLine="480" w:firstLineChars="200"/>
              <w:jc w:val="left"/>
              <w:rPr>
                <w:rFonts w:hint="default" w:ascii="Times New Roman" w:hAnsi="Times New Roman" w:eastAsia="方正仿宋_GBK" w:cs="Times New Roman"/>
                <w:snapToGrid/>
                <w:kern w:val="0"/>
                <w:sz w:val="32"/>
                <w:szCs w:val="32"/>
                <w:u w:val="none"/>
                <w:lang w:bidi="ar"/>
              </w:rPr>
            </w:pPr>
            <w:r>
              <w:rPr>
                <w:rFonts w:hint="default" w:ascii="方正仿宋_GBK" w:hAnsi="仿宋_GB2312" w:eastAsia="方正仿宋_GBK" w:cs="仿宋_GB2312"/>
                <w:snapToGrid/>
                <w:kern w:val="2"/>
                <w:sz w:val="24"/>
                <w:szCs w:val="24"/>
                <w:u w:val="none"/>
                <w:lang w:bidi="ar"/>
              </w:rPr>
              <w:t>本次拟</w:t>
            </w:r>
            <w:r>
              <w:rPr>
                <w:rFonts w:hint="default" w:ascii="方正仿宋_GBK" w:hAnsi="仿宋_GB2312" w:eastAsia="方正仿宋_GBK" w:cs="仿宋_GB2312"/>
                <w:snapToGrid/>
                <w:kern w:val="2"/>
                <w:sz w:val="24"/>
                <w:szCs w:val="24"/>
                <w:u w:val="none"/>
                <w:lang w:val="en-US" w:eastAsia="zh-CN" w:bidi="ar"/>
              </w:rPr>
              <w:t>比选</w:t>
            </w:r>
            <w:r>
              <w:rPr>
                <w:rFonts w:hint="default" w:ascii="方正仿宋_GBK" w:hAnsi="仿宋_GB2312" w:eastAsia="方正仿宋_GBK" w:cs="仿宋_GB2312"/>
                <w:snapToGrid/>
                <w:kern w:val="2"/>
                <w:sz w:val="24"/>
                <w:szCs w:val="24"/>
                <w:u w:val="none"/>
                <w:lang w:bidi="ar"/>
              </w:rPr>
              <w:t>范围为电力管廊一期，实施范围为翠竹园变电站至经开立交段，全长5.1km，</w:t>
            </w:r>
            <w:r>
              <w:rPr>
                <w:rFonts w:hint="default" w:ascii="方正仿宋_GBK" w:hAnsi="仿宋_GB2312" w:eastAsia="方正仿宋_GBK" w:cs="仿宋_GB2312"/>
                <w:kern w:val="2"/>
                <w:sz w:val="24"/>
                <w:szCs w:val="24"/>
                <w:lang w:val="en-US" w:eastAsia="zh-CN" w:bidi="ar"/>
              </w:rPr>
              <w:t>其中1.3km处于经开区代建范围内（电</w:t>
            </w:r>
            <w:r>
              <w:rPr>
                <w:rFonts w:hint="default" w:ascii="方正仿宋_GBK" w:hAnsi="仿宋_GB2312" w:eastAsia="方正仿宋_GBK" w:cs="仿宋_GB2312"/>
                <w:snapToGrid/>
                <w:kern w:val="2"/>
                <w:sz w:val="24"/>
                <w:szCs w:val="24"/>
                <w:u w:val="none"/>
                <w:lang w:bidi="ar"/>
              </w:rPr>
              <w:t>力</w:t>
            </w:r>
            <w:r>
              <w:rPr>
                <w:rFonts w:hint="default" w:ascii="方正仿宋_GBK" w:hAnsi="仿宋_GB2312" w:eastAsia="方正仿宋_GBK" w:cs="仿宋_GB2312"/>
                <w:kern w:val="2"/>
                <w:sz w:val="24"/>
                <w:szCs w:val="24"/>
                <w:lang w:val="en-US" w:eastAsia="zh-CN" w:bidi="ar"/>
              </w:rPr>
              <w:t>管廊桩号G3+631.364～G5+071.412），由经开区委托</w:t>
            </w:r>
            <w:r>
              <w:rPr>
                <w:rFonts w:hint="eastAsia" w:ascii="方正仿宋_GBK" w:hAnsi="仿宋_GB2312" w:eastAsia="方正仿宋_GBK" w:cs="仿宋_GB2312"/>
                <w:kern w:val="2"/>
                <w:sz w:val="24"/>
                <w:szCs w:val="24"/>
                <w:lang w:val="en-US" w:eastAsia="zh-CN" w:bidi="ar"/>
              </w:rPr>
              <w:t>发包人</w:t>
            </w:r>
            <w:r>
              <w:rPr>
                <w:rFonts w:hint="default" w:ascii="方正仿宋_GBK" w:hAnsi="仿宋_GB2312" w:eastAsia="方正仿宋_GBK" w:cs="仿宋_GB2312"/>
                <w:kern w:val="2"/>
                <w:sz w:val="24"/>
                <w:szCs w:val="24"/>
                <w:lang w:val="en-US" w:eastAsia="zh-CN" w:bidi="ar"/>
              </w:rPr>
              <w:t>实施工程。</w:t>
            </w:r>
            <w:r>
              <w:rPr>
                <w:rFonts w:hint="default" w:ascii="方正仿宋_GBK" w:hAnsi="仿宋_GB2312" w:eastAsia="方正仿宋_GBK" w:cs="仿宋_GB2312"/>
                <w:snapToGrid/>
                <w:kern w:val="2"/>
                <w:sz w:val="24"/>
                <w:szCs w:val="24"/>
                <w:u w:val="none"/>
                <w:lang w:bidi="ar"/>
              </w:rPr>
              <w:t>管廊明挖段横断面BxH=3.6x2.4m及BxH=3.6x2.95m，暗挖段横断面BxH=3.6x（2.75+1.8）m。</w:t>
            </w:r>
          </w:p>
          <w:p>
            <w:pPr>
              <w:ind w:firstLine="480" w:firstLineChars="200"/>
              <w:rPr>
                <w:rFonts w:hint="default"/>
                <w:lang w:val="en-US" w:eastAsia="zh-CN"/>
              </w:rPr>
            </w:pPr>
            <w:r>
              <w:rPr>
                <w:rFonts w:hint="eastAsia" w:ascii="方正仿宋_GBK" w:hAnsi="仿宋_GB2312" w:eastAsia="方正仿宋_GBK" w:cs="仿宋_GB2312"/>
                <w:snapToGrid/>
                <w:kern w:val="2"/>
                <w:sz w:val="24"/>
                <w:szCs w:val="24"/>
                <w:u w:val="none"/>
                <w:lang w:val="en-US" w:eastAsia="zh-CN" w:bidi="ar"/>
              </w:rPr>
              <w:t>本电力管廊一期工程项目与重庆东站骨架道路开成路共沟施工，检测单位应根据施工设计图、技术标准和规范等，与开成路检测单位做好检测界面的划分。</w:t>
            </w:r>
            <w:r>
              <w:rPr>
                <w:rFonts w:hint="default" w:ascii="方正仿宋_GBK" w:hAnsi="仿宋_GB2312" w:eastAsia="方正仿宋_GBK" w:cs="仿宋_GB2312"/>
                <w:sz w:val="24"/>
                <w:szCs w:val="24"/>
                <w:lang w:val="en-US" w:eastAsia="zh-CN"/>
              </w:rPr>
              <w:t>本项目</w:t>
            </w:r>
            <w:r>
              <w:rPr>
                <w:rFonts w:hint="eastAsia" w:ascii="方正仿宋_GBK" w:hAnsi="仿宋_GB2312" w:eastAsia="方正仿宋_GBK" w:cs="仿宋_GB2312"/>
                <w:sz w:val="24"/>
                <w:szCs w:val="24"/>
                <w:lang w:val="en-US" w:eastAsia="zh-CN"/>
              </w:rPr>
              <w:t>部分工程</w:t>
            </w:r>
            <w:r>
              <w:rPr>
                <w:rFonts w:hint="default" w:ascii="方正仿宋_GBK" w:hAnsi="仿宋_GB2312" w:eastAsia="方正仿宋_GBK" w:cs="仿宋_GB2312"/>
                <w:sz w:val="24"/>
                <w:szCs w:val="24"/>
                <w:lang w:val="en-US" w:eastAsia="zh-CN"/>
              </w:rPr>
              <w:t>为经开区</w:t>
            </w:r>
            <w:r>
              <w:rPr>
                <w:rFonts w:hint="eastAsia" w:ascii="方正仿宋_GBK" w:hAnsi="仿宋_GB2312" w:eastAsia="方正仿宋_GBK" w:cs="仿宋_GB2312"/>
                <w:sz w:val="24"/>
                <w:szCs w:val="24"/>
                <w:lang w:val="en-US" w:eastAsia="zh-CN"/>
              </w:rPr>
              <w:t>委托发包人</w:t>
            </w:r>
            <w:r>
              <w:rPr>
                <w:rFonts w:hint="default" w:ascii="方正仿宋_GBK" w:hAnsi="仿宋_GB2312" w:eastAsia="方正仿宋_GBK" w:cs="仿宋_GB2312"/>
                <w:sz w:val="24"/>
                <w:szCs w:val="24"/>
                <w:lang w:val="en-US" w:eastAsia="zh-CN"/>
              </w:rPr>
              <w:t>代建</w:t>
            </w:r>
            <w:r>
              <w:rPr>
                <w:rFonts w:hint="eastAsia" w:ascii="方正仿宋_GBK" w:hAnsi="仿宋_GB2312" w:eastAsia="方正仿宋_GBK" w:cs="仿宋_GB2312"/>
                <w:sz w:val="24"/>
                <w:szCs w:val="24"/>
                <w:lang w:val="en-US" w:eastAsia="zh-CN"/>
              </w:rPr>
              <w:t>工程</w:t>
            </w:r>
            <w:r>
              <w:rPr>
                <w:rFonts w:hint="default" w:ascii="方正仿宋_GBK" w:hAnsi="仿宋_GB2312" w:eastAsia="方正仿宋_GBK" w:cs="仿宋_GB2312"/>
                <w:sz w:val="24"/>
                <w:szCs w:val="24"/>
                <w:lang w:val="en-US" w:eastAsia="zh-CN"/>
              </w:rPr>
              <w:t>，</w:t>
            </w:r>
            <w:r>
              <w:rPr>
                <w:rFonts w:hint="default" w:ascii="方正仿宋_GBK" w:hAnsi="仿宋_GB2312" w:eastAsia="方正仿宋_GBK" w:cs="仿宋_GB2312"/>
                <w:sz w:val="24"/>
                <w:szCs w:val="24"/>
              </w:rPr>
              <w:t>合同签订后,具体施工范围,</w:t>
            </w:r>
            <w:r>
              <w:rPr>
                <w:rFonts w:hint="eastAsia" w:ascii="方正仿宋_GBK" w:hAnsi="仿宋_GB2312" w:eastAsia="方正仿宋_GBK" w:cs="仿宋_GB2312"/>
                <w:sz w:val="24"/>
                <w:szCs w:val="24"/>
                <w:lang w:val="en-US" w:eastAsia="zh-CN"/>
              </w:rPr>
              <w:t>经开</w:t>
            </w:r>
            <w:r>
              <w:rPr>
                <w:rFonts w:hint="default" w:ascii="方正仿宋_GBK" w:hAnsi="仿宋_GB2312" w:eastAsia="方正仿宋_GBK" w:cs="仿宋_GB2312"/>
                <w:sz w:val="24"/>
                <w:szCs w:val="24"/>
              </w:rPr>
              <w:t>区委托代建协议及发包人书面通知为准。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服务工期：</w:t>
            </w:r>
          </w:p>
        </w:tc>
        <w:tc>
          <w:tcPr>
            <w:tcW w:w="6305" w:type="dxa"/>
            <w:vAlign w:val="center"/>
          </w:tcPr>
          <w:p>
            <w:pPr>
              <w:numPr>
                <w:ilvl w:val="0"/>
                <w:numId w:val="0"/>
              </w:numPr>
              <w:spacing w:line="240" w:lineRule="auto"/>
              <w:ind w:firstLine="480" w:firstLineChars="200"/>
              <w:jc w:val="left"/>
              <w:rPr>
                <w:rFonts w:ascii="方正仿宋_GBK" w:hAnsi="仿宋_GB2312" w:eastAsia="方正仿宋_GBK" w:cs="仿宋_GB2312"/>
                <w:sz w:val="24"/>
                <w:szCs w:val="24"/>
              </w:rPr>
            </w:pPr>
            <w:r>
              <w:rPr>
                <w:rFonts w:hint="default" w:ascii="方正仿宋_GBK" w:hAnsi="仿宋_GB2312" w:eastAsia="方正仿宋_GBK" w:cs="仿宋_GB2312"/>
                <w:snapToGrid/>
                <w:kern w:val="2"/>
                <w:sz w:val="24"/>
                <w:szCs w:val="24"/>
                <w:lang w:val="en-US" w:eastAsia="zh-CN" w:bidi="ar"/>
              </w:rPr>
              <w:t>暂定</w:t>
            </w:r>
            <w:r>
              <w:rPr>
                <w:rFonts w:hint="default" w:ascii="方正仿宋_GBK" w:hAnsi="仿宋_GB2312" w:eastAsia="方正仿宋_GBK" w:cs="仿宋_GB2312"/>
                <w:b w:val="0"/>
                <w:bCs w:val="0"/>
                <w:kern w:val="2"/>
                <w:sz w:val="24"/>
                <w:szCs w:val="24"/>
                <w:lang w:val="en-US" w:eastAsia="zh-CN" w:bidi="ar"/>
              </w:rPr>
              <w:t>304</w:t>
            </w:r>
            <w:r>
              <w:rPr>
                <w:rFonts w:hint="default" w:ascii="方正仿宋_GBK" w:hAnsi="仿宋_GB2312" w:eastAsia="方正仿宋_GBK" w:cs="仿宋_GB2312"/>
                <w:sz w:val="24"/>
                <w:szCs w:val="24"/>
              </w:rPr>
              <w:t>日历天</w:t>
            </w:r>
            <w:r>
              <w:rPr>
                <w:rFonts w:hint="default"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lang w:eastAsia="zh-CN"/>
              </w:rPr>
              <w:t>检测</w:t>
            </w:r>
            <w:r>
              <w:rPr>
                <w:rFonts w:ascii="方正仿宋_GBK" w:hAnsi="仿宋_GB2312" w:eastAsia="方正仿宋_GBK" w:cs="仿宋_GB2312"/>
                <w:sz w:val="24"/>
                <w:szCs w:val="24"/>
              </w:rPr>
              <w:t>服务期由中标通知书发出之日起，最终至缺陷责任期（试运营</w:t>
            </w:r>
            <w:r>
              <w:rPr>
                <w:rFonts w:hint="default" w:ascii="方正仿宋_GBK" w:hAnsi="仿宋_GB2312" w:eastAsia="方正仿宋_GBK" w:cs="仿宋_GB2312"/>
                <w:sz w:val="24"/>
                <w:szCs w:val="24"/>
                <w:lang w:val="en-US" w:eastAsia="zh-CN"/>
              </w:rPr>
              <w:t>期</w:t>
            </w:r>
            <w:r>
              <w:rPr>
                <w:rFonts w:ascii="方正仿宋_GBK" w:hAnsi="仿宋_GB2312" w:eastAsia="方正仿宋_GBK" w:cs="仿宋_GB2312"/>
                <w:sz w:val="24"/>
                <w:szCs w:val="24"/>
              </w:rPr>
              <w:t>）两年完成之日止。</w:t>
            </w:r>
          </w:p>
          <w:p>
            <w:pPr>
              <w:numPr>
                <w:ilvl w:val="0"/>
                <w:numId w:val="0"/>
              </w:numPr>
              <w:autoSpaceDE/>
              <w:autoSpaceDN/>
              <w:adjustRightInd/>
              <w:snapToGrid/>
              <w:spacing w:line="240" w:lineRule="auto"/>
              <w:ind w:firstLine="480" w:firstLineChars="200"/>
              <w:jc w:val="left"/>
              <w:rPr>
                <w:rFonts w:hint="default" w:ascii="方正仿宋_GBK" w:hAnsi="仿宋_GB2312" w:eastAsia="方正仿宋_GBK" w:cs="仿宋_GB2312"/>
                <w:snapToGrid/>
                <w:kern w:val="2"/>
                <w:sz w:val="24"/>
                <w:szCs w:val="24"/>
                <w:lang w:bidi="ar"/>
              </w:rPr>
            </w:pPr>
            <w:r>
              <w:rPr>
                <w:rFonts w:hint="default" w:ascii="方正仿宋_GBK" w:hAnsi="仿宋_GB2312" w:eastAsia="方正仿宋_GBK" w:cs="仿宋_GB2312"/>
                <w:snapToGrid/>
                <w:kern w:val="2"/>
                <w:sz w:val="24"/>
                <w:szCs w:val="24"/>
                <w:lang w:bidi="ar"/>
              </w:rPr>
              <w:t>缺陷责任期</w:t>
            </w:r>
            <w:r>
              <w:rPr>
                <w:rFonts w:hint="default" w:ascii="方正仿宋_GBK" w:hAnsi="仿宋_GB2312" w:eastAsia="方正仿宋_GBK" w:cs="仿宋_GB2312"/>
                <w:snapToGrid/>
                <w:kern w:val="2"/>
                <w:sz w:val="24"/>
                <w:szCs w:val="24"/>
                <w:lang w:eastAsia="zh-CN" w:bidi="ar"/>
              </w:rPr>
              <w:t>（</w:t>
            </w:r>
            <w:r>
              <w:rPr>
                <w:rFonts w:hint="default" w:ascii="方正仿宋_GBK" w:hAnsi="仿宋_GB2312" w:eastAsia="方正仿宋_GBK" w:cs="仿宋_GB2312"/>
                <w:kern w:val="2"/>
                <w:sz w:val="24"/>
                <w:szCs w:val="24"/>
                <w:lang w:bidi="ar"/>
              </w:rPr>
              <w:t>运营初期</w:t>
            </w:r>
            <w:r>
              <w:rPr>
                <w:rFonts w:hint="default" w:ascii="方正仿宋_GBK" w:hAnsi="仿宋_GB2312" w:eastAsia="方正仿宋_GBK" w:cs="仿宋_GB2312"/>
                <w:snapToGrid/>
                <w:kern w:val="2"/>
                <w:sz w:val="24"/>
                <w:szCs w:val="24"/>
                <w:lang w:val="en-US" w:eastAsia="zh-CN" w:bidi="ar"/>
              </w:rPr>
              <w:t>）</w:t>
            </w:r>
            <w:r>
              <w:rPr>
                <w:rFonts w:hint="default" w:ascii="方正仿宋_GBK" w:hAnsi="仿宋_GB2312" w:eastAsia="方正仿宋_GBK" w:cs="仿宋_GB2312"/>
                <w:snapToGrid/>
                <w:kern w:val="2"/>
                <w:sz w:val="24"/>
                <w:szCs w:val="24"/>
                <w:lang w:bidi="ar"/>
              </w:rPr>
              <w:t>：</w:t>
            </w:r>
            <w:r>
              <w:rPr>
                <w:rFonts w:hint="default" w:ascii="方正仿宋_GBK" w:hAnsi="仿宋_GB2312" w:eastAsia="方正仿宋_GBK" w:cs="仿宋_GB2312"/>
                <w:snapToGrid/>
                <w:kern w:val="2"/>
                <w:sz w:val="24"/>
                <w:szCs w:val="24"/>
                <w:u w:val="none"/>
                <w:lang w:bidi="ar"/>
              </w:rPr>
              <w:t>24个月</w:t>
            </w:r>
            <w:r>
              <w:rPr>
                <w:rFonts w:hint="default" w:ascii="方正仿宋_GBK" w:hAnsi="仿宋_GB2312" w:eastAsia="方正仿宋_GBK" w:cs="仿宋_GB2312"/>
                <w:snapToGrid/>
                <w:kern w:val="2"/>
                <w:sz w:val="24"/>
                <w:szCs w:val="24"/>
                <w:lang w:bidi="ar"/>
              </w:rPr>
              <w:t>。</w:t>
            </w:r>
          </w:p>
          <w:p>
            <w:pPr>
              <w:numPr>
                <w:ilvl w:val="0"/>
                <w:numId w:val="0"/>
              </w:numPr>
              <w:ind w:firstLine="480" w:firstLineChars="200"/>
              <w:jc w:val="left"/>
              <w:rPr>
                <w:rFonts w:hint="eastAsia" w:ascii="方正仿宋_GBK" w:hAnsi="仿宋_GB2312" w:eastAsia="方正仿宋_GBK" w:cs="仿宋_GB2312"/>
                <w:sz w:val="24"/>
                <w:szCs w:val="24"/>
                <w:lang w:eastAsia="zh-CN"/>
              </w:rPr>
            </w:pPr>
            <w:r>
              <w:rPr>
                <w:rFonts w:hint="default" w:ascii="方正仿宋_GBK" w:hAnsi="仿宋_GB2312" w:eastAsia="方正仿宋_GBK" w:cs="仿宋_GB2312"/>
                <w:snapToGrid/>
                <w:kern w:val="2"/>
                <w:sz w:val="24"/>
                <w:szCs w:val="24"/>
                <w:lang w:bidi="ar"/>
              </w:rPr>
              <w:t>计划开工</w:t>
            </w:r>
            <w:r>
              <w:rPr>
                <w:rFonts w:hint="default" w:ascii="方正仿宋_GBK" w:hAnsi="仿宋_GB2312" w:eastAsia="方正仿宋_GBK" w:cs="仿宋_GB2312"/>
                <w:snapToGrid/>
                <w:kern w:val="2"/>
                <w:sz w:val="24"/>
                <w:szCs w:val="24"/>
                <w:lang w:val="en-US" w:eastAsia="zh-CN" w:bidi="ar"/>
              </w:rPr>
              <w:t>日</w:t>
            </w:r>
            <w:r>
              <w:rPr>
                <w:rFonts w:hint="default" w:ascii="方正仿宋_GBK" w:hAnsi="仿宋_GB2312" w:eastAsia="方正仿宋_GBK" w:cs="仿宋_GB2312"/>
                <w:snapToGrid/>
                <w:kern w:val="2"/>
                <w:sz w:val="24"/>
                <w:szCs w:val="24"/>
                <w:lang w:bidi="ar"/>
              </w:rPr>
              <w:t>期暂定202</w:t>
            </w:r>
            <w:r>
              <w:rPr>
                <w:rFonts w:hint="default" w:ascii="方正仿宋_GBK" w:hAnsi="仿宋_GB2312" w:eastAsia="方正仿宋_GBK" w:cs="仿宋_GB2312"/>
                <w:snapToGrid/>
                <w:kern w:val="2"/>
                <w:sz w:val="24"/>
                <w:szCs w:val="24"/>
                <w:lang w:val="en-US" w:eastAsia="zh-CN" w:bidi="ar"/>
              </w:rPr>
              <w:t>2</w:t>
            </w:r>
            <w:r>
              <w:rPr>
                <w:rFonts w:hint="default" w:ascii="方正仿宋_GBK" w:hAnsi="仿宋_GB2312" w:eastAsia="方正仿宋_GBK" w:cs="仿宋_GB2312"/>
                <w:snapToGrid/>
                <w:kern w:val="2"/>
                <w:sz w:val="24"/>
                <w:szCs w:val="24"/>
                <w:lang w:bidi="ar"/>
              </w:rPr>
              <w:t>年</w:t>
            </w:r>
            <w:r>
              <w:rPr>
                <w:rFonts w:hint="default" w:ascii="方正仿宋_GBK" w:hAnsi="仿宋_GB2312" w:eastAsia="方正仿宋_GBK" w:cs="仿宋_GB2312"/>
                <w:snapToGrid/>
                <w:kern w:val="2"/>
                <w:sz w:val="24"/>
                <w:szCs w:val="24"/>
                <w:lang w:val="en-US" w:eastAsia="zh-CN" w:bidi="ar"/>
              </w:rPr>
              <w:t>5</w:t>
            </w:r>
            <w:r>
              <w:rPr>
                <w:rFonts w:hint="default" w:ascii="方正仿宋_GBK" w:hAnsi="仿宋_GB2312" w:eastAsia="方正仿宋_GBK" w:cs="仿宋_GB2312"/>
                <w:snapToGrid/>
                <w:kern w:val="2"/>
                <w:sz w:val="24"/>
                <w:szCs w:val="24"/>
                <w:lang w:bidi="ar"/>
              </w:rPr>
              <w:t>月，计划完工日期2023年</w:t>
            </w:r>
            <w:r>
              <w:rPr>
                <w:rFonts w:hint="default" w:ascii="方正仿宋_GBK" w:hAnsi="仿宋_GB2312" w:eastAsia="方正仿宋_GBK" w:cs="仿宋_GB2312"/>
                <w:snapToGrid/>
                <w:kern w:val="2"/>
                <w:sz w:val="24"/>
                <w:szCs w:val="24"/>
                <w:lang w:val="en-US" w:eastAsia="zh-CN" w:bidi="ar"/>
              </w:rPr>
              <w:t>3</w:t>
            </w:r>
            <w:r>
              <w:rPr>
                <w:rFonts w:hint="default" w:ascii="方正仿宋_GBK" w:hAnsi="仿宋_GB2312" w:eastAsia="方正仿宋_GBK" w:cs="仿宋_GB2312"/>
                <w:snapToGrid/>
                <w:kern w:val="2"/>
                <w:sz w:val="24"/>
                <w:szCs w:val="24"/>
                <w:lang w:bidi="ar"/>
              </w:rPr>
              <w:t>月（与骨架道路开成路一期同步）</w:t>
            </w:r>
            <w:r>
              <w:rPr>
                <w:rFonts w:hint="default" w:ascii="方正仿宋_GBK" w:hAnsi="仿宋_GB2312" w:eastAsia="方正仿宋_GBK" w:cs="仿宋_GB2312"/>
                <w:snapToGrid/>
                <w:kern w:val="2"/>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2229" w:type="dxa"/>
            <w:vAlign w:val="center"/>
          </w:tcPr>
          <w:p>
            <w:pPr>
              <w:rPr>
                <w:sz w:val="24"/>
                <w:szCs w:val="24"/>
              </w:rPr>
            </w:pPr>
            <w:r>
              <w:rPr>
                <w:rFonts w:hint="eastAsia" w:ascii="方正仿宋_GBK" w:hAnsi="仿宋_GB2312" w:eastAsia="方正仿宋_GBK" w:cs="仿宋_GB2312"/>
                <w:sz w:val="24"/>
                <w:szCs w:val="24"/>
              </w:rPr>
              <w:t>比选范围及内容</w:t>
            </w:r>
          </w:p>
        </w:tc>
        <w:tc>
          <w:tcPr>
            <w:tcW w:w="6305" w:type="dxa"/>
            <w:vAlign w:val="center"/>
          </w:tcPr>
          <w:p>
            <w:pPr>
              <w:numPr>
                <w:ilvl w:val="0"/>
                <w:numId w:val="0"/>
              </w:numPr>
              <w:spacing w:beforeLines="-2147483648" w:afterLines="-2147483648" w:line="240" w:lineRule="auto"/>
              <w:ind w:firstLine="480" w:firstLineChars="200"/>
              <w:jc w:val="left"/>
              <w:rPr>
                <w:rFonts w:hint="eastAsia" w:ascii="方正仿宋_GBK" w:hAnsi="仿宋_GB2312" w:eastAsia="方正仿宋_GBK" w:cs="仿宋_GB2312"/>
                <w:sz w:val="24"/>
                <w:szCs w:val="24"/>
                <w:lang w:eastAsia="zh-CN"/>
              </w:rPr>
            </w:pPr>
            <w:r>
              <w:rPr>
                <w:rFonts w:hint="eastAsia" w:ascii="方正仿宋_GBK" w:hAnsi="仿宋_GB2312" w:eastAsia="方正仿宋_GBK" w:cs="仿宋_GB2312"/>
                <w:sz w:val="24"/>
                <w:szCs w:val="24"/>
              </w:rPr>
              <w:t>（</w:t>
            </w:r>
            <w:r>
              <w:rPr>
                <w:rFonts w:hint="eastAsia" w:ascii="方正仿宋_GBK" w:hAnsi="仿宋_GB2312" w:eastAsia="方正仿宋_GBK" w:cs="仿宋_GB2312"/>
                <w:sz w:val="24"/>
                <w:szCs w:val="24"/>
                <w:lang w:val="en-US" w:eastAsia="zh-CN"/>
              </w:rPr>
              <w:t>一</w:t>
            </w:r>
            <w:r>
              <w:rPr>
                <w:rFonts w:hint="eastAsia" w:ascii="方正仿宋_GBK" w:hAnsi="仿宋_GB2312" w:eastAsia="方正仿宋_GBK" w:cs="仿宋_GB2312"/>
                <w:sz w:val="24"/>
                <w:szCs w:val="24"/>
              </w:rPr>
              <w:t>）第三方</w:t>
            </w:r>
            <w:r>
              <w:rPr>
                <w:rFonts w:hint="eastAsia" w:ascii="方正仿宋_GBK" w:hAnsi="仿宋_GB2312" w:eastAsia="方正仿宋_GBK" w:cs="仿宋_GB2312"/>
                <w:sz w:val="24"/>
                <w:szCs w:val="24"/>
                <w:lang w:eastAsia="zh-CN"/>
              </w:rPr>
              <w:t>检测</w:t>
            </w:r>
          </w:p>
          <w:p>
            <w:pPr>
              <w:numPr>
                <w:ilvl w:val="0"/>
                <w:numId w:val="0"/>
              </w:numPr>
              <w:spacing w:line="240" w:lineRule="auto"/>
              <w:ind w:firstLine="480" w:firstLineChars="200"/>
              <w:jc w:val="left"/>
              <w:rPr>
                <w:rFonts w:ascii="方正仿宋_GBK" w:hAnsi="仿宋_GB2312" w:eastAsia="方正仿宋_GBK" w:cs="仿宋_GB2312"/>
                <w:sz w:val="24"/>
                <w:szCs w:val="24"/>
              </w:rPr>
            </w:pPr>
            <w:r>
              <w:rPr>
                <w:rFonts w:ascii="方正仿宋_GBK" w:hAnsi="仿宋_GB2312" w:eastAsia="方正仿宋_GBK" w:cs="仿宋_GB2312"/>
                <w:sz w:val="24"/>
                <w:szCs w:val="24"/>
              </w:rPr>
              <w:t>本工程建设包含土石方工程、</w:t>
            </w:r>
            <w:r>
              <w:rPr>
                <w:rFonts w:hint="default" w:ascii="方正仿宋_GBK" w:hAnsi="仿宋_GB2312" w:eastAsia="方正仿宋_GBK" w:cs="仿宋_GB2312"/>
                <w:sz w:val="24"/>
                <w:szCs w:val="24"/>
                <w:lang w:val="en-US" w:eastAsia="zh-CN"/>
              </w:rPr>
              <w:t>主体结构工程</w:t>
            </w:r>
            <w:r>
              <w:rPr>
                <w:rFonts w:ascii="方正仿宋_GBK" w:hAnsi="仿宋_GB2312" w:eastAsia="方正仿宋_GBK" w:cs="仿宋_GB2312"/>
                <w:sz w:val="24"/>
                <w:szCs w:val="24"/>
              </w:rPr>
              <w:t>等施工设计图范围中的全部内容，本次</w:t>
            </w:r>
            <w:r>
              <w:rPr>
                <w:rFonts w:hint="eastAsia" w:ascii="方正仿宋_GBK" w:hAnsi="仿宋_GB2312" w:eastAsia="方正仿宋_GBK" w:cs="仿宋_GB2312"/>
                <w:sz w:val="24"/>
                <w:szCs w:val="24"/>
                <w:lang w:val="en-US" w:eastAsia="zh-CN"/>
              </w:rPr>
              <w:t>第</w:t>
            </w:r>
            <w:r>
              <w:rPr>
                <w:rFonts w:ascii="方正仿宋_GBK" w:hAnsi="仿宋_GB2312" w:eastAsia="方正仿宋_GBK" w:cs="仿宋_GB2312"/>
                <w:sz w:val="24"/>
                <w:szCs w:val="24"/>
              </w:rPr>
              <w:t>三方检测招标具体范围以法律法规标准规范、本工程相关设计及技术文件规定的检测项目为准，包括但不限于以下内容：</w:t>
            </w:r>
          </w:p>
          <w:p>
            <w:pPr>
              <w:numPr>
                <w:ilvl w:val="0"/>
                <w:numId w:val="0"/>
              </w:numPr>
              <w:spacing w:line="240" w:lineRule="auto"/>
              <w:ind w:firstLine="480" w:firstLineChars="200"/>
              <w:jc w:val="left"/>
              <w:rPr>
                <w:rFonts w:ascii="方正仿宋_GBK" w:hAnsi="仿宋_GB2312" w:eastAsia="方正仿宋_GBK" w:cs="仿宋_GB2312"/>
                <w:sz w:val="24"/>
                <w:szCs w:val="24"/>
              </w:rPr>
            </w:pPr>
            <w:r>
              <w:rPr>
                <w:rFonts w:ascii="方正仿宋_GBK" w:hAnsi="仿宋_GB2312" w:eastAsia="方正仿宋_GBK" w:cs="仿宋_GB2312"/>
                <w:sz w:val="24"/>
                <w:szCs w:val="24"/>
              </w:rPr>
              <w:t>①一般试验检测项目（包括但不限于：对工程材料、构件、建筑安装物、半成品、成品进行的一般质量鉴定、检测和试验等项目）；</w:t>
            </w:r>
          </w:p>
          <w:p>
            <w:pPr>
              <w:numPr>
                <w:ilvl w:val="0"/>
                <w:numId w:val="0"/>
              </w:numPr>
              <w:spacing w:line="240" w:lineRule="auto"/>
              <w:ind w:firstLine="480" w:firstLineChars="200"/>
              <w:jc w:val="left"/>
              <w:rPr>
                <w:rFonts w:ascii="方正仿宋_GBK" w:hAnsi="仿宋_GB2312" w:eastAsia="方正仿宋_GBK" w:cs="仿宋_GB2312"/>
                <w:sz w:val="24"/>
                <w:szCs w:val="24"/>
              </w:rPr>
            </w:pPr>
            <w:r>
              <w:rPr>
                <w:rFonts w:ascii="方正仿宋_GBK" w:hAnsi="仿宋_GB2312" w:eastAsia="方正仿宋_GBK" w:cs="仿宋_GB2312"/>
                <w:sz w:val="24"/>
                <w:szCs w:val="24"/>
              </w:rPr>
              <w:t>②专项试验检测项目（包括但不限于：焊缝超声波检测、路基弯沉值试验、锚固试验、锚杆抗拔检验、保温层隔热检测等项目）；</w:t>
            </w:r>
          </w:p>
          <w:p>
            <w:pPr>
              <w:numPr>
                <w:ilvl w:val="0"/>
                <w:numId w:val="0"/>
              </w:numPr>
              <w:spacing w:line="240" w:lineRule="auto"/>
              <w:ind w:firstLine="480" w:firstLineChars="200"/>
              <w:jc w:val="left"/>
              <w:rPr>
                <w:rFonts w:ascii="方正仿宋_GBK" w:hAnsi="仿宋_GB2312" w:eastAsia="方正仿宋_GBK" w:cs="仿宋_GB2312"/>
                <w:sz w:val="24"/>
                <w:szCs w:val="24"/>
              </w:rPr>
            </w:pPr>
            <w:r>
              <w:rPr>
                <w:rFonts w:ascii="方正仿宋_GBK" w:hAnsi="仿宋_GB2312" w:eastAsia="方正仿宋_GBK" w:cs="仿宋_GB2312"/>
                <w:sz w:val="24"/>
                <w:szCs w:val="24"/>
              </w:rPr>
              <w:t>（</w:t>
            </w:r>
            <w:r>
              <w:rPr>
                <w:rFonts w:hint="eastAsia" w:ascii="方正仿宋_GBK" w:hAnsi="仿宋_GB2312" w:eastAsia="方正仿宋_GBK" w:cs="仿宋_GB2312"/>
                <w:sz w:val="24"/>
                <w:szCs w:val="24"/>
                <w:lang w:val="en-US" w:eastAsia="zh-CN"/>
              </w:rPr>
              <w:t>二</w:t>
            </w:r>
            <w:r>
              <w:rPr>
                <w:rFonts w:ascii="方正仿宋_GBK" w:hAnsi="仿宋_GB2312" w:eastAsia="方正仿宋_GBK" w:cs="仿宋_GB2312"/>
                <w:sz w:val="24"/>
                <w:szCs w:val="24"/>
              </w:rPr>
              <w:t>）检测管理</w:t>
            </w:r>
          </w:p>
          <w:p>
            <w:pPr>
              <w:numPr>
                <w:ilvl w:val="0"/>
                <w:numId w:val="0"/>
              </w:numPr>
              <w:ind w:firstLine="480" w:firstLineChars="200"/>
              <w:jc w:val="left"/>
            </w:pPr>
            <w:r>
              <w:rPr>
                <w:rFonts w:ascii="方正仿宋_GBK" w:hAnsi="仿宋_GB2312" w:eastAsia="方正仿宋_GBK" w:cs="仿宋_GB2312"/>
                <w:sz w:val="24"/>
                <w:szCs w:val="24"/>
              </w:rPr>
              <w:t>对建设单位委托的工作范围内的施工检测实施检测监督管理，包括但不限于工程质量的检测、评定方案的编制、审查，现场检测，检测分析评定以及处理方案等工作，确保对施工现场的各项质量的整体监督把控、协助建设单位建好质量安全风险总体控制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tc>
          <w:tcPr>
            <w:tcW w:w="2229" w:type="dxa"/>
            <w:vAlign w:val="center"/>
          </w:tcPr>
          <w:p>
            <w:pPr>
              <w:spacing w:line="440" w:lineRule="exact"/>
              <w:rPr>
                <w:sz w:val="24"/>
                <w:szCs w:val="24"/>
              </w:rPr>
            </w:pPr>
            <w:r>
              <w:rPr>
                <w:rFonts w:hint="eastAsia" w:ascii="方正仿宋_GBK" w:hAnsi="仿宋_GB2312" w:eastAsia="方正仿宋_GBK" w:cs="仿宋_GB2312"/>
                <w:b/>
                <w:bCs/>
                <w:sz w:val="24"/>
                <w:szCs w:val="24"/>
              </w:rPr>
              <w:t>比选被邀请人资格要求</w:t>
            </w:r>
          </w:p>
        </w:tc>
        <w:tc>
          <w:tcPr>
            <w:tcW w:w="6305" w:type="dxa"/>
            <w:vAlign w:val="center"/>
          </w:tcPr>
          <w:p>
            <w:pPr>
              <w:ind w:firstLine="480" w:firstLineChars="200"/>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1.</w:t>
            </w:r>
            <w:r>
              <w:rPr>
                <w:rFonts w:hint="eastAsia" w:ascii="方正仿宋_GBK" w:hAnsi="仿宋_GB2312" w:eastAsia="方正仿宋_GBK" w:cs="仿宋_GB2312"/>
                <w:sz w:val="24"/>
                <w:szCs w:val="24"/>
              </w:rPr>
              <w:t>具备独立法人资格，具备有效的营业执照</w:t>
            </w:r>
          </w:p>
          <w:p>
            <w:pPr>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（须提供有效的营业执照复印件，并加盖比选人单位公章。）</w:t>
            </w:r>
          </w:p>
          <w:p>
            <w:pPr>
              <w:ind w:firstLine="480" w:firstLineChars="200"/>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2.</w:t>
            </w:r>
            <w:r>
              <w:rPr>
                <w:rFonts w:hint="eastAsia" w:ascii="方正仿宋_GBK" w:hAnsi="仿宋_GB2312" w:eastAsia="方正仿宋_GBK" w:cs="仿宋_GB2312"/>
                <w:sz w:val="24"/>
                <w:szCs w:val="24"/>
              </w:rPr>
              <w:t>资质要求</w:t>
            </w:r>
          </w:p>
          <w:p>
            <w:pPr>
              <w:spacing w:line="240" w:lineRule="auto"/>
              <w:ind w:firstLine="480" w:firstLineChars="200"/>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须具备建设行政主管部门颁发的建设工程质量检测机构资质证书，检测资质类别须同时包含：见证取样检测、市政道路工程检测、主体结构工程检测、地基基础工程检测。</w:t>
            </w:r>
          </w:p>
          <w:p>
            <w:pPr>
              <w:spacing w:line="240" w:lineRule="auto"/>
              <w:ind w:firstLine="0" w:firstLineChars="0"/>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具有省级及以上质量技术监督部门颁发的CMA认证合格证书。</w:t>
            </w:r>
          </w:p>
          <w:p>
            <w:pPr>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（须提供有效的资质证书副本复印件，并加盖比选人单位公章。）</w:t>
            </w:r>
          </w:p>
          <w:p>
            <w:pPr>
              <w:ind w:firstLine="480" w:firstLineChars="200"/>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业绩要求</w:t>
            </w:r>
          </w:p>
          <w:p>
            <w:pPr>
              <w:numPr>
                <w:ilvl w:val="-1"/>
                <w:numId w:val="0"/>
              </w:numPr>
              <w:autoSpaceDE/>
              <w:autoSpaceDN/>
              <w:adjustRightInd/>
              <w:snapToGrid/>
              <w:spacing w:line="240" w:lineRule="auto"/>
              <w:ind w:firstLine="480" w:firstLineChars="200"/>
              <w:rPr>
                <w:rFonts w:hint="eastAsia" w:ascii="方正仿宋_GBK" w:hAnsi="仿宋_GB2312" w:eastAsia="方正仿宋_GBK" w:cs="仿宋_GB2312"/>
                <w:snapToGrid/>
                <w:kern w:val="2"/>
                <w:sz w:val="24"/>
                <w:szCs w:val="24"/>
                <w:lang w:eastAsia="zh-CN" w:bidi="ar"/>
              </w:rPr>
            </w:pPr>
            <w:r>
              <w:rPr>
                <w:rFonts w:hint="eastAsia" w:ascii="方正仿宋_GBK" w:hAnsi="仿宋_GB2312" w:eastAsia="方正仿宋_GBK" w:cs="仿宋_GB2312"/>
                <w:sz w:val="24"/>
                <w:szCs w:val="24"/>
              </w:rPr>
              <w:t>201</w:t>
            </w:r>
            <w:r>
              <w:rPr>
                <w:rFonts w:hint="eastAsia" w:ascii="方正仿宋_GBK" w:hAnsi="仿宋_GB2312" w:eastAsia="方正仿宋_GBK" w:cs="仿宋_GB2312"/>
                <w:sz w:val="24"/>
                <w:szCs w:val="24"/>
                <w:lang w:val="en-US" w:eastAsia="zh-CN"/>
              </w:rPr>
              <w:t>7</w:t>
            </w:r>
            <w:r>
              <w:rPr>
                <w:rFonts w:hint="eastAsia" w:ascii="方正仿宋_GBK" w:hAnsi="仿宋_GB2312" w:eastAsia="方正仿宋_GBK" w:cs="仿宋_GB2312"/>
                <w:sz w:val="24"/>
                <w:szCs w:val="24"/>
              </w:rPr>
              <w:t>年1月1日至投标截止日止（以</w:t>
            </w:r>
            <w:r>
              <w:rPr>
                <w:rFonts w:hint="eastAsia" w:ascii="方正仿宋_GBK" w:hAnsi="仿宋_GB2312" w:eastAsia="方正仿宋_GBK" w:cs="仿宋_GB2312"/>
                <w:sz w:val="24"/>
                <w:szCs w:val="24"/>
                <w:lang w:eastAsia="zh-CN"/>
              </w:rPr>
              <w:t>检测</w:t>
            </w:r>
            <w:r>
              <w:rPr>
                <w:rFonts w:hint="eastAsia" w:ascii="方正仿宋_GBK" w:hAnsi="仿宋_GB2312" w:eastAsia="方正仿宋_GBK" w:cs="仿宋_GB2312"/>
                <w:sz w:val="24"/>
                <w:szCs w:val="24"/>
              </w:rPr>
              <w:t>报告时间为准），</w:t>
            </w:r>
            <w:r>
              <w:rPr>
                <w:rFonts w:hint="eastAsia" w:ascii="方正仿宋_GBK" w:hAnsi="仿宋_GB2312" w:eastAsia="方正仿宋_GBK" w:cs="仿宋_GB2312"/>
                <w:sz w:val="24"/>
                <w:szCs w:val="24"/>
                <w:lang w:eastAsia="zh-CN"/>
              </w:rPr>
              <w:t>比选被邀请人</w:t>
            </w:r>
            <w:r>
              <w:rPr>
                <w:rFonts w:hint="eastAsia" w:ascii="方正仿宋_GBK" w:hAnsi="仿宋_GB2312" w:eastAsia="方正仿宋_GBK" w:cs="仿宋_GB2312"/>
                <w:sz w:val="24"/>
                <w:szCs w:val="24"/>
              </w:rPr>
              <w:t>须至少承担过</w:t>
            </w: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个工程</w:t>
            </w:r>
            <w:r>
              <w:rPr>
                <w:rFonts w:hint="eastAsia" w:ascii="方正仿宋_GBK" w:hAnsi="仿宋_GB2312" w:eastAsia="方正仿宋_GBK" w:cs="仿宋_GB2312"/>
                <w:sz w:val="24"/>
                <w:szCs w:val="24"/>
                <w:lang w:eastAsia="zh-CN"/>
              </w:rPr>
              <w:t>检测</w:t>
            </w:r>
            <w:r>
              <w:rPr>
                <w:rFonts w:hint="eastAsia" w:ascii="方正仿宋_GBK" w:hAnsi="仿宋_GB2312" w:eastAsia="方正仿宋_GBK" w:cs="仿宋_GB2312"/>
                <w:sz w:val="24"/>
                <w:szCs w:val="24"/>
              </w:rPr>
              <w:t>业绩</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rPr>
              <w:t>工程检测业绩</w:t>
            </w:r>
            <w:r>
              <w:rPr>
                <w:rFonts w:hint="eastAsia" w:ascii="方正仿宋_GBK" w:hAnsi="仿宋_GB2312" w:eastAsia="方正仿宋_GBK" w:cs="仿宋_GB2312"/>
                <w:sz w:val="24"/>
                <w:szCs w:val="24"/>
                <w:lang w:val="en-US" w:eastAsia="zh-CN"/>
              </w:rPr>
              <w:t>类型需满足下列类别之一</w:t>
            </w:r>
            <w:r>
              <w:rPr>
                <w:rFonts w:hint="eastAsia" w:ascii="方正仿宋_GBK" w:hAnsi="仿宋_GB2312" w:eastAsia="方正仿宋_GBK" w:cs="仿宋_GB2312"/>
                <w:sz w:val="24"/>
                <w:szCs w:val="24"/>
              </w:rPr>
              <w:t>：①市政道路工程；②市政立交工程；③市政道路桥梁工程；④市政道路隧道工程</w:t>
            </w:r>
            <w:r>
              <w:rPr>
                <w:rFonts w:hint="eastAsia" w:ascii="方正仿宋_GBK" w:hAnsi="仿宋_GB2312" w:eastAsia="方正仿宋_GBK" w:cs="仿宋_GB2312"/>
                <w:snapToGrid/>
                <w:kern w:val="2"/>
                <w:sz w:val="24"/>
                <w:szCs w:val="24"/>
                <w:lang w:eastAsia="zh-CN" w:bidi="ar"/>
              </w:rPr>
              <w:t>。</w:t>
            </w:r>
          </w:p>
          <w:p>
            <w:pPr>
              <w:numPr>
                <w:ilvl w:val="0"/>
                <w:numId w:val="0"/>
              </w:numPr>
              <w:spacing w:line="440" w:lineRule="exact"/>
              <w:ind w:firstLine="480" w:firstLineChars="200"/>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（须提供中选通知书或合同协议书</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lang w:val="en-US" w:eastAsia="zh-CN"/>
              </w:rPr>
              <w:t>检测报告</w:t>
            </w:r>
            <w:r>
              <w:rPr>
                <w:rFonts w:hint="eastAsia" w:ascii="方正仿宋_GBK" w:hAnsi="仿宋_GB2312" w:eastAsia="方正仿宋_GBK" w:cs="仿宋_GB2312"/>
                <w:sz w:val="24"/>
                <w:szCs w:val="24"/>
              </w:rPr>
              <w:t>的复印件，并加盖比选人单位公章）</w:t>
            </w:r>
          </w:p>
          <w:p>
            <w:pPr>
              <w:numPr>
                <w:ilvl w:val="-1"/>
                <w:numId w:val="0"/>
              </w:numPr>
              <w:spacing w:line="440" w:lineRule="exact"/>
              <w:ind w:firstLine="480" w:firstLineChars="200"/>
              <w:rPr>
                <w:rFonts w:hint="eastAsia" w:ascii="方正仿宋_GBK" w:hAnsi="仿宋_GB2312" w:eastAsia="方正仿宋_GBK" w:cs="仿宋_GB2312"/>
                <w:snapToGrid/>
                <w:kern w:val="2"/>
                <w:sz w:val="24"/>
                <w:szCs w:val="24"/>
                <w:lang w:val="en-US" w:eastAsia="zh-CN" w:bidi="ar"/>
              </w:rPr>
            </w:pPr>
            <w:r>
              <w:rPr>
                <w:rFonts w:hint="eastAsia" w:ascii="方正仿宋_GBK" w:hAnsi="仿宋_GB2312" w:eastAsia="方正仿宋_GBK" w:cs="仿宋_GB2312"/>
                <w:snapToGrid/>
                <w:kern w:val="2"/>
                <w:sz w:val="24"/>
                <w:szCs w:val="24"/>
                <w:lang w:val="en-US" w:eastAsia="zh-CN" w:bidi="ar"/>
              </w:rPr>
              <w:t>4.项目负责人要求</w:t>
            </w:r>
          </w:p>
          <w:p>
            <w:pPr>
              <w:numPr>
                <w:ilvl w:val="-1"/>
                <w:numId w:val="0"/>
              </w:numPr>
              <w:spacing w:line="440" w:lineRule="exact"/>
              <w:ind w:firstLine="480" w:firstLineChars="200"/>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项目负责人1人，须具备高级及以上职称证和建设工程质量检测人员岗位证书（持有见证取样检测、市政道路工程检测、主体结构工程检测、地基基础工程检测、市政桥梁工程检测、钢结构工程检测六项中的任意一项）。</w:t>
            </w:r>
          </w:p>
          <w:p>
            <w:r>
              <w:rPr>
                <w:rFonts w:hint="eastAsia" w:ascii="方正仿宋_GBK" w:hAnsi="仿宋_GB2312" w:eastAsia="方正仿宋_GBK" w:cs="仿宋_GB2312"/>
                <w:sz w:val="24"/>
                <w:szCs w:val="24"/>
              </w:rPr>
              <w:t>（须提供</w:t>
            </w:r>
            <w:r>
              <w:rPr>
                <w:rFonts w:hint="eastAsia" w:ascii="方正仿宋_GBK" w:hAnsi="仿宋_GB2312" w:eastAsia="方正仿宋_GBK" w:cs="仿宋_GB2312"/>
                <w:sz w:val="24"/>
                <w:szCs w:val="24"/>
                <w:lang w:eastAsia="zh-CN"/>
              </w:rPr>
              <w:t>职称证、注册证</w:t>
            </w:r>
            <w:r>
              <w:rPr>
                <w:rFonts w:hint="eastAsia" w:ascii="方正仿宋_GBK" w:hAnsi="仿宋_GB2312" w:eastAsia="方正仿宋_GBK" w:cs="仿宋_GB2312"/>
                <w:sz w:val="24"/>
                <w:szCs w:val="24"/>
                <w:lang w:val="en-US" w:eastAsia="zh-CN"/>
              </w:rPr>
              <w:t>复印件，均需</w:t>
            </w:r>
            <w:r>
              <w:rPr>
                <w:rFonts w:hint="eastAsia" w:ascii="方正仿宋_GBK" w:hAnsi="仿宋_GB2312" w:eastAsia="方正仿宋_GBK" w:cs="仿宋_GB2312"/>
                <w:sz w:val="24"/>
                <w:szCs w:val="24"/>
              </w:rPr>
              <w:t>加盖比选人单位公章）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rPr>
              <w:t>比选文件递交时间、地点及比选文件份数</w:t>
            </w:r>
          </w:p>
        </w:tc>
        <w:tc>
          <w:tcPr>
            <w:tcW w:w="6305" w:type="dxa"/>
            <w:vAlign w:val="center"/>
          </w:tcPr>
          <w:p>
            <w:pPr>
              <w:spacing w:line="440" w:lineRule="exact"/>
              <w:ind w:firstLine="480" w:firstLineChars="200"/>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递交时间：</w:t>
            </w:r>
            <w:r>
              <w:rPr>
                <w:rFonts w:ascii="方正仿宋_GBK" w:hAnsi="仿宋_GB2312" w:eastAsia="方正仿宋_GBK" w:cs="仿宋_GB2312"/>
                <w:sz w:val="24"/>
                <w:szCs w:val="24"/>
              </w:rPr>
              <w:t xml:space="preserve"> 202</w:t>
            </w:r>
            <w:r>
              <w:rPr>
                <w:rFonts w:hint="eastAsia" w:ascii="方正仿宋_GBK" w:hAnsi="仿宋_GB2312" w:eastAsia="方正仿宋_GBK" w:cs="仿宋_GB2312"/>
                <w:sz w:val="24"/>
                <w:szCs w:val="24"/>
                <w:lang w:val="en-US" w:eastAsia="zh-CN"/>
              </w:rPr>
              <w:t>2</w:t>
            </w:r>
            <w:r>
              <w:rPr>
                <w:rFonts w:hint="eastAsia" w:ascii="方正仿宋_GBK" w:hAnsi="仿宋_GB2312" w:eastAsia="方正仿宋_GBK" w:cs="仿宋_GB2312"/>
                <w:sz w:val="24"/>
                <w:szCs w:val="24"/>
              </w:rPr>
              <w:t>年</w:t>
            </w: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lang w:val="en-US" w:eastAsia="zh-CN"/>
              </w:rPr>
              <w:t>6</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7</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val="en-US" w:eastAsia="zh-CN"/>
              </w:rPr>
              <w:t>上午</w:t>
            </w:r>
            <w:r>
              <w:rPr>
                <w:rFonts w:ascii="方正仿宋_GBK" w:hAnsi="仿宋_GB2312" w:eastAsia="方正仿宋_GBK" w:cs="仿宋_GB2312"/>
                <w:sz w:val="24"/>
                <w:szCs w:val="24"/>
              </w:rPr>
              <w:t>09</w:t>
            </w:r>
            <w:r>
              <w:rPr>
                <w:rFonts w:hint="eastAsia" w:ascii="方正仿宋_GBK" w:hAnsi="仿宋_GB2312" w:eastAsia="方正仿宋_GBK" w:cs="仿宋_GB2312"/>
                <w:sz w:val="24"/>
                <w:szCs w:val="24"/>
              </w:rPr>
              <w:t>时</w:t>
            </w:r>
            <w:r>
              <w:rPr>
                <w:rFonts w:ascii="方正仿宋_GBK" w:hAnsi="仿宋_GB2312" w:eastAsia="方正仿宋_GBK" w:cs="仿宋_GB2312"/>
                <w:sz w:val="24"/>
                <w:szCs w:val="24"/>
              </w:rPr>
              <w:t>30</w:t>
            </w:r>
            <w:r>
              <w:rPr>
                <w:rFonts w:hint="eastAsia" w:ascii="方正仿宋_GBK" w:hAnsi="仿宋_GB2312" w:eastAsia="方正仿宋_GBK" w:cs="仿宋_GB2312"/>
                <w:sz w:val="24"/>
                <w:szCs w:val="24"/>
              </w:rPr>
              <w:t>分</w:t>
            </w:r>
            <w:r>
              <w:rPr>
                <w:rFonts w:hint="eastAsia" w:ascii="方正仿宋_GBK" w:hAnsi="仿宋_GB2312" w:eastAsia="方正仿宋_GBK" w:cs="仿宋_GB2312"/>
                <w:sz w:val="24"/>
                <w:szCs w:val="24"/>
                <w:lang w:val="en-US" w:eastAsia="zh-CN"/>
              </w:rPr>
              <w:t>至上午10时00分</w:t>
            </w:r>
            <w:r>
              <w:rPr>
                <w:rFonts w:hint="eastAsia" w:ascii="方正仿宋_GBK" w:hAnsi="仿宋_GB2312" w:eastAsia="方正仿宋_GBK" w:cs="仿宋_GB2312"/>
                <w:sz w:val="24"/>
                <w:szCs w:val="24"/>
              </w:rPr>
              <w:t>截止。</w:t>
            </w:r>
            <w:r>
              <w:rPr>
                <w:rFonts w:ascii="方正仿宋_GBK" w:hAnsi="仿宋_GB2312" w:eastAsia="方正仿宋_GBK" w:cs="仿宋_GB2312"/>
                <w:sz w:val="24"/>
                <w:szCs w:val="24"/>
              </w:rPr>
              <w:t xml:space="preserve">    </w:t>
            </w:r>
          </w:p>
          <w:p>
            <w:pPr>
              <w:spacing w:line="440" w:lineRule="exact"/>
              <w:ind w:left="0" w:leftChars="0" w:firstLine="480" w:firstLineChars="200"/>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rPr>
              <w:t>递交地点：重庆市</w:t>
            </w:r>
            <w:r>
              <w:rPr>
                <w:rFonts w:hint="eastAsia" w:ascii="方正仿宋_GBK" w:hAnsi="仿宋_GB2312" w:eastAsia="方正仿宋_GBK" w:cs="仿宋_GB2312"/>
                <w:sz w:val="24"/>
                <w:szCs w:val="24"/>
                <w:lang w:val="en-US" w:eastAsia="zh-CN"/>
              </w:rPr>
              <w:t>茶园金隅时代之星A座10楼会议</w:t>
            </w:r>
          </w:p>
          <w:p>
            <w:pPr>
              <w:spacing w:line="440" w:lineRule="exact"/>
              <w:ind w:left="0" w:leftChars="0" w:firstLine="480" w:firstLineChars="200"/>
              <w:rPr>
                <w:rFonts w:ascii="方正仿宋_GBK" w:hAnsi="仿宋_GB2312" w:eastAsia="方正仿宋_GBK" w:cs="仿宋_GB2312"/>
                <w:sz w:val="24"/>
                <w:szCs w:val="24"/>
              </w:rPr>
            </w:pPr>
            <w:bookmarkStart w:id="0" w:name="_GoBack"/>
            <w:bookmarkEnd w:id="0"/>
            <w:r>
              <w:rPr>
                <w:rFonts w:hint="eastAsia" w:ascii="方正仿宋_GBK" w:hAnsi="仿宋_GB2312" w:eastAsia="方正仿宋_GBK" w:cs="仿宋_GB2312"/>
                <w:sz w:val="24"/>
                <w:szCs w:val="24"/>
              </w:rPr>
              <w:t>比选时间：</w:t>
            </w: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rPr>
              <w:t>于</w:t>
            </w:r>
            <w:r>
              <w:rPr>
                <w:rFonts w:ascii="方正仿宋_GBK" w:hAnsi="仿宋_GB2312" w:eastAsia="方正仿宋_GBK" w:cs="仿宋_GB2312"/>
                <w:sz w:val="24"/>
                <w:szCs w:val="24"/>
              </w:rPr>
              <w:t>202</w:t>
            </w:r>
            <w:r>
              <w:rPr>
                <w:rFonts w:hint="eastAsia" w:ascii="方正仿宋_GBK" w:hAnsi="仿宋_GB2312" w:eastAsia="方正仿宋_GBK" w:cs="仿宋_GB2312"/>
                <w:sz w:val="24"/>
                <w:szCs w:val="24"/>
                <w:lang w:val="en-US" w:eastAsia="zh-CN"/>
              </w:rPr>
              <w:t>2</w:t>
            </w:r>
            <w:r>
              <w:rPr>
                <w:rFonts w:hint="eastAsia" w:ascii="方正仿宋_GBK" w:hAnsi="仿宋_GB2312" w:eastAsia="方正仿宋_GBK" w:cs="仿宋_GB2312"/>
                <w:sz w:val="24"/>
                <w:szCs w:val="24"/>
              </w:rPr>
              <w:t>年</w:t>
            </w: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lang w:val="en-US" w:eastAsia="zh-CN"/>
              </w:rPr>
              <w:t>6</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7</w:t>
            </w:r>
            <w:r>
              <w:rPr>
                <w:rFonts w:hint="eastAsia" w:ascii="方正仿宋_GBK" w:hAnsi="仿宋_GB2312" w:eastAsia="方正仿宋_GBK" w:cs="仿宋_GB2312"/>
                <w:sz w:val="24"/>
                <w:szCs w:val="24"/>
              </w:rPr>
              <w:t>日</w:t>
            </w: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lang w:val="en-US" w:eastAsia="zh-CN"/>
              </w:rPr>
              <w:t>上午10</w:t>
            </w:r>
            <w:r>
              <w:rPr>
                <w:rFonts w:hint="eastAsia" w:ascii="方正仿宋_GBK" w:hAnsi="仿宋_GB2312" w:eastAsia="方正仿宋_GBK" w:cs="仿宋_GB2312"/>
                <w:sz w:val="24"/>
                <w:szCs w:val="24"/>
              </w:rPr>
              <w:t>时</w:t>
            </w:r>
            <w:r>
              <w:rPr>
                <w:rFonts w:hint="eastAsia" w:ascii="方正仿宋_GBK" w:hAnsi="仿宋_GB2312" w:eastAsia="方正仿宋_GBK" w:cs="仿宋_GB2312"/>
                <w:sz w:val="24"/>
                <w:szCs w:val="24"/>
                <w:lang w:val="en-US" w:eastAsia="zh-CN"/>
              </w:rPr>
              <w:t>0</w:t>
            </w:r>
            <w:r>
              <w:rPr>
                <w:rFonts w:ascii="方正仿宋_GBK" w:hAnsi="仿宋_GB2312" w:eastAsia="方正仿宋_GBK" w:cs="仿宋_GB2312"/>
                <w:sz w:val="24"/>
                <w:szCs w:val="24"/>
              </w:rPr>
              <w:t xml:space="preserve">0 </w:t>
            </w:r>
            <w:r>
              <w:rPr>
                <w:rFonts w:hint="eastAsia" w:ascii="方正仿宋_GBK" w:hAnsi="仿宋_GB2312" w:eastAsia="方正仿宋_GBK" w:cs="仿宋_GB2312"/>
                <w:sz w:val="24"/>
                <w:szCs w:val="24"/>
              </w:rPr>
              <w:t>分</w:t>
            </w:r>
          </w:p>
          <w:p>
            <w:pPr>
              <w:spacing w:line="440" w:lineRule="exact"/>
              <w:rPr>
                <w:sz w:val="24"/>
                <w:szCs w:val="24"/>
              </w:rPr>
            </w:pPr>
            <w:r>
              <w:rPr>
                <w:rFonts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rPr>
              <w:t>比选文件份数：正本</w:t>
            </w:r>
            <w:r>
              <w:rPr>
                <w:rFonts w:ascii="方正仿宋_GBK" w:hAnsi="仿宋_GB2312" w:eastAsia="方正仿宋_GBK" w:cs="仿宋_GB2312"/>
                <w:sz w:val="24"/>
                <w:szCs w:val="24"/>
              </w:rPr>
              <w:t>1</w:t>
            </w:r>
            <w:r>
              <w:rPr>
                <w:rFonts w:hint="eastAsia" w:ascii="方正仿宋_GBK" w:hAnsi="仿宋_GB2312" w:eastAsia="方正仿宋_GBK" w:cs="仿宋_GB2312"/>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9"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highlight w:val="none"/>
              </w:rPr>
              <w:t>限价及比选报价要求</w:t>
            </w:r>
          </w:p>
        </w:tc>
        <w:tc>
          <w:tcPr>
            <w:tcW w:w="6305" w:type="dxa"/>
            <w:vAlign w:val="center"/>
          </w:tcPr>
          <w:p>
            <w:pPr>
              <w:numPr>
                <w:ilvl w:val="0"/>
                <w:numId w:val="0"/>
              </w:numPr>
              <w:spacing w:line="240" w:lineRule="auto"/>
              <w:ind w:firstLine="0" w:firstLineChars="0"/>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本项目</w:t>
            </w:r>
            <w:r>
              <w:rPr>
                <w:rFonts w:hint="eastAsia" w:ascii="方正仿宋_GBK" w:hAnsi="仿宋_GB2312" w:eastAsia="方正仿宋_GBK" w:cs="仿宋_GB2312"/>
                <w:sz w:val="24"/>
                <w:szCs w:val="24"/>
                <w:lang w:val="en-US" w:eastAsia="zh-CN"/>
              </w:rPr>
              <w:t>比选</w:t>
            </w:r>
            <w:r>
              <w:rPr>
                <w:rFonts w:hint="eastAsia" w:ascii="方正仿宋_GBK" w:hAnsi="仿宋_GB2312" w:eastAsia="方正仿宋_GBK" w:cs="仿宋_GB2312"/>
                <w:sz w:val="24"/>
                <w:szCs w:val="24"/>
              </w:rPr>
              <w:t>报价采用包干费率报价，在合同实施期间费率不予调整（投标人自行考虑相应风险费用）。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方正仿宋_GBK" w:hAnsi="仿宋_GB2312" w:eastAsia="方正仿宋_GBK" w:cs="仿宋_GB2312"/>
                <w:kern w:val="2"/>
                <w:sz w:val="24"/>
                <w:szCs w:val="24"/>
                <w:lang w:val="en-US" w:eastAsia="zh-CN" w:bidi="ar"/>
              </w:rPr>
            </w:pPr>
            <w:r>
              <w:rPr>
                <w:rFonts w:hint="eastAsia" w:ascii="方正仿宋_GBK" w:hAnsi="仿宋_GB2312" w:eastAsia="方正仿宋_GBK" w:cs="仿宋_GB2312"/>
                <w:sz w:val="24"/>
                <w:szCs w:val="24"/>
              </w:rPr>
              <w:t>1.全过程试验检测费</w:t>
            </w:r>
            <w:r>
              <w:rPr>
                <w:rFonts w:hint="eastAsia" w:ascii="方正仿宋_GBK" w:hAnsi="仿宋_GB2312" w:eastAsia="方正仿宋_GBK" w:cs="仿宋_GB2312"/>
                <w:sz w:val="24"/>
                <w:szCs w:val="24"/>
                <w:lang w:val="en-US" w:eastAsia="zh-CN"/>
              </w:rPr>
              <w:t>比选</w:t>
            </w:r>
            <w:r>
              <w:rPr>
                <w:rFonts w:hint="eastAsia" w:ascii="方正仿宋_GBK" w:hAnsi="仿宋_GB2312" w:eastAsia="方正仿宋_GBK" w:cs="仿宋_GB2312"/>
                <w:sz w:val="24"/>
                <w:szCs w:val="24"/>
              </w:rPr>
              <w:t>报价应包括完成</w:t>
            </w:r>
            <w:r>
              <w:rPr>
                <w:rFonts w:hint="eastAsia" w:ascii="方正仿宋_GBK" w:hAnsi="仿宋_GB2312" w:eastAsia="方正仿宋_GBK" w:cs="仿宋_GB2312"/>
                <w:sz w:val="24"/>
                <w:szCs w:val="24"/>
                <w:lang w:val="en-US" w:eastAsia="zh-CN"/>
              </w:rPr>
              <w:t>比选</w:t>
            </w:r>
            <w:r>
              <w:rPr>
                <w:rFonts w:hint="eastAsia" w:ascii="方正仿宋_GBK" w:hAnsi="仿宋_GB2312" w:eastAsia="方正仿宋_GBK" w:cs="仿宋_GB2312"/>
                <w:sz w:val="24"/>
                <w:szCs w:val="24"/>
              </w:rPr>
              <w:t>范围内检测项目的全部费用，合同总价由一般检测费、专项试验检测费、其他项目费用组成，包括该工程检测的成本、技术工作费、人工费、材料费、二维码标签、检测仪器设备使用费、利润、规费、税金、开办费、措施费、配合费（含智慧工地建设的配合费）、设备进出场费、管理费等所有费用。招标人除此以外不支付其它费用，除非合同中另有规定。</w:t>
            </w:r>
          </w:p>
          <w:p>
            <w:pPr>
              <w:numPr>
                <w:ilvl w:val="0"/>
                <w:numId w:val="0"/>
              </w:numPr>
              <w:ind w:firstLine="0" w:firstLineChars="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kern w:val="2"/>
                <w:sz w:val="24"/>
                <w:szCs w:val="24"/>
                <w:lang w:val="en-US" w:eastAsia="zh-CN" w:bidi="ar"/>
              </w:rPr>
              <w:t>2.限价：费率1%</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lang w:val="en-US" w:eastAsia="zh-CN"/>
              </w:rPr>
              <w:t>限价金额89.6973</w:t>
            </w:r>
            <w:r>
              <w:rPr>
                <w:rFonts w:hint="eastAsia" w:ascii="方正仿宋_GBK" w:hAnsi="仿宋_GB2312" w:eastAsia="方正仿宋_GBK" w:cs="仿宋_GB2312"/>
                <w:kern w:val="2"/>
                <w:sz w:val="24"/>
                <w:szCs w:val="24"/>
                <w:lang w:val="en-US" w:eastAsia="zh-CN" w:bidi="ar"/>
              </w:rPr>
              <w:t>万元（暂按施工合同中标价</w:t>
            </w:r>
            <w:r>
              <w:rPr>
                <w:rFonts w:hint="eastAsia" w:ascii="方正仿宋_GBK" w:hAnsi="仿宋_GB2312" w:eastAsia="方正仿宋_GBK" w:cs="仿宋_GB2312"/>
                <w:b w:val="0"/>
                <w:bCs w:val="0"/>
                <w:sz w:val="24"/>
                <w:szCs w:val="24"/>
                <w:lang w:val="en-US" w:eastAsia="zh-CN"/>
              </w:rPr>
              <w:t>8969.73</w:t>
            </w:r>
            <w:r>
              <w:rPr>
                <w:rFonts w:hint="eastAsia" w:ascii="方正仿宋_GBK" w:hAnsi="仿宋_GB2312" w:eastAsia="方正仿宋_GBK" w:cs="仿宋_GB2312"/>
                <w:sz w:val="24"/>
                <w:szCs w:val="24"/>
                <w:lang w:val="en-US" w:eastAsia="zh-CN"/>
              </w:rPr>
              <w:t>万元作为计算基数）</w:t>
            </w:r>
            <w:r>
              <w:rPr>
                <w:rFonts w:hint="eastAsia" w:ascii="方正仿宋_GBK" w:hAnsi="仿宋_GB2312" w:eastAsia="方正仿宋_GBK" w:cs="仿宋_GB2312"/>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rPr>
              <w:t>费用支付方式</w:t>
            </w:r>
          </w:p>
        </w:tc>
        <w:tc>
          <w:tcPr>
            <w:tcW w:w="6305" w:type="dxa"/>
            <w:vAlign w:val="center"/>
          </w:tcPr>
          <w:p>
            <w:pPr>
              <w:widowControl/>
              <w:numPr>
                <w:ilvl w:val="-1"/>
                <w:numId w:val="0"/>
              </w:numPr>
              <w:ind w:firstLine="480" w:firstLineChars="20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1.</w:t>
            </w:r>
            <w:r>
              <w:rPr>
                <w:rFonts w:hint="eastAsia" w:ascii="方正仿宋_GBK" w:hAnsi="仿宋_GB2312" w:eastAsia="方正仿宋_GBK" w:cs="仿宋_GB2312"/>
                <w:sz w:val="24"/>
                <w:szCs w:val="24"/>
              </w:rPr>
              <w:t>合同签订且项目正式开工后30工作日内，支付至暂定合同金额的10%；</w:t>
            </w:r>
          </w:p>
          <w:p>
            <w:pPr>
              <w:widowControl/>
              <w:numPr>
                <w:ilvl w:val="-1"/>
                <w:numId w:val="0"/>
              </w:numPr>
              <w:spacing w:line="240" w:lineRule="auto"/>
              <w:ind w:left="420" w:leftChars="200" w:firstLine="0" w:firstLineChars="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2.</w:t>
            </w:r>
            <w:r>
              <w:rPr>
                <w:rFonts w:hint="eastAsia" w:ascii="方正仿宋_GBK" w:hAnsi="仿宋_GB2312" w:eastAsia="方正仿宋_GBK" w:cs="仿宋_GB2312"/>
                <w:sz w:val="24"/>
                <w:szCs w:val="24"/>
              </w:rPr>
              <w:t>经</w:t>
            </w:r>
            <w:r>
              <w:rPr>
                <w:rFonts w:hint="eastAsia" w:ascii="方正仿宋_GBK" w:hAnsi="仿宋_GB2312" w:eastAsia="方正仿宋_GBK" w:cs="仿宋_GB2312"/>
                <w:sz w:val="24"/>
                <w:szCs w:val="24"/>
                <w:lang w:val="en-US" w:eastAsia="zh-CN"/>
              </w:rPr>
              <w:t>发包</w:t>
            </w:r>
            <w:r>
              <w:rPr>
                <w:rFonts w:hint="eastAsia" w:ascii="方正仿宋_GBK" w:hAnsi="仿宋_GB2312" w:eastAsia="方正仿宋_GBK" w:cs="仿宋_GB2312"/>
                <w:sz w:val="24"/>
                <w:szCs w:val="24"/>
              </w:rPr>
              <w:t>人、监理人和全过程造价控制单位（若有）确</w:t>
            </w:r>
          </w:p>
          <w:p>
            <w:pPr>
              <w:widowControl/>
              <w:numPr>
                <w:ilvl w:val="-1"/>
                <w:numId w:val="0"/>
              </w:numPr>
              <w:spacing w:line="240" w:lineRule="auto"/>
              <w:ind w:left="0" w:leftChars="0" w:firstLine="0" w:firstLineChars="0"/>
              <w:jc w:val="left"/>
              <w:rPr>
                <w:rFonts w:hint="eastAsia" w:ascii="方正仿宋_GBK" w:hAnsi="仿宋_GB2312" w:eastAsia="方正仿宋_GBK" w:cs="仿宋_GB2312"/>
                <w:b w:val="0"/>
                <w:bCs w:val="0"/>
                <w:sz w:val="24"/>
                <w:szCs w:val="24"/>
                <w:lang w:val="en-US" w:eastAsia="zh-CN"/>
              </w:rPr>
            </w:pPr>
            <w:r>
              <w:rPr>
                <w:rFonts w:hint="eastAsia" w:ascii="方正仿宋_GBK" w:hAnsi="仿宋_GB2312" w:eastAsia="方正仿宋_GBK" w:cs="仿宋_GB2312"/>
                <w:sz w:val="24"/>
                <w:szCs w:val="24"/>
              </w:rPr>
              <w:t>定的施工计量值达到</w:t>
            </w:r>
            <w:r>
              <w:rPr>
                <w:rFonts w:hint="eastAsia" w:ascii="方正仿宋_GBK" w:hAnsi="仿宋_GB2312" w:eastAsia="方正仿宋_GBK" w:cs="仿宋_GB2312"/>
                <w:sz w:val="24"/>
                <w:szCs w:val="24"/>
                <w:u w:val="none"/>
                <w:lang w:val="en-US" w:eastAsia="zh-CN"/>
              </w:rPr>
              <w:t>施工合同</w:t>
            </w:r>
            <w:r>
              <w:rPr>
                <w:rFonts w:hint="eastAsia" w:ascii="方正仿宋_GBK" w:hAnsi="仿宋_GB2312" w:eastAsia="方正仿宋_GBK" w:cs="仿宋_GB2312"/>
                <w:sz w:val="24"/>
                <w:szCs w:val="24"/>
              </w:rPr>
              <w:t>暂定合同</w:t>
            </w:r>
            <w:r>
              <w:rPr>
                <w:rFonts w:hint="eastAsia" w:ascii="方正仿宋_GBK" w:hAnsi="仿宋_GB2312" w:eastAsia="方正仿宋_GBK" w:cs="仿宋_GB2312"/>
                <w:sz w:val="24"/>
                <w:szCs w:val="24"/>
                <w:lang w:val="en-US" w:eastAsia="zh-CN"/>
              </w:rPr>
              <w:t>金额</w:t>
            </w:r>
            <w:r>
              <w:rPr>
                <w:rFonts w:hint="eastAsia" w:ascii="方正仿宋_GBK" w:hAnsi="仿宋_GB2312" w:eastAsia="方正仿宋_GBK" w:cs="仿宋_GB2312"/>
                <w:sz w:val="24"/>
                <w:szCs w:val="24"/>
              </w:rPr>
              <w:t>的40%时，支付至暂定合同金额的40%</w:t>
            </w:r>
            <w:r>
              <w:rPr>
                <w:rFonts w:hint="eastAsia" w:ascii="方正仿宋_GBK" w:hAnsi="仿宋_GB2312" w:eastAsia="方正仿宋_GBK" w:cs="仿宋_GB2312"/>
                <w:b w:val="0"/>
                <w:bCs w:val="0"/>
                <w:sz w:val="24"/>
                <w:szCs w:val="24"/>
                <w:lang w:val="en-US" w:eastAsia="zh-CN"/>
              </w:rPr>
              <w:t>；</w:t>
            </w:r>
          </w:p>
          <w:p>
            <w:pPr>
              <w:widowControl/>
              <w:numPr>
                <w:ilvl w:val="-1"/>
                <w:numId w:val="0"/>
              </w:numPr>
              <w:ind w:left="420" w:leftChars="200" w:firstLine="0" w:firstLineChars="0"/>
              <w:jc w:val="left"/>
              <w:rPr>
                <w:rFonts w:hint="eastAsia" w:ascii="方正仿宋_GBK" w:hAnsi="仿宋_GB2312" w:eastAsia="方正仿宋_GBK" w:cs="仿宋_GB2312"/>
                <w:b w:val="0"/>
                <w:bCs w:val="0"/>
                <w:sz w:val="24"/>
                <w:szCs w:val="24"/>
                <w:lang w:val="en-US" w:eastAsia="zh-CN"/>
              </w:rPr>
            </w:pP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经</w:t>
            </w:r>
            <w:r>
              <w:rPr>
                <w:rFonts w:hint="eastAsia" w:ascii="方正仿宋_GBK" w:hAnsi="仿宋_GB2312" w:eastAsia="方正仿宋_GBK" w:cs="仿宋_GB2312"/>
                <w:sz w:val="24"/>
                <w:szCs w:val="24"/>
                <w:lang w:val="en-US" w:eastAsia="zh-CN"/>
              </w:rPr>
              <w:t>发包</w:t>
            </w:r>
            <w:r>
              <w:rPr>
                <w:rFonts w:hint="eastAsia" w:ascii="方正仿宋_GBK" w:hAnsi="仿宋_GB2312" w:eastAsia="方正仿宋_GBK" w:cs="仿宋_GB2312"/>
                <w:sz w:val="24"/>
                <w:szCs w:val="24"/>
              </w:rPr>
              <w:t>人、监理人和全过程造价控制单位（若有）</w:t>
            </w:r>
          </w:p>
          <w:p>
            <w:pPr>
              <w:widowControl/>
              <w:numPr>
                <w:ilvl w:val="-1"/>
                <w:numId w:val="0"/>
              </w:numPr>
              <w:ind w:left="0" w:leftChars="0" w:firstLine="0" w:firstLineChars="0"/>
              <w:jc w:val="left"/>
              <w:rPr>
                <w:rFonts w:hint="eastAsia" w:ascii="方正仿宋_GBK" w:hAnsi="仿宋_GB2312" w:eastAsia="方正仿宋_GBK" w:cs="仿宋_GB2312"/>
                <w:b w:val="0"/>
                <w:bCs w:val="0"/>
                <w:sz w:val="24"/>
                <w:szCs w:val="24"/>
                <w:lang w:val="en-US" w:eastAsia="zh-CN"/>
              </w:rPr>
            </w:pPr>
            <w:r>
              <w:rPr>
                <w:rFonts w:hint="eastAsia" w:ascii="方正仿宋_GBK" w:hAnsi="仿宋_GB2312" w:eastAsia="方正仿宋_GBK" w:cs="仿宋_GB2312"/>
                <w:sz w:val="24"/>
                <w:szCs w:val="24"/>
              </w:rPr>
              <w:t>确定的施工计量值达到</w:t>
            </w:r>
            <w:r>
              <w:rPr>
                <w:rFonts w:hint="eastAsia" w:ascii="方正仿宋_GBK" w:hAnsi="仿宋_GB2312" w:eastAsia="方正仿宋_GBK" w:cs="仿宋_GB2312"/>
                <w:sz w:val="24"/>
                <w:szCs w:val="24"/>
                <w:u w:val="none"/>
                <w:lang w:val="en-US" w:eastAsia="zh-CN"/>
              </w:rPr>
              <w:t>施工合同</w:t>
            </w:r>
            <w:r>
              <w:rPr>
                <w:rFonts w:hint="eastAsia" w:ascii="方正仿宋_GBK" w:hAnsi="仿宋_GB2312" w:eastAsia="方正仿宋_GBK" w:cs="仿宋_GB2312"/>
                <w:sz w:val="24"/>
                <w:szCs w:val="24"/>
              </w:rPr>
              <w:t>暂定合同</w:t>
            </w:r>
            <w:r>
              <w:rPr>
                <w:rFonts w:hint="eastAsia" w:ascii="方正仿宋_GBK" w:hAnsi="仿宋_GB2312" w:eastAsia="方正仿宋_GBK" w:cs="仿宋_GB2312"/>
                <w:sz w:val="24"/>
                <w:szCs w:val="24"/>
                <w:lang w:val="en-US" w:eastAsia="zh-CN"/>
              </w:rPr>
              <w:t>金额</w:t>
            </w:r>
            <w:r>
              <w:rPr>
                <w:rFonts w:hint="eastAsia" w:ascii="方正仿宋_GBK" w:hAnsi="仿宋_GB2312" w:eastAsia="方正仿宋_GBK" w:cs="仿宋_GB2312"/>
                <w:sz w:val="24"/>
                <w:szCs w:val="24"/>
              </w:rPr>
              <w:t>的60%时，支付至暂定合同金额的60%</w:t>
            </w:r>
            <w:r>
              <w:rPr>
                <w:rFonts w:hint="eastAsia" w:ascii="方正仿宋_GBK" w:hAnsi="仿宋_GB2312" w:eastAsia="方正仿宋_GBK" w:cs="仿宋_GB2312"/>
                <w:b w:val="0"/>
                <w:bCs w:val="0"/>
                <w:sz w:val="24"/>
                <w:szCs w:val="24"/>
                <w:lang w:val="en-US" w:eastAsia="zh-CN"/>
              </w:rPr>
              <w:t>；</w:t>
            </w:r>
          </w:p>
          <w:p>
            <w:pPr>
              <w:widowControl/>
              <w:numPr>
                <w:ilvl w:val="-1"/>
                <w:numId w:val="0"/>
              </w:numPr>
              <w:ind w:left="420" w:leftChars="200" w:firstLine="0" w:firstLineChars="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4.</w:t>
            </w:r>
            <w:r>
              <w:rPr>
                <w:rFonts w:hint="eastAsia" w:ascii="方正仿宋_GBK" w:hAnsi="仿宋_GB2312" w:eastAsia="方正仿宋_GBK" w:cs="仿宋_GB2312"/>
                <w:sz w:val="24"/>
                <w:szCs w:val="24"/>
              </w:rPr>
              <w:t>本项目竣工验收合格后支付至暂定合同金额的80%</w:t>
            </w:r>
          </w:p>
          <w:p>
            <w:pPr>
              <w:widowControl/>
              <w:numPr>
                <w:ilvl w:val="0"/>
                <w:numId w:val="0"/>
              </w:numPr>
              <w:spacing w:line="240" w:lineRule="auto"/>
              <w:ind w:firstLine="480" w:firstLineChars="20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5.</w:t>
            </w:r>
            <w:r>
              <w:rPr>
                <w:rFonts w:hint="eastAsia" w:ascii="方正仿宋_GBK" w:hAnsi="仿宋_GB2312" w:eastAsia="方正仿宋_GBK" w:cs="仿宋_GB2312"/>
                <w:sz w:val="24"/>
                <w:szCs w:val="24"/>
              </w:rPr>
              <w:t>本工程竣工验收通过并移交合格的竣工资料之日起一年内，</w:t>
            </w:r>
          </w:p>
          <w:p>
            <w:pPr>
              <w:widowControl/>
              <w:numPr>
                <w:ilvl w:val="0"/>
                <w:numId w:val="0"/>
              </w:numPr>
              <w:spacing w:line="240" w:lineRule="auto"/>
              <w:ind w:firstLine="480" w:firstLineChars="20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若国家未组织审计，甲方向乙方支付工程款至经第三方审核单位审定的竣工结算金额的94%，工程通过国家审计后，工程款支付至国家审计审定金额的97%。在本工程结算审计完成、缺陷责任期满且无质量争议后，甲方向乙方支付剩余的3%尾款。</w:t>
            </w:r>
          </w:p>
          <w:p>
            <w:pPr>
              <w:widowControl/>
              <w:numPr>
                <w:ilvl w:val="0"/>
                <w:numId w:val="0"/>
              </w:numPr>
              <w:spacing w:line="240" w:lineRule="auto"/>
              <w:ind w:firstLine="480" w:firstLineChars="20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若国家组织审计，则应在工程通过国家审计后，工程款支付至国家审计审定金额的97%，在本工程结算审计完成、缺陷责任期满且无质量争议后，甲方向乙方支付剩余的3%尾款。</w:t>
            </w:r>
          </w:p>
          <w:p>
            <w:pPr>
              <w:ind w:firstLine="480" w:firstLineChars="200"/>
              <w:rPr>
                <w:sz w:val="24"/>
                <w:szCs w:val="24"/>
              </w:rPr>
            </w:pPr>
            <w:r>
              <w:rPr>
                <w:rFonts w:hint="eastAsia" w:ascii="方正仿宋_GBK" w:hAnsi="仿宋_GB2312" w:eastAsia="方正仿宋_GBK" w:cs="仿宋_GB2312"/>
                <w:sz w:val="24"/>
                <w:szCs w:val="24"/>
              </w:rPr>
              <w:t>每次支付前</w:t>
            </w:r>
            <w:r>
              <w:rPr>
                <w:rFonts w:hint="default" w:ascii="方正仿宋_GBK" w:hAnsi="仿宋_GB2312" w:eastAsia="方正仿宋_GBK" w:cs="仿宋_GB2312"/>
                <w:sz w:val="24"/>
                <w:szCs w:val="24"/>
              </w:rPr>
              <w:t>承包人</w:t>
            </w:r>
            <w:r>
              <w:rPr>
                <w:rFonts w:hint="eastAsia" w:ascii="方正仿宋_GBK" w:hAnsi="仿宋_GB2312" w:eastAsia="方正仿宋_GBK" w:cs="仿宋_GB2312"/>
                <w:sz w:val="24"/>
                <w:szCs w:val="24"/>
              </w:rPr>
              <w:t>需按</w:t>
            </w:r>
            <w:r>
              <w:rPr>
                <w:rFonts w:hint="eastAsia" w:ascii="方正仿宋_GBK" w:hAnsi="仿宋_GB2312" w:eastAsia="方正仿宋_GBK" w:cs="仿宋_GB2312"/>
                <w:sz w:val="24"/>
                <w:szCs w:val="24"/>
                <w:lang w:eastAsia="zh-CN"/>
              </w:rPr>
              <w:t>发包人</w:t>
            </w:r>
            <w:r>
              <w:rPr>
                <w:rFonts w:hint="eastAsia" w:ascii="方正仿宋_GBK" w:hAnsi="仿宋_GB2312" w:eastAsia="方正仿宋_GBK" w:cs="仿宋_GB2312"/>
                <w:sz w:val="24"/>
                <w:szCs w:val="24"/>
              </w:rPr>
              <w:t>税收征管要求开具相应增值税专用发票。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spacing w:line="440" w:lineRule="exact"/>
              <w:rPr>
                <w:sz w:val="24"/>
                <w:szCs w:val="24"/>
              </w:rPr>
            </w:pPr>
            <w:r>
              <w:rPr>
                <w:rFonts w:hint="eastAsia" w:ascii="方正仿宋_GBK" w:hAnsi="仿宋_GB2312" w:eastAsia="方正仿宋_GBK" w:cs="仿宋_GB2312"/>
                <w:sz w:val="24"/>
                <w:szCs w:val="24"/>
              </w:rPr>
              <w:t>其他需告知比选被邀请人的要求</w:t>
            </w:r>
          </w:p>
        </w:tc>
        <w:tc>
          <w:tcPr>
            <w:tcW w:w="6305" w:type="dxa"/>
            <w:vAlign w:val="center"/>
          </w:tcPr>
          <w:p>
            <w:pPr>
              <w:widowControl/>
              <w:numPr>
                <w:ilvl w:val="-1"/>
                <w:numId w:val="0"/>
              </w:numPr>
              <w:spacing w:line="240" w:lineRule="auto"/>
              <w:ind w:left="0" w:leftChars="0" w:firstLine="480" w:firstLineChars="20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1.履约担保，中标金额10%，采用现金或银行保函；</w:t>
            </w:r>
          </w:p>
          <w:p>
            <w:pPr>
              <w:widowControl/>
              <w:numPr>
                <w:ilvl w:val="-1"/>
                <w:numId w:val="0"/>
              </w:numPr>
              <w:spacing w:line="240" w:lineRule="auto"/>
              <w:ind w:left="0" w:leftChars="0" w:firstLine="0" w:firstLineChars="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采用银行保函形式的，保函必须为不可撤销的见索即付银行保函；</w:t>
            </w:r>
          </w:p>
          <w:p>
            <w:pPr>
              <w:widowControl/>
              <w:numPr>
                <w:ilvl w:val="-1"/>
                <w:numId w:val="0"/>
              </w:numPr>
              <w:ind w:left="0" w:leftChars="0" w:firstLine="480" w:firstLineChars="20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2.本项目部分工程为经开区委托发包人代建工程，该</w:t>
            </w:r>
          </w:p>
          <w:p>
            <w:pPr>
              <w:widowControl/>
              <w:numPr>
                <w:ilvl w:val="-1"/>
                <w:numId w:val="0"/>
              </w:numPr>
              <w:ind w:left="0" w:leftChars="0" w:firstLine="0" w:firstLineChars="0"/>
              <w:jc w:val="left"/>
              <w:rPr>
                <w:rFonts w:hint="default"/>
                <w:lang w:val="en-US" w:eastAsia="zh-CN"/>
              </w:rPr>
            </w:pPr>
            <w:r>
              <w:rPr>
                <w:rFonts w:hint="eastAsia" w:ascii="方正仿宋_GBK" w:hAnsi="仿宋_GB2312" w:eastAsia="方正仿宋_GBK" w:cs="仿宋_GB2312"/>
                <w:sz w:val="24"/>
                <w:szCs w:val="24"/>
                <w:lang w:val="en-US" w:eastAsia="zh-CN"/>
              </w:rPr>
              <w:t>代建部分工程增值税专用发票需按照经开区要求开具，或由中选人向经开区直接开具发票。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spacing w:line="440" w:lineRule="exact"/>
              <w:rPr>
                <w:sz w:val="24"/>
                <w:szCs w:val="24"/>
              </w:rPr>
            </w:pPr>
            <w:r>
              <w:rPr>
                <w:rFonts w:hint="eastAsia" w:ascii="方正仿宋_GBK" w:hAnsi="仿宋_GB2312" w:eastAsia="方正仿宋_GBK" w:cs="仿宋_GB2312"/>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spacing w:line="240" w:lineRule="auto"/>
              <w:ind w:firstLine="480" w:firstLineChars="200"/>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1.综合评估法</w:t>
            </w:r>
          </w:p>
          <w:p>
            <w:pPr>
              <w:spacing w:line="240" w:lineRule="auto"/>
              <w:ind w:firstLine="480" w:firstLineChars="200"/>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当众开封查验响应性文件，宣读报价书，委托代理人签字确认报价后离场，评选小组对比选文件进行评审，在满足比选文件邀请函要求的情况下，所有比选被邀请人（报价高于最高限价的及资质</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lang w:val="en-US" w:eastAsia="zh-CN"/>
              </w:rPr>
              <w:t>业绩</w:t>
            </w:r>
            <w:r>
              <w:rPr>
                <w:rFonts w:hint="eastAsia" w:ascii="方正仿宋_GBK" w:hAnsi="仿宋_GB2312" w:eastAsia="方正仿宋_GBK" w:cs="仿宋_GB2312"/>
                <w:sz w:val="24"/>
                <w:szCs w:val="24"/>
              </w:rPr>
              <w:t>不符合要求的为废标，不参与评选）的比选</w:t>
            </w:r>
            <w:r>
              <w:rPr>
                <w:rFonts w:hint="eastAsia" w:ascii="方正仿宋_GBK" w:hAnsi="仿宋_GB2312" w:eastAsia="方正仿宋_GBK" w:cs="仿宋_GB2312"/>
                <w:sz w:val="24"/>
                <w:szCs w:val="24"/>
                <w:lang w:val="en-US" w:eastAsia="zh-CN"/>
              </w:rPr>
              <w:t>总得分</w:t>
            </w:r>
            <w:r>
              <w:rPr>
                <w:rFonts w:hint="eastAsia" w:ascii="方正仿宋_GBK" w:hAnsi="仿宋_GB2312" w:eastAsia="方正仿宋_GBK" w:cs="仿宋_GB2312"/>
                <w:sz w:val="24"/>
                <w:szCs w:val="24"/>
              </w:rPr>
              <w:t>最</w:t>
            </w:r>
            <w:r>
              <w:rPr>
                <w:rFonts w:hint="eastAsia" w:ascii="方正仿宋_GBK" w:hAnsi="仿宋_GB2312" w:eastAsia="方正仿宋_GBK" w:cs="仿宋_GB2312"/>
                <w:sz w:val="24"/>
                <w:szCs w:val="24"/>
                <w:lang w:val="en-US" w:eastAsia="zh-CN"/>
              </w:rPr>
              <w:t>高</w:t>
            </w:r>
            <w:r>
              <w:rPr>
                <w:rFonts w:hint="eastAsia" w:ascii="方正仿宋_GBK" w:hAnsi="仿宋_GB2312" w:eastAsia="方正仿宋_GBK" w:cs="仿宋_GB2312"/>
                <w:sz w:val="24"/>
                <w:szCs w:val="24"/>
              </w:rPr>
              <w:t>的潜在比选单位为第一候选单位</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lang w:val="en-US" w:eastAsia="zh-CN"/>
              </w:rPr>
              <w:t>若最高总得分相同，则由评选小组投票决定</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rPr>
              <w:t>，对未中选情况不做解释。</w:t>
            </w:r>
          </w:p>
          <w:p>
            <w:pPr>
              <w:ind w:firstLine="480" w:firstLineChars="200"/>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2.评分方式</w:t>
            </w:r>
          </w:p>
          <w:p>
            <w:pPr>
              <w:spacing w:line="240" w:lineRule="auto"/>
              <w:ind w:firstLine="480" w:firstLineChars="200"/>
              <w:rPr>
                <w:rFonts w:hint="eastAsia" w:ascii="方正仿宋_GBK" w:hAnsi="仿宋_GB2312" w:eastAsia="方正仿宋_GBK" w:cs="仿宋_GB2312"/>
                <w:sz w:val="24"/>
                <w:szCs w:val="24"/>
              </w:rPr>
            </w:pPr>
            <w:r>
              <w:rPr>
                <w:rFonts w:hint="eastAsia" w:ascii="方正仿宋_GBK" w:hAnsi="仿宋_GB2312" w:eastAsia="方正仿宋_GBK" w:cs="仿宋_GB2312"/>
                <w:kern w:val="2"/>
                <w:sz w:val="24"/>
                <w:szCs w:val="24"/>
                <w:lang w:val="en-US" w:eastAsia="zh-CN" w:bidi="ar"/>
              </w:rPr>
              <w:t>分值组成：</w:t>
            </w:r>
            <w:r>
              <w:rPr>
                <w:rFonts w:hint="eastAsia" w:ascii="方正仿宋_GBK" w:hAnsi="仿宋_GB2312" w:eastAsia="方正仿宋_GBK" w:cs="仿宋_GB2312"/>
                <w:sz w:val="24"/>
                <w:szCs w:val="24"/>
              </w:rPr>
              <w:t>商务部分</w:t>
            </w:r>
            <w:r>
              <w:rPr>
                <w:rFonts w:hint="eastAsia" w:ascii="方正仿宋_GBK" w:hAnsi="仿宋_GB2312" w:eastAsia="方正仿宋_GBK" w:cs="仿宋_GB2312"/>
                <w:sz w:val="24"/>
                <w:szCs w:val="24"/>
                <w:lang w:val="en-US" w:eastAsia="zh-CN"/>
              </w:rPr>
              <w:t>1</w:t>
            </w:r>
            <w:r>
              <w:rPr>
                <w:rFonts w:hint="eastAsia" w:ascii="方正仿宋_GBK" w:hAnsi="仿宋_GB2312" w:eastAsia="方正仿宋_GBK" w:cs="仿宋_GB2312"/>
                <w:sz w:val="24"/>
                <w:szCs w:val="24"/>
              </w:rPr>
              <w:t>0分</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kern w:val="2"/>
                <w:sz w:val="24"/>
                <w:szCs w:val="24"/>
                <w:lang w:val="en-US" w:eastAsia="zh-CN" w:bidi="ar"/>
              </w:rPr>
              <w:t>技术部分10分；</w:t>
            </w:r>
            <w:r>
              <w:rPr>
                <w:rFonts w:hint="eastAsia" w:ascii="方正仿宋_GBK" w:hAnsi="仿宋_GB2312" w:eastAsia="方正仿宋_GBK" w:cs="仿宋_GB2312"/>
                <w:sz w:val="24"/>
                <w:szCs w:val="24"/>
              </w:rPr>
              <w:t>投标报价80分。</w:t>
            </w:r>
          </w:p>
          <w:p>
            <w:pPr>
              <w:widowControl/>
              <w:adjustRightInd/>
              <w:snapToGrid/>
              <w:spacing w:line="240" w:lineRule="auto"/>
              <w:ind w:firstLine="480" w:firstLineChars="200"/>
              <w:jc w:val="left"/>
              <w:rPr>
                <w:rFonts w:hint="eastAsia" w:ascii="方正仿宋_GBK" w:hAnsi="仿宋_GB2312" w:eastAsia="方正仿宋_GBK" w:cs="仿宋_GB2312"/>
                <w:kern w:val="2"/>
                <w:sz w:val="24"/>
                <w:szCs w:val="24"/>
                <w:lang w:bidi="ar"/>
              </w:rPr>
            </w:pPr>
            <w:r>
              <w:rPr>
                <w:rFonts w:hint="eastAsia" w:ascii="方正仿宋_GBK" w:hAnsi="仿宋_GB2312" w:eastAsia="方正仿宋_GBK" w:cs="仿宋_GB2312"/>
                <w:kern w:val="2"/>
                <w:sz w:val="24"/>
                <w:szCs w:val="24"/>
                <w:lang w:val="en-US" w:eastAsia="zh-CN" w:bidi="ar"/>
              </w:rPr>
              <w:t>2.1.</w:t>
            </w:r>
            <w:r>
              <w:rPr>
                <w:rFonts w:hint="eastAsia" w:ascii="方正仿宋_GBK" w:hAnsi="仿宋_GB2312" w:eastAsia="方正仿宋_GBK" w:cs="仿宋_GB2312"/>
                <w:kern w:val="2"/>
                <w:sz w:val="24"/>
                <w:szCs w:val="24"/>
                <w:lang w:bidi="ar"/>
              </w:rPr>
              <w:t>评标基准价计算方法</w:t>
            </w:r>
            <w:r>
              <w:rPr>
                <w:rFonts w:hint="eastAsia" w:ascii="方正仿宋_GBK" w:hAnsi="仿宋_GB2312" w:eastAsia="方正仿宋_GBK" w:cs="仿宋_GB2312"/>
                <w:kern w:val="2"/>
                <w:sz w:val="24"/>
                <w:szCs w:val="24"/>
                <w:lang w:eastAsia="zh-CN" w:bidi="ar"/>
              </w:rPr>
              <w:t>：</w:t>
            </w:r>
            <w:r>
              <w:rPr>
                <w:rFonts w:hint="eastAsia" w:ascii="方正仿宋_GBK" w:hAnsi="仿宋_GB2312" w:eastAsia="方正仿宋_GBK" w:cs="仿宋_GB2312"/>
                <w:kern w:val="2"/>
                <w:sz w:val="24"/>
                <w:szCs w:val="24"/>
                <w:lang w:bidi="ar"/>
              </w:rPr>
              <w:t>在所有通过初步评审合格</w:t>
            </w:r>
            <w:r>
              <w:rPr>
                <w:rFonts w:hint="eastAsia" w:ascii="方正仿宋_GBK" w:hAnsi="仿宋_GB2312" w:eastAsia="方正仿宋_GBK" w:cs="仿宋_GB2312"/>
                <w:kern w:val="2"/>
                <w:sz w:val="24"/>
                <w:szCs w:val="24"/>
                <w:lang w:eastAsia="zh-CN" w:bidi="ar"/>
              </w:rPr>
              <w:t>比选被邀请人</w:t>
            </w:r>
            <w:r>
              <w:rPr>
                <w:rFonts w:hint="eastAsia" w:ascii="方正仿宋_GBK" w:hAnsi="仿宋_GB2312" w:eastAsia="方正仿宋_GBK" w:cs="仿宋_GB2312"/>
                <w:kern w:val="2"/>
                <w:sz w:val="24"/>
                <w:szCs w:val="24"/>
                <w:lang w:bidi="ar"/>
              </w:rPr>
              <w:t>（</w:t>
            </w:r>
            <w:r>
              <w:rPr>
                <w:rFonts w:hint="eastAsia" w:ascii="方正仿宋_GBK" w:hAnsi="仿宋_GB2312" w:eastAsia="方正仿宋_GBK" w:cs="仿宋_GB2312"/>
                <w:kern w:val="2"/>
                <w:sz w:val="24"/>
                <w:szCs w:val="24"/>
                <w:lang w:eastAsia="zh-CN" w:bidi="ar"/>
              </w:rPr>
              <w:t>发包人</w:t>
            </w:r>
            <w:r>
              <w:rPr>
                <w:rFonts w:hint="eastAsia" w:ascii="方正仿宋_GBK" w:hAnsi="仿宋_GB2312" w:eastAsia="方正仿宋_GBK" w:cs="仿宋_GB2312"/>
                <w:kern w:val="2"/>
                <w:sz w:val="24"/>
                <w:szCs w:val="24"/>
                <w:lang w:bidi="ar"/>
              </w:rPr>
              <w:t>设有</w:t>
            </w:r>
            <w:r>
              <w:rPr>
                <w:rFonts w:hint="eastAsia" w:ascii="方正仿宋_GBK" w:hAnsi="仿宋_GB2312" w:eastAsia="方正仿宋_GBK" w:cs="仿宋_GB2312"/>
                <w:kern w:val="2"/>
                <w:sz w:val="24"/>
                <w:szCs w:val="24"/>
                <w:lang w:val="en-US" w:eastAsia="zh-CN" w:bidi="ar"/>
              </w:rPr>
              <w:t>比选</w:t>
            </w:r>
            <w:r>
              <w:rPr>
                <w:rFonts w:hint="eastAsia" w:ascii="方正仿宋_GBK" w:hAnsi="仿宋_GB2312" w:eastAsia="方正仿宋_GBK" w:cs="仿宋_GB2312"/>
                <w:kern w:val="2"/>
                <w:sz w:val="24"/>
                <w:szCs w:val="24"/>
                <w:lang w:bidi="ar"/>
              </w:rPr>
              <w:t>控制价，则</w:t>
            </w:r>
            <w:r>
              <w:rPr>
                <w:rFonts w:hint="eastAsia" w:ascii="方正仿宋_GBK" w:hAnsi="仿宋_GB2312" w:eastAsia="方正仿宋_GBK" w:cs="仿宋_GB2312"/>
                <w:kern w:val="2"/>
                <w:sz w:val="24"/>
                <w:szCs w:val="24"/>
                <w:lang w:val="en-US" w:eastAsia="zh-CN" w:bidi="ar"/>
              </w:rPr>
              <w:t>比选</w:t>
            </w:r>
            <w:r>
              <w:rPr>
                <w:rFonts w:hint="eastAsia" w:ascii="方正仿宋_GBK" w:hAnsi="仿宋_GB2312" w:eastAsia="方正仿宋_GBK" w:cs="仿宋_GB2312"/>
                <w:kern w:val="2"/>
                <w:sz w:val="24"/>
                <w:szCs w:val="24"/>
                <w:lang w:bidi="ar"/>
              </w:rPr>
              <w:t>报价高于控制价的除外）的投标总报价中去掉六分之一（不能整除的按小数点前整数取整，不足六家报价则不去掉）的最低价和相同家数的最高价后进行算术平均，所得的算术平均值即为评标基准价。（以上计算数据保留至小数点后两位，第三位四舍五入）。</w:t>
            </w:r>
          </w:p>
          <w:p>
            <w:pPr>
              <w:spacing w:line="240" w:lineRule="auto"/>
              <w:ind w:firstLine="480" w:firstLineChars="200"/>
              <w:rPr>
                <w:rFonts w:hint="eastAsia" w:ascii="方正仿宋_GBK" w:hAnsi="仿宋_GB2312" w:eastAsia="方正仿宋_GBK" w:cs="仿宋_GB2312"/>
                <w:kern w:val="2"/>
                <w:sz w:val="24"/>
                <w:szCs w:val="24"/>
                <w:lang w:val="en-US" w:eastAsia="zh-CN" w:bidi="ar"/>
              </w:rPr>
            </w:pPr>
            <w:r>
              <w:rPr>
                <w:rFonts w:hint="eastAsia" w:ascii="方正仿宋_GBK" w:hAnsi="仿宋_GB2312" w:eastAsia="方正仿宋_GBK" w:cs="仿宋_GB2312"/>
                <w:kern w:val="2"/>
                <w:sz w:val="24"/>
                <w:szCs w:val="24"/>
                <w:lang w:val="en-US" w:eastAsia="zh-CN" w:bidi="ar"/>
              </w:rPr>
              <w:t>2.2.商务得分（10分）</w:t>
            </w:r>
          </w:p>
          <w:p>
            <w:pPr>
              <w:widowControl/>
              <w:spacing w:line="240" w:lineRule="auto"/>
              <w:ind w:firstLine="480" w:firstLineChars="200"/>
              <w:jc w:val="left"/>
              <w:rPr>
                <w:rFonts w:hint="eastAsia" w:ascii="方正仿宋_GBK" w:hAnsi="仿宋_GB2312" w:eastAsia="方正仿宋_GBK" w:cs="仿宋_GB2312"/>
                <w:kern w:val="2"/>
                <w:sz w:val="24"/>
                <w:szCs w:val="24"/>
                <w:lang w:val="en-US" w:eastAsia="zh-CN" w:bidi="ar"/>
              </w:rPr>
            </w:pPr>
            <w:r>
              <w:rPr>
                <w:rFonts w:hint="eastAsia" w:ascii="方正仿宋_GBK" w:hAnsi="仿宋_GB2312" w:eastAsia="方正仿宋_GBK" w:cs="仿宋_GB2312"/>
                <w:kern w:val="2"/>
                <w:sz w:val="24"/>
                <w:szCs w:val="24"/>
                <w:lang w:val="en-US" w:eastAsia="zh-CN" w:bidi="ar"/>
              </w:rPr>
              <w:t>（1）项目负责人（5分）：具备</w:t>
            </w:r>
            <w:r>
              <w:rPr>
                <w:rFonts w:hint="eastAsia" w:ascii="方正仿宋_GBK" w:hAnsi="仿宋_GB2312" w:eastAsia="方正仿宋_GBK" w:cs="仿宋_GB2312"/>
                <w:kern w:val="2"/>
                <w:sz w:val="24"/>
                <w:szCs w:val="24"/>
                <w:lang w:bidi="ar"/>
              </w:rPr>
              <w:t>注册</w:t>
            </w:r>
            <w:r>
              <w:rPr>
                <w:rFonts w:hint="eastAsia" w:ascii="方正仿宋_GBK" w:hAnsi="仿宋_GB2312" w:eastAsia="方正仿宋_GBK" w:cs="仿宋_GB2312"/>
                <w:kern w:val="2"/>
                <w:sz w:val="24"/>
                <w:szCs w:val="24"/>
                <w:lang w:val="en-US" w:eastAsia="zh-CN" w:bidi="ar"/>
              </w:rPr>
              <w:t>一级</w:t>
            </w:r>
            <w:r>
              <w:rPr>
                <w:rFonts w:hint="eastAsia" w:ascii="方正仿宋_GBK" w:hAnsi="仿宋_GB2312" w:eastAsia="方正仿宋_GBK" w:cs="仿宋_GB2312"/>
                <w:kern w:val="2"/>
                <w:sz w:val="24"/>
                <w:szCs w:val="24"/>
                <w:lang w:bidi="ar"/>
              </w:rPr>
              <w:t>结构工程师</w:t>
            </w:r>
            <w:r>
              <w:rPr>
                <w:rFonts w:hint="eastAsia" w:ascii="方正仿宋_GBK" w:hAnsi="仿宋_GB2312" w:eastAsia="方正仿宋_GBK" w:cs="仿宋_GB2312"/>
                <w:kern w:val="2"/>
                <w:sz w:val="24"/>
                <w:szCs w:val="24"/>
                <w:lang w:val="en-US" w:eastAsia="zh-CN" w:bidi="ar"/>
              </w:rPr>
              <w:t>注册证书或结构专业高级工程师及以上技术职称得5分，此项最多得5分。</w:t>
            </w:r>
          </w:p>
          <w:p>
            <w:pPr>
              <w:widowControl/>
              <w:spacing w:afterLines="-2147483648" w:line="240" w:lineRule="auto"/>
              <w:ind w:firstLine="720" w:firstLineChars="300"/>
              <w:jc w:val="left"/>
              <w:rPr>
                <w:rFonts w:hint="eastAsia" w:ascii="方正仿宋_GBK" w:hAnsi="仿宋_GB2312" w:eastAsia="方正仿宋_GBK" w:cs="仿宋_GB2312"/>
                <w:b w:val="0"/>
                <w:bCs w:val="0"/>
                <w:sz w:val="24"/>
                <w:szCs w:val="24"/>
                <w:lang w:bidi="ar"/>
              </w:rPr>
            </w:pPr>
            <w:r>
              <w:rPr>
                <w:rFonts w:hint="eastAsia" w:ascii="方正仿宋_GBK" w:hAnsi="仿宋_GB2312" w:eastAsia="方正仿宋_GBK" w:cs="仿宋_GB2312"/>
                <w:b w:val="0"/>
                <w:bCs w:val="0"/>
                <w:sz w:val="24"/>
                <w:szCs w:val="24"/>
                <w:lang w:bidi="ar"/>
              </w:rPr>
              <w:t>[提供项目负责人职称证、</w:t>
            </w:r>
            <w:r>
              <w:rPr>
                <w:rFonts w:hint="eastAsia" w:ascii="方正仿宋_GBK" w:hAnsi="仿宋_GB2312" w:eastAsia="方正仿宋_GBK" w:cs="仿宋_GB2312"/>
                <w:b w:val="0"/>
                <w:bCs w:val="0"/>
                <w:sz w:val="24"/>
                <w:szCs w:val="24"/>
                <w:lang w:val="en-US" w:eastAsia="zh-CN" w:bidi="ar"/>
              </w:rPr>
              <w:t>注册证</w:t>
            </w:r>
            <w:r>
              <w:rPr>
                <w:rFonts w:hint="eastAsia" w:ascii="方正仿宋_GBK" w:hAnsi="仿宋_GB2312" w:eastAsia="方正仿宋_GBK" w:cs="仿宋_GB2312"/>
                <w:b w:val="0"/>
                <w:bCs w:val="0"/>
                <w:sz w:val="24"/>
                <w:szCs w:val="24"/>
                <w:lang w:bidi="ar"/>
              </w:rPr>
              <w:t>书复印件</w:t>
            </w:r>
            <w:r>
              <w:rPr>
                <w:rFonts w:hint="eastAsia" w:ascii="方正仿宋_GBK" w:hAnsi="仿宋_GB2312" w:eastAsia="方正仿宋_GBK" w:cs="仿宋_GB2312"/>
                <w:b w:val="0"/>
                <w:bCs w:val="0"/>
                <w:sz w:val="24"/>
                <w:szCs w:val="24"/>
                <w:lang w:val="en-US" w:eastAsia="zh-CN" w:bidi="ar"/>
              </w:rPr>
              <w:t>加盖公章，2021年11月</w:t>
            </w:r>
            <w:r>
              <w:rPr>
                <w:rFonts w:hint="eastAsia" w:ascii="方正仿宋_GBK" w:hAnsi="仿宋_GB2312" w:eastAsia="方正仿宋_GBK" w:cs="仿宋_GB2312"/>
                <w:sz w:val="24"/>
                <w:szCs w:val="24"/>
                <w:lang w:bidi="ar"/>
              </w:rPr>
              <w:t>至202</w:t>
            </w:r>
            <w:r>
              <w:rPr>
                <w:rFonts w:hint="eastAsia" w:ascii="方正仿宋_GBK" w:hAnsi="仿宋_GB2312" w:eastAsia="方正仿宋_GBK" w:cs="仿宋_GB2312"/>
                <w:sz w:val="24"/>
                <w:szCs w:val="24"/>
                <w:lang w:val="en-US" w:eastAsia="zh-CN" w:bidi="ar"/>
              </w:rPr>
              <w:t>2</w:t>
            </w:r>
            <w:r>
              <w:rPr>
                <w:rFonts w:hint="eastAsia" w:ascii="方正仿宋_GBK" w:hAnsi="仿宋_GB2312" w:eastAsia="方正仿宋_GBK" w:cs="仿宋_GB2312"/>
                <w:sz w:val="24"/>
                <w:szCs w:val="24"/>
                <w:lang w:bidi="ar"/>
              </w:rPr>
              <w:t>年</w:t>
            </w:r>
            <w:r>
              <w:rPr>
                <w:rFonts w:hint="eastAsia" w:ascii="方正仿宋_GBK" w:hAnsi="仿宋_GB2312" w:eastAsia="方正仿宋_GBK" w:cs="仿宋_GB2312"/>
                <w:sz w:val="24"/>
                <w:szCs w:val="24"/>
                <w:lang w:val="en-US" w:eastAsia="zh-CN" w:bidi="ar"/>
              </w:rPr>
              <w:t>4</w:t>
            </w:r>
            <w:r>
              <w:rPr>
                <w:rFonts w:hint="eastAsia" w:ascii="方正仿宋_GBK" w:hAnsi="仿宋_GB2312" w:eastAsia="方正仿宋_GBK" w:cs="仿宋_GB2312"/>
                <w:sz w:val="24"/>
                <w:szCs w:val="24"/>
                <w:lang w:bidi="ar"/>
              </w:rPr>
              <w:t>月</w:t>
            </w:r>
            <w:r>
              <w:rPr>
                <w:rFonts w:hint="eastAsia" w:ascii="方正仿宋_GBK" w:hAnsi="仿宋_GB2312" w:eastAsia="方正仿宋_GBK" w:cs="仿宋_GB2312"/>
                <w:b w:val="0"/>
                <w:bCs w:val="0"/>
                <w:sz w:val="24"/>
                <w:szCs w:val="24"/>
                <w:lang w:val="en-US" w:eastAsia="zh-CN" w:bidi="ar"/>
              </w:rPr>
              <w:t>连续社保</w:t>
            </w:r>
            <w:r>
              <w:rPr>
                <w:rFonts w:hint="eastAsia" w:ascii="方正仿宋_GBK" w:hAnsi="仿宋_GB2312" w:eastAsia="方正仿宋_GBK" w:cs="仿宋_GB2312"/>
                <w:sz w:val="24"/>
                <w:szCs w:val="24"/>
                <w:lang w:bidi="ar"/>
              </w:rPr>
              <w:t>带有社保部门公章</w:t>
            </w:r>
            <w:r>
              <w:rPr>
                <w:rFonts w:hint="eastAsia" w:ascii="方正仿宋_GBK" w:hAnsi="仿宋_GB2312" w:eastAsia="方正仿宋_GBK" w:cs="仿宋_GB2312"/>
                <w:b w:val="0"/>
                <w:bCs w:val="0"/>
                <w:sz w:val="24"/>
                <w:szCs w:val="24"/>
                <w:lang w:bidi="ar"/>
              </w:rPr>
              <w:t>]</w:t>
            </w:r>
          </w:p>
          <w:p>
            <w:pPr>
              <w:widowControl/>
              <w:spacing w:line="240" w:lineRule="auto"/>
              <w:ind w:firstLine="480" w:firstLineChars="200"/>
              <w:jc w:val="left"/>
              <w:rPr>
                <w:rFonts w:hint="eastAsia" w:ascii="方正仿宋_GBK" w:hAnsi="仿宋_GB2312" w:eastAsia="方正仿宋_GBK" w:cs="仿宋_GB2312"/>
                <w:kern w:val="2"/>
                <w:sz w:val="24"/>
                <w:szCs w:val="24"/>
                <w:lang w:val="en-US" w:eastAsia="zh-CN" w:bidi="ar"/>
              </w:rPr>
            </w:pPr>
            <w:r>
              <w:rPr>
                <w:rFonts w:hint="eastAsia" w:ascii="方正仿宋_GBK" w:hAnsi="仿宋_GB2312" w:eastAsia="方正仿宋_GBK" w:cs="仿宋_GB2312"/>
                <w:kern w:val="2"/>
                <w:sz w:val="24"/>
                <w:szCs w:val="24"/>
                <w:lang w:eastAsia="zh-CN" w:bidi="ar"/>
              </w:rPr>
              <w:t>（</w:t>
            </w:r>
            <w:r>
              <w:rPr>
                <w:rFonts w:hint="eastAsia" w:ascii="方正仿宋_GBK" w:hAnsi="仿宋_GB2312" w:eastAsia="方正仿宋_GBK" w:cs="仿宋_GB2312"/>
                <w:kern w:val="2"/>
                <w:sz w:val="24"/>
                <w:szCs w:val="24"/>
                <w:lang w:val="en-US" w:eastAsia="zh-CN" w:bidi="ar"/>
              </w:rPr>
              <w:t>2）其他人员</w:t>
            </w:r>
            <w:r>
              <w:rPr>
                <w:rFonts w:hint="eastAsia" w:ascii="方正仿宋_GBK" w:hAnsi="仿宋_GB2312" w:eastAsia="方正仿宋_GBK" w:cs="仿宋_GB2312"/>
                <w:kern w:val="2"/>
                <w:sz w:val="24"/>
                <w:szCs w:val="24"/>
                <w:lang w:bidi="ar"/>
              </w:rPr>
              <w:t>（</w:t>
            </w:r>
            <w:r>
              <w:rPr>
                <w:rFonts w:hint="eastAsia" w:ascii="方正仿宋_GBK" w:hAnsi="仿宋_GB2312" w:eastAsia="方正仿宋_GBK" w:cs="仿宋_GB2312"/>
                <w:kern w:val="2"/>
                <w:sz w:val="24"/>
                <w:szCs w:val="24"/>
                <w:lang w:val="en-US" w:eastAsia="zh-CN" w:bidi="ar"/>
              </w:rPr>
              <w:t>5</w:t>
            </w:r>
            <w:r>
              <w:rPr>
                <w:rFonts w:hint="eastAsia" w:ascii="方正仿宋_GBK" w:hAnsi="仿宋_GB2312" w:eastAsia="方正仿宋_GBK" w:cs="仿宋_GB2312"/>
                <w:kern w:val="2"/>
                <w:sz w:val="24"/>
                <w:szCs w:val="24"/>
                <w:lang w:bidi="ar"/>
              </w:rPr>
              <w:t>分）</w:t>
            </w:r>
            <w:r>
              <w:rPr>
                <w:rFonts w:hint="eastAsia" w:ascii="方正仿宋_GBK" w:hAnsi="仿宋_GB2312" w:eastAsia="方正仿宋_GBK" w:cs="仿宋_GB2312"/>
                <w:kern w:val="2"/>
                <w:sz w:val="24"/>
                <w:szCs w:val="24"/>
                <w:lang w:eastAsia="zh-CN" w:bidi="ar"/>
              </w:rPr>
              <w:t>：</w:t>
            </w:r>
            <w:r>
              <w:rPr>
                <w:rFonts w:hint="eastAsia" w:ascii="方正仿宋_GBK" w:hAnsi="仿宋_GB2312" w:eastAsia="方正仿宋_GBK" w:cs="仿宋_GB2312"/>
                <w:kern w:val="2"/>
                <w:sz w:val="24"/>
                <w:szCs w:val="24"/>
                <w:lang w:val="en-US" w:eastAsia="zh-CN" w:bidi="ar"/>
              </w:rPr>
              <w:t>在满足资格审查要求基础上，拟派人员中（除项目负责人外），每有一人具备注册一级结构工程师或注册土木（岩土）工程师注册证书得5分，此项最多得5分。</w:t>
            </w:r>
          </w:p>
          <w:p>
            <w:pPr>
              <w:widowControl/>
              <w:spacing w:line="240" w:lineRule="auto"/>
              <w:ind w:firstLine="632" w:firstLineChars="300"/>
              <w:jc w:val="left"/>
              <w:rPr>
                <w:rFonts w:hint="eastAsia" w:ascii="方正仿宋_GBK" w:hAnsi="仿宋_GB2312" w:eastAsia="方正仿宋_GBK" w:cs="仿宋_GB2312"/>
                <w:kern w:val="2"/>
                <w:sz w:val="24"/>
                <w:szCs w:val="24"/>
                <w:lang w:val="en-US" w:eastAsia="zh-CN" w:bidi="ar"/>
              </w:rPr>
            </w:pPr>
            <w:r>
              <w:rPr>
                <w:rStyle w:val="22"/>
                <w:rFonts w:hint="eastAsia" w:ascii="宋体" w:hAnsi="宋体" w:eastAsia="宋体" w:cs="宋体"/>
                <w:b/>
                <w:bCs/>
                <w:sz w:val="21"/>
                <w:szCs w:val="21"/>
              </w:rPr>
              <w:t>[</w:t>
            </w:r>
            <w:r>
              <w:rPr>
                <w:rFonts w:hint="eastAsia" w:ascii="方正仿宋_GBK" w:hAnsi="仿宋_GB2312" w:eastAsia="方正仿宋_GBK" w:cs="仿宋_GB2312"/>
                <w:kern w:val="2"/>
                <w:sz w:val="24"/>
                <w:szCs w:val="24"/>
                <w:lang w:bidi="ar"/>
              </w:rPr>
              <w:t>提供有效的人员注册证书</w:t>
            </w:r>
            <w:r>
              <w:rPr>
                <w:rFonts w:hint="eastAsia" w:ascii="方正仿宋_GBK" w:hAnsi="仿宋_GB2312" w:eastAsia="方正仿宋_GBK" w:cs="仿宋_GB2312"/>
                <w:kern w:val="2"/>
                <w:sz w:val="24"/>
                <w:szCs w:val="24"/>
                <w:lang w:val="en-US" w:eastAsia="zh-CN" w:bidi="ar"/>
              </w:rPr>
              <w:t>复印件，</w:t>
            </w:r>
            <w:r>
              <w:rPr>
                <w:rFonts w:hint="eastAsia" w:ascii="方正仿宋_GBK" w:hAnsi="仿宋_GB2312" w:eastAsia="方正仿宋_GBK" w:cs="仿宋_GB2312"/>
                <w:b w:val="0"/>
                <w:bCs w:val="0"/>
                <w:sz w:val="24"/>
                <w:szCs w:val="24"/>
                <w:lang w:val="en-US" w:eastAsia="zh-CN" w:bidi="ar"/>
              </w:rPr>
              <w:t>2021年11月</w:t>
            </w:r>
            <w:r>
              <w:rPr>
                <w:rFonts w:hint="eastAsia" w:ascii="方正仿宋_GBK" w:hAnsi="仿宋_GB2312" w:eastAsia="方正仿宋_GBK" w:cs="仿宋_GB2312"/>
                <w:sz w:val="24"/>
                <w:szCs w:val="24"/>
                <w:lang w:bidi="ar"/>
              </w:rPr>
              <w:t>至202</w:t>
            </w:r>
            <w:r>
              <w:rPr>
                <w:rFonts w:hint="eastAsia" w:ascii="方正仿宋_GBK" w:hAnsi="仿宋_GB2312" w:eastAsia="方正仿宋_GBK" w:cs="仿宋_GB2312"/>
                <w:sz w:val="24"/>
                <w:szCs w:val="24"/>
                <w:lang w:val="en-US" w:eastAsia="zh-CN" w:bidi="ar"/>
              </w:rPr>
              <w:t>2</w:t>
            </w:r>
            <w:r>
              <w:rPr>
                <w:rFonts w:hint="eastAsia" w:ascii="方正仿宋_GBK" w:hAnsi="仿宋_GB2312" w:eastAsia="方正仿宋_GBK" w:cs="仿宋_GB2312"/>
                <w:sz w:val="24"/>
                <w:szCs w:val="24"/>
                <w:lang w:bidi="ar"/>
              </w:rPr>
              <w:t>年</w:t>
            </w:r>
            <w:r>
              <w:rPr>
                <w:rFonts w:hint="eastAsia" w:ascii="方正仿宋_GBK" w:hAnsi="仿宋_GB2312" w:eastAsia="方正仿宋_GBK" w:cs="仿宋_GB2312"/>
                <w:sz w:val="24"/>
                <w:szCs w:val="24"/>
                <w:lang w:val="en-US" w:eastAsia="zh-CN" w:bidi="ar"/>
              </w:rPr>
              <w:t>4</w:t>
            </w:r>
            <w:r>
              <w:rPr>
                <w:rFonts w:hint="eastAsia" w:ascii="方正仿宋_GBK" w:hAnsi="仿宋_GB2312" w:eastAsia="方正仿宋_GBK" w:cs="仿宋_GB2312"/>
                <w:sz w:val="24"/>
                <w:szCs w:val="24"/>
                <w:lang w:bidi="ar"/>
              </w:rPr>
              <w:t>月</w:t>
            </w:r>
            <w:r>
              <w:rPr>
                <w:rFonts w:hint="eastAsia" w:ascii="方正仿宋_GBK" w:hAnsi="仿宋_GB2312" w:eastAsia="方正仿宋_GBK" w:cs="仿宋_GB2312"/>
                <w:b w:val="0"/>
                <w:bCs w:val="0"/>
                <w:sz w:val="24"/>
                <w:szCs w:val="24"/>
                <w:lang w:val="en-US" w:eastAsia="zh-CN" w:bidi="ar"/>
              </w:rPr>
              <w:t>连续社保</w:t>
            </w:r>
            <w:r>
              <w:rPr>
                <w:rFonts w:hint="eastAsia" w:ascii="方正仿宋_GBK" w:hAnsi="仿宋_GB2312" w:eastAsia="方正仿宋_GBK" w:cs="仿宋_GB2312"/>
                <w:sz w:val="24"/>
                <w:szCs w:val="24"/>
                <w:lang w:bidi="ar"/>
              </w:rPr>
              <w:t>带有社保部门公章</w:t>
            </w:r>
            <w:r>
              <w:rPr>
                <w:rStyle w:val="22"/>
                <w:rFonts w:hint="eastAsia" w:ascii="宋体" w:hAnsi="宋体" w:eastAsia="宋体" w:cs="宋体"/>
                <w:b/>
                <w:bCs/>
                <w:sz w:val="21"/>
                <w:szCs w:val="21"/>
              </w:rPr>
              <w:t>]</w:t>
            </w:r>
          </w:p>
          <w:p>
            <w:pPr>
              <w:widowControl/>
              <w:numPr>
                <w:ilvl w:val="-1"/>
                <w:numId w:val="0"/>
              </w:numPr>
              <w:spacing w:line="240" w:lineRule="auto"/>
              <w:ind w:firstLine="480" w:firstLineChars="200"/>
              <w:jc w:val="left"/>
              <w:rPr>
                <w:rFonts w:hint="eastAsia" w:ascii="方正仿宋_GBK" w:hAnsi="仿宋_GB2312" w:eastAsia="方正仿宋_GBK" w:cs="仿宋_GB2312"/>
                <w:kern w:val="2"/>
                <w:sz w:val="24"/>
                <w:szCs w:val="24"/>
                <w:lang w:val="en-US" w:eastAsia="zh-CN" w:bidi="ar"/>
              </w:rPr>
            </w:pPr>
            <w:r>
              <w:rPr>
                <w:rFonts w:hint="eastAsia" w:ascii="方正仿宋_GBK" w:hAnsi="仿宋_GB2312" w:eastAsia="方正仿宋_GBK" w:cs="仿宋_GB2312"/>
                <w:kern w:val="2"/>
                <w:sz w:val="24"/>
                <w:szCs w:val="24"/>
                <w:lang w:val="en-US" w:eastAsia="zh-CN" w:bidi="ar"/>
              </w:rPr>
              <w:t>2.3.技术得分（10分）</w:t>
            </w:r>
          </w:p>
          <w:p>
            <w:pPr>
              <w:widowControl/>
              <w:spacing w:line="240" w:lineRule="auto"/>
              <w:ind w:firstLine="480" w:firstLineChars="200"/>
              <w:jc w:val="left"/>
              <w:rPr>
                <w:rFonts w:hint="eastAsia" w:ascii="方正仿宋_GBK" w:hAnsi="仿宋_GB2312" w:eastAsia="方正仿宋_GBK" w:cs="仿宋_GB2312"/>
                <w:kern w:val="2"/>
                <w:sz w:val="24"/>
                <w:szCs w:val="24"/>
                <w:lang w:val="en-US" w:eastAsia="zh-CN" w:bidi="ar"/>
              </w:rPr>
            </w:pPr>
            <w:r>
              <w:rPr>
                <w:rFonts w:hint="eastAsia" w:ascii="方正仿宋_GBK" w:hAnsi="仿宋_GB2312" w:eastAsia="方正仿宋_GBK" w:cs="仿宋_GB2312"/>
                <w:kern w:val="2"/>
                <w:sz w:val="24"/>
                <w:szCs w:val="24"/>
                <w:lang w:eastAsia="zh-CN" w:bidi="ar"/>
              </w:rPr>
              <w:t>（</w:t>
            </w:r>
            <w:r>
              <w:rPr>
                <w:rFonts w:hint="eastAsia" w:ascii="方正仿宋_GBK" w:hAnsi="仿宋_GB2312" w:eastAsia="方正仿宋_GBK" w:cs="仿宋_GB2312"/>
                <w:kern w:val="2"/>
                <w:sz w:val="24"/>
                <w:szCs w:val="24"/>
                <w:lang w:val="en-US" w:eastAsia="zh-CN" w:bidi="ar"/>
              </w:rPr>
              <w:t>1）检测方案（5分），检测方案内容齐全、合理，具有针对性和操作性，方案内容包括但不限于对检测项目的描述、检测方法、技术手段等内容。建立关键工序的具体控制方法，以及编制操作性较强的专项应急预案。优秀：4-5分；良好3-4分；合格0-3分。</w:t>
            </w:r>
          </w:p>
          <w:p>
            <w:pPr>
              <w:widowControl/>
              <w:spacing w:line="240" w:lineRule="auto"/>
              <w:ind w:firstLine="480" w:firstLineChars="200"/>
              <w:jc w:val="left"/>
              <w:rPr>
                <w:rFonts w:hint="eastAsia" w:ascii="方正仿宋_GBK" w:hAnsi="仿宋_GB2312" w:eastAsia="方正仿宋_GBK" w:cs="仿宋_GB2312"/>
                <w:kern w:val="2"/>
                <w:sz w:val="24"/>
                <w:szCs w:val="24"/>
                <w:lang w:val="en-US" w:eastAsia="zh-CN" w:bidi="ar"/>
              </w:rPr>
            </w:pPr>
            <w:r>
              <w:rPr>
                <w:rFonts w:hint="eastAsia" w:ascii="方正仿宋_GBK" w:hAnsi="仿宋_GB2312" w:eastAsia="方正仿宋_GBK" w:cs="仿宋_GB2312"/>
                <w:kern w:val="2"/>
                <w:sz w:val="24"/>
                <w:szCs w:val="24"/>
                <w:lang w:val="en-US" w:eastAsia="zh-CN" w:bidi="ar"/>
              </w:rPr>
              <w:t>（2）检测管理计划及管理措施（1分），检测管理计划及管理措施内容的优劣。优秀：0.8-1分；良好0.6-0.8分；合格0-0.6分。</w:t>
            </w:r>
          </w:p>
          <w:p>
            <w:pPr>
              <w:widowControl/>
              <w:spacing w:line="240" w:lineRule="auto"/>
              <w:ind w:firstLine="480" w:firstLineChars="200"/>
              <w:jc w:val="left"/>
              <w:rPr>
                <w:rFonts w:hint="eastAsia" w:ascii="方正仿宋_GBK" w:hAnsi="仿宋_GB2312" w:eastAsia="方正仿宋_GBK" w:cs="仿宋_GB2312"/>
                <w:kern w:val="2"/>
                <w:sz w:val="24"/>
                <w:szCs w:val="24"/>
                <w:lang w:val="en-US" w:eastAsia="zh-CN" w:bidi="ar"/>
              </w:rPr>
            </w:pPr>
            <w:r>
              <w:rPr>
                <w:rFonts w:hint="eastAsia" w:ascii="方正仿宋_GBK" w:hAnsi="仿宋_GB2312" w:eastAsia="方正仿宋_GBK" w:cs="仿宋_GB2312"/>
                <w:kern w:val="2"/>
                <w:sz w:val="24"/>
                <w:szCs w:val="24"/>
                <w:lang w:val="en-US" w:eastAsia="zh-CN" w:bidi="ar"/>
              </w:rPr>
              <w:t>（3）质量安全管理措施（2分），质量安全管理体系、落实质量与安全检查制度、质量与安全的预控、质量与安全的控制等方面内容进行评定。优秀：1.6-2分；良好1.2-1.6分；合格0-1.2分。</w:t>
            </w:r>
          </w:p>
          <w:p>
            <w:pPr>
              <w:widowControl/>
              <w:spacing w:line="240" w:lineRule="auto"/>
              <w:ind w:firstLine="480" w:firstLineChars="200"/>
              <w:jc w:val="left"/>
              <w:rPr>
                <w:rFonts w:hint="eastAsia" w:ascii="方正仿宋_GBK" w:hAnsi="仿宋_GB2312" w:eastAsia="方正仿宋_GBK" w:cs="仿宋_GB2312"/>
                <w:b w:val="0"/>
                <w:bCs w:val="0"/>
                <w:kern w:val="2"/>
                <w:sz w:val="24"/>
                <w:szCs w:val="24"/>
                <w:lang w:val="en-US" w:eastAsia="zh-CN" w:bidi="ar"/>
              </w:rPr>
            </w:pPr>
            <w:r>
              <w:rPr>
                <w:rFonts w:hint="eastAsia" w:ascii="方正仿宋_GBK" w:hAnsi="仿宋_GB2312" w:eastAsia="方正仿宋_GBK" w:cs="仿宋_GB2312"/>
                <w:b w:val="0"/>
                <w:bCs w:val="0"/>
                <w:kern w:val="2"/>
                <w:sz w:val="24"/>
                <w:szCs w:val="24"/>
                <w:lang w:val="en-US" w:eastAsia="zh-CN" w:bidi="ar"/>
              </w:rPr>
              <w:t>（4）进度控制措施（1分），进度控制、进度保证措施、进度计划的贯彻和确保按期完成检查任务的措施等。</w:t>
            </w:r>
            <w:r>
              <w:rPr>
                <w:rFonts w:hint="eastAsia" w:ascii="方正仿宋_GBK" w:hAnsi="仿宋_GB2312" w:eastAsia="方正仿宋_GBK" w:cs="仿宋_GB2312"/>
                <w:kern w:val="2"/>
                <w:sz w:val="24"/>
                <w:szCs w:val="24"/>
                <w:lang w:val="en-US" w:eastAsia="zh-CN" w:bidi="ar"/>
              </w:rPr>
              <w:t>优秀：0.8-1分；良好0.6-0.8分；合格0-0.6分。</w:t>
            </w:r>
          </w:p>
          <w:p>
            <w:pPr>
              <w:widowControl/>
              <w:spacing w:line="240" w:lineRule="auto"/>
              <w:ind w:firstLine="480" w:firstLineChars="200"/>
              <w:jc w:val="left"/>
              <w:rPr>
                <w:rFonts w:hint="eastAsia" w:ascii="方正仿宋_GBK" w:hAnsi="仿宋_GB2312" w:eastAsia="方正仿宋_GBK" w:cs="仿宋_GB2312"/>
                <w:b w:val="0"/>
                <w:bCs w:val="0"/>
                <w:kern w:val="2"/>
                <w:sz w:val="24"/>
                <w:szCs w:val="24"/>
                <w:lang w:val="en-US" w:eastAsia="zh-CN" w:bidi="ar"/>
              </w:rPr>
            </w:pPr>
            <w:r>
              <w:rPr>
                <w:rFonts w:hint="eastAsia" w:ascii="方正仿宋_GBK" w:hAnsi="仿宋_GB2312" w:eastAsia="方正仿宋_GBK" w:cs="仿宋_GB2312"/>
                <w:b w:val="0"/>
                <w:bCs w:val="0"/>
                <w:kern w:val="2"/>
                <w:sz w:val="24"/>
                <w:szCs w:val="24"/>
                <w:lang w:val="en-US" w:eastAsia="zh-CN" w:bidi="ar"/>
              </w:rPr>
              <w:t>（5）其他保障性措施（1分），拟投用的设备数量、类型、质量、先进性，针对性服务方案。优秀：0.8-1分；良好0.6-0.8分；合格0-0.6分。</w:t>
            </w:r>
          </w:p>
          <w:p>
            <w:pPr>
              <w:ind w:firstLine="480" w:firstLineChars="200"/>
              <w:rPr>
                <w:rFonts w:hint="default" w:ascii="方正仿宋_GBK" w:hAnsi="仿宋_GB2312" w:eastAsia="方正仿宋_GBK" w:cs="仿宋_GB2312"/>
                <w:b w:val="0"/>
                <w:bCs w:val="0"/>
                <w:kern w:val="2"/>
                <w:sz w:val="24"/>
                <w:szCs w:val="24"/>
                <w:lang w:val="en-US" w:bidi="ar"/>
              </w:rPr>
            </w:pPr>
            <w:r>
              <w:rPr>
                <w:rFonts w:hint="eastAsia" w:ascii="方正仿宋_GBK" w:hAnsi="仿宋_GB2312" w:eastAsia="方正仿宋_GBK" w:cs="仿宋_GB2312"/>
                <w:b w:val="0"/>
                <w:bCs w:val="0"/>
                <w:kern w:val="2"/>
                <w:sz w:val="24"/>
                <w:szCs w:val="24"/>
                <w:lang w:val="en-US" w:eastAsia="zh-CN" w:bidi="ar"/>
              </w:rPr>
              <w:t xml:space="preserve"> 技术得分中各分项得分：按评比小组评分取算数平均值计算。</w:t>
            </w:r>
          </w:p>
          <w:p>
            <w:pPr>
              <w:ind w:firstLine="480" w:firstLineChars="200"/>
              <w:rPr>
                <w:rFonts w:hint="default"/>
                <w:lang w:val="en-US" w:eastAsia="zh-CN"/>
              </w:rPr>
            </w:pPr>
            <w:r>
              <w:rPr>
                <w:rFonts w:hint="eastAsia" w:ascii="方正仿宋_GBK" w:hAnsi="仿宋_GB2312" w:eastAsia="方正仿宋_GBK" w:cs="仿宋_GB2312"/>
                <w:b w:val="0"/>
                <w:bCs w:val="0"/>
                <w:kern w:val="2"/>
                <w:sz w:val="24"/>
                <w:szCs w:val="24"/>
                <w:lang w:val="en-US" w:eastAsia="zh-CN" w:bidi="ar"/>
              </w:rPr>
              <w:t xml:space="preserve"> 2.4</w:t>
            </w:r>
            <w:r>
              <w:rPr>
                <w:rFonts w:hint="eastAsia" w:ascii="方正仿宋_GBK" w:hAnsi="仿宋_GB2312" w:eastAsia="方正仿宋_GBK" w:cs="仿宋_GB2312"/>
                <w:kern w:val="2"/>
                <w:sz w:val="24"/>
                <w:szCs w:val="24"/>
                <w:lang w:val="en-US" w:eastAsia="zh-CN" w:bidi="ar"/>
              </w:rPr>
              <w:t>.投标报价得分（80分）：</w:t>
            </w:r>
            <w:r>
              <w:rPr>
                <w:rFonts w:hint="eastAsia" w:ascii="方正仿宋_GBK" w:hAnsi="仿宋_GB2312" w:eastAsia="方正仿宋_GBK" w:cs="仿宋_GB2312"/>
                <w:kern w:val="2"/>
                <w:sz w:val="24"/>
                <w:szCs w:val="24"/>
                <w:lang w:bidi="ar"/>
              </w:rPr>
              <w:t>投标总报价与评标基准价相比，等于评标基准价的得80分，在此基础上，每增加1％扣</w:t>
            </w:r>
            <w:r>
              <w:rPr>
                <w:rFonts w:hint="eastAsia" w:ascii="方正仿宋_GBK" w:hAnsi="仿宋_GB2312" w:eastAsia="方正仿宋_GBK" w:cs="仿宋_GB2312"/>
                <w:kern w:val="2"/>
                <w:sz w:val="24"/>
                <w:szCs w:val="24"/>
                <w:lang w:val="en-US" w:eastAsia="zh-CN" w:bidi="ar"/>
              </w:rPr>
              <w:t>0.2</w:t>
            </w:r>
            <w:r>
              <w:rPr>
                <w:rFonts w:hint="eastAsia" w:ascii="方正仿宋_GBK" w:hAnsi="仿宋_GB2312" w:eastAsia="方正仿宋_GBK" w:cs="仿宋_GB2312"/>
                <w:kern w:val="2"/>
                <w:sz w:val="24"/>
                <w:szCs w:val="24"/>
                <w:lang w:bidi="ar"/>
              </w:rPr>
              <w:t>分，每减少1％扣0.</w:t>
            </w:r>
            <w:r>
              <w:rPr>
                <w:rFonts w:hint="eastAsia" w:ascii="方正仿宋_GBK" w:hAnsi="仿宋_GB2312" w:eastAsia="方正仿宋_GBK" w:cs="仿宋_GB2312"/>
                <w:kern w:val="2"/>
                <w:sz w:val="24"/>
                <w:szCs w:val="24"/>
                <w:lang w:val="en-US" w:eastAsia="zh-CN" w:bidi="ar"/>
              </w:rPr>
              <w:t>1</w:t>
            </w:r>
            <w:r>
              <w:rPr>
                <w:rFonts w:hint="eastAsia" w:ascii="方正仿宋_GBK" w:hAnsi="仿宋_GB2312" w:eastAsia="方正仿宋_GBK" w:cs="仿宋_GB2312"/>
                <w:kern w:val="2"/>
                <w:sz w:val="24"/>
                <w:szCs w:val="24"/>
                <w:lang w:bidi="ar"/>
              </w:rPr>
              <w:t>分, 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spacing w:line="440" w:lineRule="exact"/>
              <w:rPr>
                <w:rFonts w:ascii="方正仿宋_GBK" w:hAnsi="仿宋_GB2312" w:eastAsia="方正仿宋_GBK" w:cs="仿宋_GB2312"/>
                <w:sz w:val="24"/>
                <w:szCs w:val="24"/>
              </w:rPr>
            </w:pPr>
            <w:r>
              <w:rPr>
                <w:rFonts w:hint="eastAsia" w:ascii="方正仿宋_GBK" w:hAnsi="仿宋_GB2312" w:eastAsia="方正仿宋_GBK" w:cs="仿宋_GB2312"/>
                <w:sz w:val="24"/>
                <w:szCs w:val="24"/>
              </w:rPr>
              <w:t>四、比选文件组成及要求</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trPr>
        <w:tc>
          <w:tcPr>
            <w:tcW w:w="8534" w:type="dxa"/>
            <w:gridSpan w:val="2"/>
            <w:vAlign w:val="center"/>
          </w:tcPr>
          <w:p>
            <w:pPr>
              <w:numPr>
                <w:ilvl w:val="0"/>
                <w:numId w:val="1"/>
              </w:numPr>
              <w:spacing w:line="440" w:lineRule="exact"/>
              <w:ind w:left="240"/>
              <w:rPr>
                <w:rFonts w:ascii="方正仿宋_GBK" w:hAnsi="宋体" w:eastAsia="方正仿宋_GBK"/>
                <w:sz w:val="24"/>
                <w:szCs w:val="24"/>
              </w:rPr>
            </w:pPr>
            <w:r>
              <w:rPr>
                <w:rFonts w:hint="eastAsia" w:ascii="方正仿宋_GBK" w:hAnsi="宋体" w:eastAsia="方正仿宋_GBK"/>
                <w:sz w:val="24"/>
                <w:szCs w:val="24"/>
              </w:rPr>
              <w:t>比选文件包括但不限于以下内容：（</w:t>
            </w:r>
            <w:r>
              <w:rPr>
                <w:rFonts w:ascii="方正仿宋_GBK" w:hAnsi="宋体" w:eastAsia="方正仿宋_GBK"/>
                <w:sz w:val="24"/>
                <w:szCs w:val="24"/>
              </w:rPr>
              <w:t>1</w:t>
            </w:r>
            <w:r>
              <w:rPr>
                <w:rFonts w:hint="eastAsia" w:ascii="方正仿宋_GBK" w:hAnsi="宋体" w:eastAsia="方正仿宋_GBK"/>
                <w:sz w:val="24"/>
                <w:szCs w:val="24"/>
              </w:rPr>
              <w:t>）比选函；（</w:t>
            </w:r>
            <w:r>
              <w:rPr>
                <w:rFonts w:ascii="方正仿宋_GBK" w:hAnsi="宋体" w:eastAsia="方正仿宋_GBK"/>
                <w:sz w:val="24"/>
                <w:szCs w:val="24"/>
              </w:rPr>
              <w:t>2</w:t>
            </w:r>
            <w:r>
              <w:rPr>
                <w:rFonts w:hint="eastAsia" w:ascii="方正仿宋_GBK" w:hAnsi="宋体" w:eastAsia="方正仿宋_GBK"/>
                <w:sz w:val="24"/>
                <w:szCs w:val="24"/>
              </w:rPr>
              <w:t>）法定代表人或授权</w:t>
            </w:r>
          </w:p>
          <w:p>
            <w:pPr>
              <w:numPr>
                <w:ilvl w:val="-1"/>
                <w:numId w:val="0"/>
              </w:numPr>
              <w:spacing w:line="440" w:lineRule="exact"/>
              <w:ind w:left="0"/>
              <w:rPr>
                <w:rFonts w:hint="eastAsia" w:ascii="方正仿宋_GBK" w:hAnsi="宋体" w:eastAsia="方正仿宋_GBK"/>
                <w:sz w:val="24"/>
                <w:szCs w:val="24"/>
                <w:lang w:eastAsia="zh-CN"/>
              </w:rPr>
            </w:pPr>
            <w:r>
              <w:rPr>
                <w:rFonts w:hint="eastAsia" w:ascii="方正仿宋_GBK" w:hAnsi="宋体" w:eastAsia="方正仿宋_GBK"/>
                <w:sz w:val="24"/>
                <w:szCs w:val="24"/>
              </w:rPr>
              <w:t>代理人身份证明及授权委托书；</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营业执照、企业资质证书复印件；（</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）业绩证明材料；</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5）</w:t>
            </w:r>
            <w:r>
              <w:rPr>
                <w:rFonts w:hint="eastAsia" w:ascii="方正仿宋_GBK" w:hAnsi="宋体" w:eastAsia="方正仿宋_GBK" w:cs="Times New Roman"/>
                <w:bCs w:val="0"/>
                <w:kern w:val="2"/>
                <w:sz w:val="24"/>
                <w:szCs w:val="24"/>
                <w:lang w:val="en-US" w:eastAsia="zh-CN"/>
              </w:rPr>
              <w:t>比选人员组成；</w:t>
            </w:r>
            <w:r>
              <w:rPr>
                <w:rFonts w:hint="eastAsia" w:ascii="方正仿宋_GBK" w:hAnsi="宋体" w:eastAsia="方正仿宋_GBK" w:cs="Times New Roman"/>
                <w:sz w:val="24"/>
                <w:szCs w:val="24"/>
                <w:lang w:val="en-US" w:eastAsia="zh-CN"/>
              </w:rPr>
              <w:t>（</w:t>
            </w:r>
            <w:r>
              <w:rPr>
                <w:rFonts w:hint="eastAsia" w:ascii="方正仿宋_GBK" w:hAnsi="宋体" w:eastAsia="方正仿宋_GBK"/>
                <w:sz w:val="24"/>
                <w:szCs w:val="24"/>
                <w:lang w:val="en-US" w:eastAsia="zh-CN"/>
              </w:rPr>
              <w:t>6）</w:t>
            </w:r>
            <w:r>
              <w:rPr>
                <w:rFonts w:hint="eastAsia" w:ascii="方正仿宋_GBK" w:hAnsi="宋体" w:eastAsia="方正仿宋_GBK" w:cs="Times New Roman"/>
                <w:i w:val="0"/>
                <w:caps w:val="0"/>
                <w:spacing w:val="0"/>
                <w:sz w:val="24"/>
                <w:szCs w:val="24"/>
              </w:rPr>
              <w:t>技术部分</w:t>
            </w:r>
            <w:r>
              <w:rPr>
                <w:rFonts w:hint="eastAsia" w:ascii="方正仿宋_GBK" w:hAnsi="宋体" w:eastAsia="方正仿宋_GBK" w:cs="Times New Roman"/>
                <w:i w:val="0"/>
                <w:caps w:val="0"/>
                <w:spacing w:val="0"/>
                <w:sz w:val="24"/>
                <w:szCs w:val="24"/>
                <w:lang w:eastAsia="zh-CN"/>
              </w:rPr>
              <w:t>。</w:t>
            </w:r>
          </w:p>
          <w:p>
            <w:pPr>
              <w:spacing w:line="440" w:lineRule="exact"/>
              <w:rPr>
                <w:rFonts w:ascii="方正仿宋_GBK" w:hAnsi="宋体" w:eastAsia="方正仿宋_GBK"/>
                <w:sz w:val="24"/>
                <w:szCs w:val="24"/>
              </w:rPr>
            </w:pPr>
            <w:r>
              <w:rPr>
                <w:rFonts w:ascii="方正仿宋_GBK" w:hAnsi="宋体" w:eastAsia="方正仿宋_GBK"/>
                <w:sz w:val="24"/>
                <w:szCs w:val="24"/>
              </w:rPr>
              <w:t xml:space="preserve">  2</w:t>
            </w:r>
            <w:r>
              <w:rPr>
                <w:rFonts w:hint="eastAsia" w:ascii="方正仿宋_GBK" w:hAnsi="宋体" w:eastAsia="方正仿宋_GBK"/>
                <w:sz w:val="24"/>
                <w:szCs w:val="24"/>
              </w:rPr>
              <w:t>、要求提供的资料均需加盖鲜章，所有资料密封并在密封袋上写明单位名称并加盖公章。</w:t>
            </w:r>
          </w:p>
          <w:p>
            <w:pPr>
              <w:spacing w:line="4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spacing w:line="440" w:lineRule="exact"/>
              <w:rPr>
                <w:rFonts w:ascii="方正仿宋_GBK" w:hAnsi="宋体" w:eastAsia="方正仿宋_GBK"/>
                <w:sz w:val="24"/>
                <w:szCs w:val="24"/>
              </w:rPr>
            </w:pPr>
            <w:r>
              <w:rPr>
                <w:rFonts w:hint="eastAsia" w:ascii="方正仿宋_GBK" w:hAnsi="方正仿宋_GBK" w:eastAsia="方正仿宋_GBK" w:cs="方正仿宋_GBK"/>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4" w:type="dxa"/>
            <w:gridSpan w:val="2"/>
            <w:vAlign w:val="center"/>
          </w:tcPr>
          <w:p>
            <w:pPr>
              <w:numPr>
                <w:ilvl w:val="255"/>
                <w:numId w:val="0"/>
              </w:num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zh-TW" w:eastAsia="zh-TW"/>
              </w:rPr>
              <w:t>未在规定的时间内递交</w:t>
            </w:r>
            <w:r>
              <w:rPr>
                <w:rFonts w:hint="eastAsia" w:ascii="方正仿宋_GBK" w:hAnsi="方正仿宋_GBK" w:eastAsia="方正仿宋_GBK" w:cs="方正仿宋_GBK"/>
                <w:sz w:val="24"/>
                <w:szCs w:val="24"/>
                <w:lang w:val="zh-TW"/>
              </w:rPr>
              <w:t>比选</w:t>
            </w:r>
            <w:r>
              <w:rPr>
                <w:rFonts w:hint="eastAsia" w:ascii="方正仿宋_GBK" w:hAnsi="方正仿宋_GBK" w:eastAsia="方正仿宋_GBK" w:cs="方正仿宋_GBK"/>
                <w:sz w:val="24"/>
                <w:szCs w:val="24"/>
                <w:lang w:val="zh-TW" w:eastAsia="zh-TW"/>
              </w:rPr>
              <w:t>文件</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按否决比选处理</w:t>
            </w:r>
            <w:r>
              <w:rPr>
                <w:rFonts w:hint="eastAsia" w:ascii="方正仿宋_GBK" w:hAnsi="方正仿宋_GBK" w:eastAsia="方正仿宋_GBK" w:cs="方正仿宋_GBK"/>
                <w:sz w:val="24"/>
                <w:szCs w:val="24"/>
                <w:lang w:val="zh-TW" w:eastAsia="zh-TW"/>
              </w:rPr>
              <w:t>；</w:t>
            </w:r>
          </w:p>
          <w:p>
            <w:p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zh-TW" w:eastAsia="zh-TW"/>
              </w:rPr>
              <w:t>报价超过最高限价</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按否决比选处理</w:t>
            </w:r>
            <w:r>
              <w:rPr>
                <w:rFonts w:hint="eastAsia" w:ascii="方正仿宋_GBK" w:hAnsi="方正仿宋_GBK" w:eastAsia="方正仿宋_GBK" w:cs="方正仿宋_GBK"/>
                <w:sz w:val="24"/>
                <w:szCs w:val="24"/>
                <w:lang w:val="zh-TW" w:eastAsia="zh-TW"/>
              </w:rPr>
              <w:t>；</w:t>
            </w:r>
          </w:p>
          <w:p>
            <w:pPr>
              <w:spacing w:line="440" w:lineRule="exact"/>
              <w:ind w:firstLine="480" w:firstLineChars="200"/>
              <w:rPr>
                <w:rFonts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val="zh-TW" w:eastAsia="zh-TW"/>
              </w:rPr>
              <w:t>法定代表人（负责人）或其委托代理人的签字（或盖章）不齐全，授权代理人身份证明不符合</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按否决比选处理</w:t>
            </w:r>
            <w:r>
              <w:rPr>
                <w:rFonts w:hint="eastAsia" w:ascii="方正仿宋_GBK" w:hAnsi="方正仿宋_GBK" w:eastAsia="方正仿宋_GBK" w:cs="方正仿宋_GBK"/>
                <w:sz w:val="24"/>
                <w:szCs w:val="24"/>
                <w:lang w:val="zh-TW" w:eastAsia="zh-TW"/>
              </w:rPr>
              <w:t>；</w:t>
            </w:r>
          </w:p>
          <w:p>
            <w:pPr>
              <w:spacing w:line="440" w:lineRule="exact"/>
              <w:ind w:firstLine="480" w:firstLineChars="200"/>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eastAsia="zh-CN"/>
              </w:rPr>
              <w:t>“</w:t>
            </w:r>
            <w:r>
              <w:rPr>
                <w:rFonts w:hint="eastAsia" w:ascii="方正仿宋_GBK" w:hAnsi="仿宋_GB2312" w:eastAsia="方正仿宋_GBK" w:cs="仿宋_GB2312"/>
                <w:sz w:val="24"/>
                <w:szCs w:val="24"/>
              </w:rPr>
              <w:t>比选被邀请人资格要求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1-4条</w:t>
            </w:r>
            <w:r>
              <w:rPr>
                <w:rFonts w:hint="eastAsia" w:ascii="方正仿宋_GBK" w:hAnsi="方正仿宋_GBK" w:eastAsia="方正仿宋_GBK" w:cs="方正仿宋_GBK"/>
                <w:kern w:val="2"/>
                <w:sz w:val="24"/>
                <w:szCs w:val="24"/>
                <w:lang w:val="zh-TW" w:eastAsia="zh-TW"/>
              </w:rPr>
              <w:t>提交的相关证明材料</w:t>
            </w:r>
            <w:r>
              <w:rPr>
                <w:rFonts w:hint="eastAsia" w:ascii="方正仿宋_GBK" w:hAnsi="方正仿宋_GBK" w:eastAsia="方正仿宋_GBK" w:cs="方正仿宋_GBK"/>
                <w:sz w:val="24"/>
                <w:szCs w:val="24"/>
                <w:lang w:val="en-US" w:eastAsia="zh-CN"/>
              </w:rPr>
              <w:t>有一条不满足要求，或</w:t>
            </w:r>
            <w:r>
              <w:rPr>
                <w:rFonts w:hint="eastAsia" w:ascii="方正仿宋_GBK" w:hAnsi="方正仿宋_GBK" w:eastAsia="方正仿宋_GBK" w:cs="方正仿宋_GBK"/>
                <w:sz w:val="24"/>
                <w:szCs w:val="24"/>
                <w:lang w:val="zh-TW" w:eastAsia="zh-TW"/>
              </w:rPr>
              <w:t>字迹不清晰或难以辨认视为不符合要求</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按否决比选处理；</w:t>
            </w:r>
          </w:p>
          <w:p>
            <w:pPr>
              <w:numPr>
                <w:ilvl w:val="255"/>
                <w:numId w:val="0"/>
              </w:numPr>
              <w:ind w:firstLine="480" w:firstLineChars="200"/>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zh-TW"/>
              </w:rPr>
              <w:t>比选</w:t>
            </w:r>
            <w:r>
              <w:rPr>
                <w:rFonts w:hint="eastAsia" w:ascii="方正仿宋_GBK" w:hAnsi="方正仿宋_GBK" w:eastAsia="方正仿宋_GBK" w:cs="方正仿宋_GBK"/>
                <w:sz w:val="24"/>
                <w:szCs w:val="24"/>
                <w:lang w:val="zh-TW" w:eastAsia="zh-TW"/>
              </w:rPr>
              <w:t>文件未按要求加盖公章</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按否决比选处理</w:t>
            </w:r>
            <w:r>
              <w:rPr>
                <w:rFonts w:hint="eastAsia" w:ascii="方正仿宋_GBK" w:hAnsi="方正仿宋_GBK" w:eastAsia="方正仿宋_GBK" w:cs="方正仿宋_GBK"/>
                <w:sz w:val="24"/>
                <w:szCs w:val="24"/>
                <w:lang w:val="zh-TW" w:eastAsia="zh-TW"/>
              </w:rPr>
              <w:t>；</w:t>
            </w:r>
          </w:p>
          <w:p>
            <w:pPr>
              <w:numPr>
                <w:ilvl w:val="255"/>
                <w:numId w:val="0"/>
              </w:num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rPr>
              <w:t>6</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zh-TW" w:eastAsia="zh-TW"/>
              </w:rPr>
              <w:t>发现串通投标或弄虚作假或有其他违法行为的</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按否决比选处理</w:t>
            </w:r>
            <w:r>
              <w:rPr>
                <w:rFonts w:hint="eastAsia" w:ascii="方正仿宋_GBK" w:hAnsi="方正仿宋_GBK" w:eastAsia="方正仿宋_GBK" w:cs="方正仿宋_GBK"/>
                <w:sz w:val="24"/>
                <w:szCs w:val="24"/>
                <w:lang w:val="zh-TW" w:eastAsia="zh-TW"/>
              </w:rPr>
              <w:t>。</w:t>
            </w:r>
          </w:p>
        </w:tc>
      </w:tr>
    </w:tbl>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p>
    <w:p>
      <w:pPr>
        <w:ind w:firstLine="1960" w:firstLineChars="7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邀请人：重庆城市综合交通枢纽（集团）有限公司</w:t>
      </w:r>
    </w:p>
    <w:p>
      <w:pPr>
        <w:rPr>
          <w:rFonts w:hint="eastAsia" w:ascii="方正仿宋_GBK" w:hAnsi="仿宋_GB2312" w:eastAsia="方正仿宋_GBK" w:cs="仿宋_GB2312"/>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仿宋_GB2312" w:eastAsia="方正仿宋_GBK" w:cs="仿宋_GB2312"/>
          <w:sz w:val="28"/>
          <w:szCs w:val="28"/>
        </w:rPr>
        <w:t xml:space="preserve"> </w:t>
      </w:r>
      <w:r>
        <w:rPr>
          <w:rFonts w:ascii="方正仿宋_GBK" w:hAnsi="仿宋_GB2312" w:eastAsia="方正仿宋_GBK" w:cs="仿宋_GB2312"/>
          <w:sz w:val="28"/>
          <w:szCs w:val="28"/>
        </w:rPr>
        <w:t xml:space="preserve">                            202</w:t>
      </w:r>
      <w:r>
        <w:rPr>
          <w:rFonts w:hint="eastAsia" w:ascii="方正仿宋_GBK" w:hAnsi="仿宋_GB2312" w:eastAsia="方正仿宋_GBK" w:cs="仿宋_GB2312"/>
          <w:sz w:val="28"/>
          <w:szCs w:val="28"/>
          <w:lang w:val="en-US" w:eastAsia="zh-CN"/>
        </w:rPr>
        <w:t>2</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 xml:space="preserve">年 </w:t>
      </w:r>
      <w:r>
        <w:rPr>
          <w:rFonts w:hint="eastAsia" w:ascii="方正仿宋_GBK" w:hAnsi="仿宋_GB2312" w:eastAsia="方正仿宋_GBK" w:cs="仿宋_GB2312"/>
          <w:sz w:val="28"/>
          <w:szCs w:val="28"/>
          <w:lang w:val="en-US" w:eastAsia="zh-CN"/>
        </w:rPr>
        <w:t>5</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月</w:t>
      </w:r>
      <w:r>
        <w:rPr>
          <w:rFonts w:hint="eastAsia" w:ascii="方正仿宋_GBK" w:hAnsi="仿宋_GB2312" w:eastAsia="方正仿宋_GBK" w:cs="仿宋_GB2312"/>
          <w:sz w:val="28"/>
          <w:szCs w:val="28"/>
          <w:lang w:val="en-US" w:eastAsia="zh-CN"/>
        </w:rPr>
        <w:t>26</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日</w:t>
      </w:r>
    </w:p>
    <w:p>
      <w:pPr>
        <w:rPr>
          <w:rFonts w:hint="eastAsia" w:ascii="方正仿宋_GBK" w:hAnsi="仿宋_GB2312" w:eastAsia="方正仿宋_GBK" w:cs="仿宋_GB2312"/>
          <w:sz w:val="28"/>
          <w:szCs w:val="28"/>
        </w:rPr>
      </w:pPr>
      <w:r>
        <w:rPr>
          <w:rFonts w:hint="eastAsia" w:ascii="方正仿宋_GBK" w:hAnsi="仿宋_GB2312" w:eastAsia="方正仿宋_GBK" w:cs="仿宋_GB2312"/>
          <w:sz w:val="28"/>
          <w:szCs w:val="28"/>
        </w:rPr>
        <w:t>比选文件格式</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比</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选</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函</w:t>
      </w:r>
    </w:p>
    <w:p>
      <w:pPr>
        <w:rPr>
          <w:rFonts w:ascii="方正仿宋_GBK" w:hAnsi="仿宋_GB2312" w:eastAsia="方正仿宋_GBK" w:cs="仿宋_GB2312"/>
          <w:sz w:val="28"/>
          <w:szCs w:val="28"/>
          <w:u w:val="single"/>
        </w:rPr>
      </w:pP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u w:val="none"/>
        </w:rPr>
        <w:t>：</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根据贵方</w:t>
      </w:r>
      <w:r>
        <w:rPr>
          <w:rFonts w:hint="eastAsia" w:ascii="方正仿宋_GBK" w:hAnsi="仿宋_GB2312" w:eastAsia="方正仿宋_GBK" w:cs="仿宋_GB2312"/>
          <w:b w:val="0"/>
          <w:bCs w:val="0"/>
          <w:sz w:val="28"/>
          <w:szCs w:val="28"/>
          <w:lang w:val="en-US" w:eastAsia="zh-CN"/>
        </w:rPr>
        <w:t>重庆东站电力管廊一期工程第三方检测</w:t>
      </w:r>
      <w:r>
        <w:rPr>
          <w:rFonts w:hint="eastAsia" w:ascii="方正仿宋_GBK" w:hAnsi="仿宋_GB2312" w:eastAsia="方正仿宋_GBK" w:cs="仿宋_GB2312"/>
          <w:sz w:val="28"/>
          <w:szCs w:val="28"/>
        </w:rPr>
        <w:t>的比选函文件，本公司正式授权的下述签字人</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（姓名和身份证号码）代表本公司</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numPr>
          <w:ilvl w:val="0"/>
          <w:numId w:val="2"/>
        </w:numPr>
        <w:ind w:left="560" w:hanging="560" w:hangingChars="200"/>
        <w:rPr>
          <w:rFonts w:ascii="方正仿宋_GBK" w:hAnsi="仿宋_GB2312" w:eastAsia="方正仿宋_GBK" w:cs="仿宋_GB2312"/>
          <w:sz w:val="28"/>
          <w:szCs w:val="28"/>
          <w:highlight w:val="none"/>
          <w:u w:val="single"/>
        </w:rPr>
      </w:pPr>
      <w:r>
        <w:rPr>
          <w:rFonts w:hint="eastAsia" w:ascii="方正仿宋_GBK" w:hAnsi="仿宋_GB2312" w:eastAsia="方正仿宋_GBK" w:cs="仿宋_GB2312"/>
          <w:sz w:val="28"/>
          <w:szCs w:val="28"/>
        </w:rPr>
        <w:t>愿意接受邀请函中提出</w:t>
      </w:r>
      <w:r>
        <w:rPr>
          <w:rFonts w:hint="eastAsia" w:ascii="方正仿宋_GBK" w:hAnsi="仿宋_GB2312" w:eastAsia="方正仿宋_GBK" w:cs="仿宋_GB2312"/>
          <w:sz w:val="28"/>
          <w:szCs w:val="28"/>
          <w:lang w:val="en-US" w:eastAsia="zh-CN"/>
        </w:rPr>
        <w:t>的报价费率</w:t>
      </w:r>
      <w:r>
        <w:rPr>
          <w:rFonts w:hint="eastAsia" w:ascii="方正仿宋_GBK" w:hAnsi="仿宋_GB2312" w:eastAsia="方正仿宋_GBK" w:cs="仿宋_GB2312"/>
          <w:sz w:val="28"/>
          <w:szCs w:val="28"/>
          <w:u w:val="single"/>
          <w:lang w:val="en-US" w:eastAsia="zh-CN"/>
        </w:rPr>
        <w:t xml:space="preserve">     %</w:t>
      </w:r>
      <w:r>
        <w:rPr>
          <w:rFonts w:hint="eastAsia" w:ascii="方正仿宋_GBK" w:hAnsi="仿宋_GB2312" w:eastAsia="方正仿宋_GBK" w:cs="仿宋_GB2312"/>
          <w:sz w:val="28"/>
          <w:szCs w:val="28"/>
          <w:u w:val="none"/>
          <w:lang w:val="en-US" w:eastAsia="zh-CN"/>
        </w:rPr>
        <w:t>，</w:t>
      </w:r>
      <w:r>
        <w:rPr>
          <w:rFonts w:hint="eastAsia" w:ascii="方正仿宋_GBK" w:hAnsi="仿宋_GB2312" w:eastAsia="方正仿宋_GBK" w:cs="仿宋_GB2312"/>
          <w:sz w:val="28"/>
          <w:szCs w:val="28"/>
          <w:u w:val="none"/>
        </w:rPr>
        <w:t>总报价</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u w:val="none"/>
        </w:rPr>
        <w:t>元作为本项目报价</w:t>
      </w:r>
      <w:r>
        <w:rPr>
          <w:rFonts w:hint="eastAsia" w:ascii="方正仿宋_GBK" w:hAnsi="仿宋_GB2312" w:eastAsia="方正仿宋_GBK" w:cs="仿宋_GB2312"/>
          <w:sz w:val="28"/>
          <w:szCs w:val="28"/>
          <w:highlight w:val="none"/>
          <w:u w:val="none"/>
        </w:rPr>
        <w:t>。</w:t>
      </w:r>
      <w:r>
        <w:rPr>
          <w:rFonts w:hint="eastAsia" w:ascii="方正仿宋_GBK" w:hAnsi="仿宋_GB2312" w:eastAsia="方正仿宋_GBK" w:cs="仿宋_GB2312"/>
          <w:sz w:val="28"/>
          <w:szCs w:val="28"/>
          <w:highlight w:val="none"/>
          <w:u w:val="none"/>
          <w:lang w:eastAsia="zh-CN"/>
        </w:rPr>
        <w:t>（</w:t>
      </w:r>
      <w:r>
        <w:rPr>
          <w:rFonts w:hint="eastAsia" w:ascii="方正仿宋_GBK" w:hAnsi="仿宋_GB2312" w:eastAsia="方正仿宋_GBK" w:cs="仿宋_GB2312"/>
          <w:sz w:val="28"/>
          <w:szCs w:val="28"/>
          <w:highlight w:val="none"/>
          <w:u w:val="none"/>
          <w:lang w:val="en-US" w:eastAsia="zh-CN"/>
        </w:rPr>
        <w:t>所填报数字保留2位小数</w:t>
      </w:r>
      <w:r>
        <w:rPr>
          <w:rFonts w:hint="eastAsia" w:ascii="方正仿宋_GBK" w:hAnsi="仿宋_GB2312" w:eastAsia="方正仿宋_GBK" w:cs="仿宋_GB2312"/>
          <w:sz w:val="28"/>
          <w:szCs w:val="28"/>
          <w:highlight w:val="none"/>
          <w:u w:val="none"/>
          <w:lang w:eastAsia="zh-CN"/>
        </w:rPr>
        <w:t>）</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(2)</w:t>
      </w:r>
      <w:r>
        <w:rPr>
          <w:rFonts w:hint="eastAsia" w:ascii="方正仿宋_GBK" w:hAnsi="仿宋_GB2312" w:eastAsia="方正仿宋_GBK" w:cs="仿宋_GB2312"/>
          <w:sz w:val="28"/>
          <w:szCs w:val="28"/>
        </w:rPr>
        <w:t>我们已详细阅读了比选函全部内容，我们知道必须放弃提出含糊不清或误解的问题的权利。</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(3)</w:t>
      </w:r>
      <w:r>
        <w:rPr>
          <w:rFonts w:hint="eastAsia" w:ascii="方正仿宋_GBK" w:hAnsi="仿宋_GB2312" w:eastAsia="方正仿宋_GBK" w:cs="仿宋_GB2312"/>
          <w:sz w:val="28"/>
          <w:szCs w:val="28"/>
        </w:rPr>
        <w:t>我们保证根据规定履行合同责任和义务，不得要求变更我司所报下浮比例。</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(4)</w:t>
      </w:r>
      <w:r>
        <w:rPr>
          <w:rFonts w:hint="eastAsia" w:ascii="方正仿宋_GBK" w:hAnsi="仿宋_GB2312" w:eastAsia="方正仿宋_GBK" w:cs="仿宋_GB2312"/>
          <w:sz w:val="28"/>
          <w:szCs w:val="28"/>
        </w:rPr>
        <w:t>本比选函自开启之日起至项目全部完成之内有效。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报价人全称（公章）：</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通信地址：</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仿宋_GB2312" w:eastAsia="方正仿宋_GBK" w:cs="仿宋_GB2312"/>
          <w:sz w:val="28"/>
          <w:szCs w:val="28"/>
        </w:rPr>
        <w:t>日期：</w:t>
      </w:r>
      <w:r>
        <w:rPr>
          <w:rFonts w:ascii="方正仿宋_GBK" w:hAnsi="仿宋_GB2312" w:eastAsia="方正仿宋_GBK" w:cs="仿宋_GB2312"/>
          <w:sz w:val="28"/>
          <w:szCs w:val="28"/>
        </w:rPr>
        <w:t xml:space="preserve"> </w:t>
      </w: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rPr>
        <w:t>格式</w:t>
      </w:r>
      <w:r>
        <w:rPr>
          <w:rFonts w:hint="eastAsia" w:ascii="方正仿宋_GBK" w:hAnsi="仿宋_GB2312" w:eastAsia="方正仿宋_GBK" w:cs="仿宋_GB2312"/>
          <w:sz w:val="28"/>
          <w:szCs w:val="28"/>
          <w:lang w:val="en-US" w:eastAsia="zh-CN"/>
        </w:rPr>
        <w:t>二</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ascii="方正仿宋_GBK" w:hAnsi="仿宋_GB2312" w:eastAsia="方正仿宋_GBK" w:cs="仿宋_GB2312"/>
          <w:bCs/>
          <w:kern w:val="0"/>
          <w:sz w:val="28"/>
          <w:szCs w:val="28"/>
        </w:rPr>
        <w:t>     </w:t>
      </w:r>
      <w:r>
        <w:rPr>
          <w:rFonts w:hint="eastAsia" w:ascii="方正仿宋_GBK" w:hAnsi="仿宋_GB2312" w:eastAsia="方正仿宋_GBK" w:cs="仿宋_GB2312"/>
          <w:bCs/>
          <w:kern w:val="0"/>
          <w:sz w:val="28"/>
          <w:szCs w:val="28"/>
        </w:rPr>
        <w:t>本授权书声明：注册于</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u w:val="single"/>
        </w:rPr>
        <w:t>（注册地址）</w:t>
      </w:r>
      <w:r>
        <w:rPr>
          <w:rFonts w:hint="eastAsia" w:ascii="方正仿宋_GBK" w:hAnsi="仿宋_GB2312" w:eastAsia="方正仿宋_GBK" w:cs="仿宋_GB2312"/>
          <w:bCs/>
          <w:kern w:val="0"/>
          <w:sz w:val="28"/>
          <w:szCs w:val="28"/>
        </w:rPr>
        <w:t>的</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u w:val="single"/>
        </w:rPr>
        <w:t>（公司名称）</w:t>
      </w:r>
      <w:r>
        <w:rPr>
          <w:rFonts w:hint="eastAsia" w:ascii="方正仿宋_GBK" w:hAnsi="仿宋_GB2312" w:eastAsia="方正仿宋_GBK" w:cs="仿宋_GB2312"/>
          <w:bCs/>
          <w:kern w:val="0"/>
          <w:sz w:val="28"/>
          <w:szCs w:val="28"/>
        </w:rPr>
        <w:t>公司的在下面签字的</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b w:val="0"/>
          <w:bCs w:val="0"/>
          <w:sz w:val="28"/>
          <w:szCs w:val="28"/>
          <w:u w:val="single"/>
          <w:lang w:val="en-US" w:eastAsia="zh-CN"/>
        </w:rPr>
        <w:t>重庆东站电力管廊一期工程第三方检测</w:t>
      </w:r>
      <w:r>
        <w:rPr>
          <w:rFonts w:hint="eastAsia" w:ascii="方正仿宋_GBK" w:hAnsi="仿宋_GB2312" w:eastAsia="方正仿宋_GBK" w:cs="仿宋_GB2312"/>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年</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月</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ascii="宋体" w:hAnsi="宋体" w:eastAsia="方正仿宋_GBK" w:cs="华文楷体"/>
          <w:kern w:val="0"/>
          <w:sz w:val="28"/>
          <w:szCs w:val="28"/>
        </w:rPr>
        <w:t>         </w:t>
      </w:r>
      <w:r>
        <w:rPr>
          <w:rFonts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ascii="宋体" w:hAnsi="宋体" w:eastAsia="方正仿宋_GBK" w:cs="华文楷体"/>
          <w:kern w:val="0"/>
          <w:sz w:val="28"/>
          <w:szCs w:val="28"/>
        </w:rPr>
        <w:t>                    </w:t>
      </w:r>
      <w:r>
        <w:rPr>
          <w:rFonts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ascii="宋体" w:hAnsi="宋体" w:eastAsia="方正仿宋_GBK" w:cs="华文楷体"/>
          <w:kern w:val="0"/>
          <w:sz w:val="28"/>
          <w:szCs w:val="28"/>
        </w:rPr>
        <w:t>  </w:t>
      </w:r>
      <w:r>
        <w:rPr>
          <w:rFonts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147320</wp:posOffset>
                </wp:positionV>
                <wp:extent cx="2971800" cy="2278380"/>
                <wp:effectExtent l="6350" t="6350" r="19050" b="26670"/>
                <wp:wrapNone/>
                <wp:docPr id="1"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文本框 2" o:spid="_x0000_s1026" o:spt="202" type="#_x0000_t202" style="position:absolute;left:0pt;margin-left:208pt;margin-top:11.6pt;height:179.4pt;width:234pt;z-index:251659264;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0GZ0fZAAAACgEAAA8AAAAAAAAAAQAgAAAAIgAAAGRycy9kb3ducmV2LnhtbFBLAQIU&#10;ABQAAAAIAIdO4kATcDD2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-455930</wp:posOffset>
                </wp:positionH>
                <wp:positionV relativeFrom="paragraph">
                  <wp:posOffset>140970</wp:posOffset>
                </wp:positionV>
                <wp:extent cx="2857500" cy="2278380"/>
                <wp:effectExtent l="6350" t="6350" r="6350" b="26670"/>
                <wp:wrapNone/>
                <wp:docPr id="2"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文本框 1" o:spid="_x0000_s1026" o:spt="202" type="#_x0000_t202" style="position:absolute;left:0pt;margin-left:-35.9pt;margin-top:11.1pt;height:179.4pt;width:225pt;z-index:251659264;mso-width-relative:page;mso-height-relative:page;" fillcolor="#FFFFFF" filled="t" stroked="t" coordsize="21600,21600" o:gfxdata="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xuME2QAAAAoBAAAPAAAAAAAAAAEAIAAAACIAAABkcnMvZG93bnJldi54bWxQSwEC&#10;FAAUAAAACACHTuJAU8wsr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rPr>
          <w:rFonts w:ascii="Times New Roman" w:hAnsi="Times New Roman" w:eastAsia="宋体" w:cs="Times New Roman"/>
          <w:kern w:val="2"/>
          <w:sz w:val="21"/>
          <w:lang w:val="en-US" w:eastAsia="zh-CN" w:bidi="ar-SA"/>
        </w:rPr>
      </w:pPr>
    </w:p>
    <w:p>
      <w:pPr>
        <w:rPr>
          <w:lang w:val="en-US" w:eastAsia="zh-CN"/>
        </w:rPr>
      </w:pPr>
    </w:p>
    <w:p>
      <w:pPr>
        <w:jc w:val="center"/>
        <w:rPr>
          <w:lang w:val="en-US" w:eastAsia="zh-CN"/>
        </w:rPr>
        <w:sectPr>
          <w:pgSz w:w="11906" w:h="16838"/>
          <w:pgMar w:top="1440" w:right="1803" w:bottom="1440" w:left="1803" w:header="851" w:footer="992" w:gutter="0"/>
          <w:cols w:space="0" w:num="1"/>
          <w:rtlGutter w:val="0"/>
          <w:docGrid w:type="lines" w:linePitch="317" w:charSpace="0"/>
        </w:sectPr>
      </w:pP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rPr>
        <w:sectPr>
          <w:pgSz w:w="11906" w:h="16838"/>
          <w:pgMar w:top="1440" w:right="1803" w:bottom="1440" w:left="1803" w:header="851" w:footer="992" w:gutter="0"/>
          <w:cols w:space="0" w:num="1"/>
          <w:rtlGutter w:val="0"/>
          <w:docGrid w:type="lines" w:linePitch="317" w:charSpace="0"/>
        </w:sectPr>
      </w:pPr>
      <w:r>
        <w:rPr>
          <w:rFonts w:hint="eastAsia" w:ascii="仿宋_GB2312" w:hAnsi="仿宋_GB2312" w:eastAsia="仿宋_GB2312" w:cs="仿宋_GB2312"/>
          <w:bCs/>
          <w:kern w:val="0"/>
          <w:sz w:val="28"/>
          <w:szCs w:val="28"/>
          <w:lang w:val="en-US" w:eastAsia="zh-CN"/>
        </w:rPr>
        <w:t xml:space="preserve">格式三  </w:t>
      </w:r>
      <w:r>
        <w:rPr>
          <w:rFonts w:hint="eastAsia" w:ascii="仿宋_GB2312" w:hAnsi="仿宋_GB2312" w:eastAsia="仿宋_GB2312" w:cs="仿宋_GB2312"/>
          <w:bCs/>
          <w:kern w:val="0"/>
          <w:sz w:val="28"/>
          <w:szCs w:val="28"/>
        </w:rPr>
        <w:t>营业执照、企业资质证书复印</w:t>
      </w:r>
      <w:r>
        <w:rPr>
          <w:rFonts w:hint="eastAsia" w:ascii="仿宋_GB2312" w:hAnsi="仿宋_GB2312" w:eastAsia="仿宋_GB2312" w:cs="仿宋_GB2312"/>
          <w:bCs/>
          <w:kern w:val="0"/>
          <w:sz w:val="28"/>
          <w:szCs w:val="28"/>
          <w:lang w:val="en-US" w:eastAsia="zh-CN"/>
        </w:rPr>
        <w:t>件</w:t>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四</w:t>
      </w:r>
      <w:r>
        <w:rPr>
          <w:rFonts w:hint="eastAsia" w:ascii="仿宋_GB2312" w:hAnsi="仿宋_GB2312" w:eastAsia="仿宋_GB2312" w:cs="仿宋_GB2312"/>
          <w:bCs/>
          <w:kern w:val="0"/>
          <w:sz w:val="28"/>
          <w:szCs w:val="28"/>
        </w:rPr>
        <w:t xml:space="preserve"> 业绩证明材料</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hint="eastAsia" w:ascii="仿宋_GB2312" w:hAnsi="仿宋_GB2312" w:eastAsia="仿宋_GB2312" w:cs="仿宋_GB2312"/>
          <w:bCs/>
          <w:kern w:val="0"/>
          <w:sz w:val="28"/>
          <w:szCs w:val="28"/>
        </w:rPr>
        <w:sectPr>
          <w:pgSz w:w="11906" w:h="16838"/>
          <w:pgMar w:top="1440" w:right="1803" w:bottom="1440" w:left="1803" w:header="851" w:footer="992" w:gutter="0"/>
          <w:cols w:space="0" w:num="1"/>
          <w:rtlGutter w:val="0"/>
          <w:docGrid w:type="lines" w:linePitch="317" w:charSpace="0"/>
        </w:sectPr>
      </w:pPr>
      <w:r>
        <w:rPr>
          <w:rFonts w:hint="eastAsia" w:ascii="仿宋_GB2312" w:hAnsi="仿宋_GB2312" w:eastAsia="仿宋_GB2312" w:cs="仿宋_GB2312"/>
          <w:bCs/>
          <w:kern w:val="0"/>
          <w:sz w:val="28"/>
          <w:szCs w:val="28"/>
        </w:rPr>
        <w:t>注：以上业绩需提供合同复印件</w:t>
      </w:r>
      <w:r>
        <w:rPr>
          <w:rFonts w:hint="eastAsia" w:ascii="仿宋_GB2312" w:hAnsi="仿宋_GB2312" w:eastAsia="仿宋_GB2312" w:cs="仿宋_GB2312"/>
          <w:bCs/>
          <w:kern w:val="0"/>
          <w:sz w:val="28"/>
          <w:szCs w:val="28"/>
          <w:lang w:val="en-US" w:eastAsia="zh-CN"/>
        </w:rPr>
        <w:t>等</w:t>
      </w:r>
      <w:r>
        <w:rPr>
          <w:rFonts w:hint="eastAsia" w:ascii="仿宋_GB2312" w:hAnsi="仿宋_GB2312" w:eastAsia="仿宋_GB2312" w:cs="仿宋_GB2312"/>
          <w:bCs/>
          <w:kern w:val="0"/>
          <w:sz w:val="28"/>
          <w:szCs w:val="28"/>
        </w:rPr>
        <w:t>并加盖鲜章</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按比选文件要求提供）</w:t>
      </w:r>
      <w:r>
        <w:rPr>
          <w:rFonts w:hint="eastAsia" w:ascii="仿宋_GB2312" w:hAnsi="仿宋_GB2312" w:eastAsia="仿宋_GB2312" w:cs="仿宋_GB2312"/>
          <w:bCs/>
          <w:kern w:val="0"/>
          <w:sz w:val="28"/>
          <w:szCs w:val="28"/>
        </w:rPr>
        <w:t>。</w:t>
      </w: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格式五 比选人员组成</w:t>
      </w:r>
    </w:p>
    <w:p>
      <w:pPr>
        <w:pStyle w:val="2"/>
        <w:rPr>
          <w:rFonts w:hint="eastAsia" w:ascii="仿宋_GB2312" w:hAnsi="仿宋_GB2312" w:eastAsia="仿宋_GB2312" w:cs="仿宋_GB2312"/>
          <w:bCs/>
          <w:kern w:val="0"/>
          <w:sz w:val="28"/>
          <w:szCs w:val="28"/>
          <w:lang w:val="en-US" w:eastAsia="zh-CN"/>
        </w:rPr>
      </w:pPr>
    </w:p>
    <w:p>
      <w:pPr>
        <w:numPr>
          <w:ilvl w:val="0"/>
          <w:numId w:val="3"/>
        </w:numPr>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项目负责人（注册证书、职称证书、社保等）；</w:t>
      </w:r>
    </w:p>
    <w:p>
      <w:pPr>
        <w:pStyle w:val="2"/>
        <w:numPr>
          <w:ilvl w:val="0"/>
          <w:numId w:val="0"/>
        </w:numPr>
        <w:rPr>
          <w:rFonts w:hint="default"/>
          <w:lang w:val="en-US" w:eastAsia="zh-CN"/>
        </w:rPr>
      </w:pPr>
    </w:p>
    <w:p>
      <w:pPr>
        <w:pStyle w:val="2"/>
        <w:numPr>
          <w:ilvl w:val="0"/>
          <w:numId w:val="3"/>
        </w:numPr>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其他人员（注册证书、职称证书、社保等）。</w:t>
      </w:r>
    </w:p>
    <w:p>
      <w:pPr>
        <w:pStyle w:val="2"/>
        <w:numPr>
          <w:ilvl w:val="0"/>
          <w:numId w:val="0"/>
        </w:numPr>
        <w:rPr>
          <w:rFonts w:hint="eastAsia" w:ascii="仿宋_GB2312" w:hAnsi="仿宋_GB2312" w:eastAsia="仿宋_GB2312" w:cs="仿宋_GB2312"/>
          <w:bCs/>
          <w:kern w:val="0"/>
          <w:sz w:val="28"/>
          <w:szCs w:val="28"/>
          <w:lang w:val="en-US" w:eastAsia="zh-CN"/>
        </w:rPr>
      </w:pPr>
    </w:p>
    <w:p>
      <w:pPr>
        <w:pStyle w:val="2"/>
        <w:numPr>
          <w:ilvl w:val="0"/>
          <w:numId w:val="0"/>
        </w:numPr>
        <w:rPr>
          <w:rFonts w:hint="default" w:ascii="仿宋_GB2312" w:hAnsi="仿宋_GB2312" w:eastAsia="仿宋_GB2312" w:cs="仿宋_GB2312"/>
          <w:bCs/>
          <w:kern w:val="0"/>
          <w:sz w:val="28"/>
          <w:szCs w:val="28"/>
          <w:lang w:val="en-US" w:eastAsia="zh-CN"/>
        </w:rPr>
        <w:sectPr>
          <w:pgSz w:w="11906" w:h="16838"/>
          <w:pgMar w:top="1440" w:right="1803" w:bottom="1440" w:left="1803" w:header="851" w:footer="992" w:gutter="0"/>
          <w:cols w:space="0" w:num="1"/>
          <w:rtlGutter w:val="0"/>
          <w:docGrid w:type="lines" w:linePitch="317" w:charSpace="0"/>
        </w:sectPr>
      </w:pPr>
      <w:r>
        <w:rPr>
          <w:rFonts w:hint="eastAsia" w:ascii="仿宋_GB2312" w:hAnsi="仿宋_GB2312" w:eastAsia="仿宋_GB2312" w:cs="仿宋_GB2312"/>
          <w:bCs/>
          <w:kern w:val="0"/>
          <w:sz w:val="28"/>
          <w:szCs w:val="28"/>
          <w:lang w:val="en-US" w:eastAsia="zh-CN"/>
        </w:rPr>
        <w:t>（具体按</w:t>
      </w:r>
      <w:r>
        <w:rPr>
          <w:rFonts w:hint="eastAsia" w:ascii="仿宋_GB2312" w:hAnsi="仿宋_GB2312" w:eastAsia="仿宋_GB2312" w:cs="仿宋_GB2312"/>
          <w:b w:val="0"/>
          <w:bCs/>
          <w:kern w:val="0"/>
          <w:sz w:val="28"/>
          <w:szCs w:val="28"/>
        </w:rPr>
        <w:t>比选被邀请人资格要求</w:t>
      </w:r>
      <w:r>
        <w:rPr>
          <w:rFonts w:hint="eastAsia" w:ascii="仿宋_GB2312" w:hAnsi="仿宋_GB2312" w:eastAsia="仿宋_GB2312" w:cs="仿宋_GB2312"/>
          <w:b w:val="0"/>
          <w:bCs/>
          <w:kern w:val="0"/>
          <w:sz w:val="28"/>
          <w:szCs w:val="28"/>
          <w:lang w:eastAsia="zh-CN"/>
        </w:rPr>
        <w:t>、</w:t>
      </w:r>
      <w:r>
        <w:rPr>
          <w:rFonts w:hint="eastAsia" w:ascii="仿宋_GB2312" w:hAnsi="仿宋_GB2312" w:eastAsia="仿宋_GB2312" w:cs="仿宋_GB2312"/>
          <w:bCs/>
          <w:kern w:val="0"/>
          <w:sz w:val="28"/>
          <w:szCs w:val="28"/>
          <w:lang w:val="en-US" w:eastAsia="zh-CN" w:bidi="ar"/>
        </w:rPr>
        <w:t>商务得分要求提供</w:t>
      </w:r>
      <w:r>
        <w:rPr>
          <w:rFonts w:hint="eastAsia" w:ascii="方正仿宋_GBK" w:hAnsi="仿宋_GB2312" w:eastAsia="方正仿宋_GBK" w:cs="仿宋_GB2312"/>
          <w:kern w:val="2"/>
          <w:sz w:val="24"/>
          <w:szCs w:val="24"/>
          <w:lang w:val="en-US" w:eastAsia="zh-CN" w:bidi="ar"/>
        </w:rPr>
        <w:t>）</w:t>
      </w:r>
    </w:p>
    <w:p>
      <w:pPr>
        <w:widowControl/>
        <w:spacing w:before="100" w:beforeAutospacing="1" w:after="100" w:afterAutospacing="1" w:line="252" w:lineRule="atLeast"/>
        <w:jc w:val="center"/>
        <w:rPr>
          <w:rFonts w:hint="eastAsia" w:ascii="仿宋_GB2312" w:hAnsi="仿宋_GB2312" w:eastAsia="仿宋_GB2312" w:cs="仿宋_GB2312"/>
          <w:bCs/>
          <w:i w:val="0"/>
          <w:caps w:val="0"/>
          <w:spacing w:val="0"/>
          <w:kern w:val="0"/>
          <w:sz w:val="28"/>
          <w:szCs w:val="28"/>
        </w:r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六</w:t>
      </w:r>
      <w:r>
        <w:rPr>
          <w:rFonts w:hint="eastAsia" w:ascii="仿宋_GB2312" w:hAnsi="仿宋_GB2312" w:eastAsia="仿宋_GB2312" w:cs="仿宋_GB2312"/>
          <w:bCs/>
          <w:kern w:val="0"/>
          <w:sz w:val="28"/>
          <w:szCs w:val="28"/>
        </w:rPr>
        <w:t xml:space="preserve">  </w:t>
      </w:r>
      <w:r>
        <w:rPr>
          <w:rFonts w:hint="eastAsia" w:ascii="仿宋_GB2312" w:hAnsi="仿宋_GB2312" w:eastAsia="仿宋_GB2312" w:cs="仿宋_GB2312"/>
          <w:bCs/>
          <w:i w:val="0"/>
          <w:caps w:val="0"/>
          <w:spacing w:val="0"/>
          <w:kern w:val="0"/>
          <w:sz w:val="28"/>
          <w:szCs w:val="28"/>
        </w:rPr>
        <w:t>技术部分</w:t>
      </w:r>
    </w:p>
    <w:p>
      <w:pPr>
        <w:keepNext w:val="0"/>
        <w:keepLines w:val="0"/>
        <w:widowControl/>
        <w:suppressLineNumbers w:val="0"/>
        <w:spacing w:before="100" w:beforeAutospacing="1" w:after="100" w:afterAutospacing="1" w:line="252" w:lineRule="atLeast"/>
        <w:ind w:left="0" w:firstLine="0"/>
        <w:jc w:val="center"/>
        <w:rPr>
          <w:rFonts w:hint="eastAsia" w:ascii="仿宋_GB2312" w:hAnsi="仿宋_GB2312" w:eastAsia="仿宋_GB2312" w:cs="仿宋_GB2312"/>
          <w:bCs/>
          <w:i w:val="0"/>
          <w:caps w:val="0"/>
          <w:spacing w:val="0"/>
          <w:kern w:val="0"/>
          <w:sz w:val="28"/>
          <w:szCs w:val="28"/>
        </w:rPr>
      </w:pPr>
      <w:r>
        <w:rPr>
          <w:rFonts w:hint="eastAsia" w:ascii="仿宋_GB2312" w:hAnsi="仿宋_GB2312" w:eastAsia="仿宋_GB2312" w:cs="仿宋_GB2312"/>
          <w:b w:val="0"/>
          <w:bCs/>
          <w:i w:val="0"/>
          <w:caps w:val="0"/>
          <w:spacing w:val="0"/>
          <w:kern w:val="0"/>
          <w:sz w:val="28"/>
          <w:szCs w:val="28"/>
          <w:lang w:val="en-US" w:eastAsia="zh-CN" w:bidi="ar"/>
        </w:rPr>
        <w:t>目录</w:t>
      </w:r>
    </w:p>
    <w:p>
      <w:pPr>
        <w:keepNext w:val="0"/>
        <w:keepLines w:val="0"/>
        <w:widowControl/>
        <w:suppressLineNumbers w:val="0"/>
        <w:spacing w:before="100" w:beforeAutospacing="1" w:after="100" w:afterAutospacing="1" w:line="252" w:lineRule="atLeast"/>
        <w:ind w:left="0" w:firstLine="0"/>
        <w:jc w:val="left"/>
        <w:rPr>
          <w:rFonts w:hint="eastAsia" w:ascii="仿宋_GB2312" w:hAnsi="仿宋_GB2312" w:eastAsia="仿宋_GB2312" w:cs="仿宋_GB2312"/>
          <w:bCs/>
          <w:i w:val="0"/>
          <w:caps w:val="0"/>
          <w:spacing w:val="0"/>
          <w:kern w:val="0"/>
          <w:sz w:val="28"/>
          <w:szCs w:val="28"/>
        </w:rPr>
      </w:pPr>
      <w:r>
        <w:rPr>
          <w:rFonts w:hint="eastAsia" w:ascii="仿宋_GB2312" w:hAnsi="仿宋_GB2312" w:eastAsia="仿宋_GB2312" w:cs="仿宋_GB2312"/>
          <w:b w:val="0"/>
          <w:bCs/>
          <w:i w:val="0"/>
          <w:caps w:val="0"/>
          <w:spacing w:val="0"/>
          <w:kern w:val="0"/>
          <w:sz w:val="28"/>
          <w:szCs w:val="28"/>
          <w:lang w:val="en-US" w:eastAsia="zh-CN" w:bidi="ar"/>
        </w:rPr>
        <w:t>（1）</w:t>
      </w:r>
      <w:r>
        <w:rPr>
          <w:rFonts w:hint="eastAsia" w:ascii="仿宋_GB2312" w:hAnsi="仿宋_GB2312" w:eastAsia="仿宋_GB2312" w:cs="仿宋_GB2312"/>
          <w:bCs/>
          <w:kern w:val="0"/>
          <w:sz w:val="28"/>
          <w:szCs w:val="28"/>
          <w:lang w:val="en-US" w:eastAsia="zh-CN" w:bidi="ar"/>
        </w:rPr>
        <w:t>检测方案</w:t>
      </w:r>
    </w:p>
    <w:p>
      <w:pPr>
        <w:keepNext w:val="0"/>
        <w:keepLines w:val="0"/>
        <w:widowControl/>
        <w:suppressLineNumbers w:val="0"/>
        <w:spacing w:before="100" w:beforeAutospacing="1" w:after="100" w:afterAutospacing="1" w:line="252" w:lineRule="atLeast"/>
        <w:ind w:left="0" w:firstLine="0"/>
        <w:jc w:val="left"/>
        <w:rPr>
          <w:rFonts w:hint="eastAsia" w:ascii="仿宋_GB2312" w:hAnsi="仿宋_GB2312" w:eastAsia="仿宋_GB2312" w:cs="仿宋_GB2312"/>
          <w:bCs/>
          <w:kern w:val="0"/>
          <w:sz w:val="28"/>
          <w:szCs w:val="28"/>
          <w:lang w:val="en-US" w:eastAsia="zh-CN" w:bidi="ar"/>
        </w:rPr>
      </w:pPr>
      <w:r>
        <w:rPr>
          <w:rFonts w:hint="eastAsia" w:ascii="仿宋_GB2312" w:hAnsi="仿宋_GB2312" w:eastAsia="仿宋_GB2312" w:cs="仿宋_GB2312"/>
          <w:b w:val="0"/>
          <w:bCs/>
          <w:i w:val="0"/>
          <w:caps w:val="0"/>
          <w:spacing w:val="0"/>
          <w:kern w:val="0"/>
          <w:sz w:val="28"/>
          <w:szCs w:val="28"/>
          <w:lang w:val="en-US" w:eastAsia="zh-CN" w:bidi="ar"/>
        </w:rPr>
        <w:t>（2）</w:t>
      </w:r>
      <w:r>
        <w:rPr>
          <w:rFonts w:hint="eastAsia" w:ascii="仿宋_GB2312" w:hAnsi="仿宋_GB2312" w:eastAsia="仿宋_GB2312" w:cs="仿宋_GB2312"/>
          <w:bCs/>
          <w:kern w:val="0"/>
          <w:sz w:val="28"/>
          <w:szCs w:val="28"/>
          <w:lang w:val="en-US" w:eastAsia="zh-CN" w:bidi="ar"/>
        </w:rPr>
        <w:t>检测管理计划及管理措施</w:t>
      </w:r>
    </w:p>
    <w:p>
      <w:pPr>
        <w:keepNext w:val="0"/>
        <w:keepLines w:val="0"/>
        <w:widowControl/>
        <w:suppressLineNumbers w:val="0"/>
        <w:spacing w:before="100" w:beforeAutospacing="1" w:after="100" w:afterAutospacing="1" w:line="252" w:lineRule="atLeast"/>
        <w:ind w:left="0" w:firstLine="0"/>
        <w:jc w:val="left"/>
        <w:rPr>
          <w:rFonts w:hint="eastAsia" w:ascii="仿宋_GB2312" w:hAnsi="仿宋_GB2312" w:eastAsia="仿宋_GB2312" w:cs="仿宋_GB2312"/>
          <w:bCs/>
          <w:i w:val="0"/>
          <w:caps w:val="0"/>
          <w:spacing w:val="0"/>
          <w:kern w:val="0"/>
          <w:sz w:val="28"/>
          <w:szCs w:val="28"/>
        </w:rPr>
      </w:pPr>
      <w:r>
        <w:rPr>
          <w:rFonts w:hint="eastAsia" w:ascii="仿宋_GB2312" w:hAnsi="仿宋_GB2312" w:eastAsia="仿宋_GB2312" w:cs="仿宋_GB2312"/>
          <w:b w:val="0"/>
          <w:bCs/>
          <w:i w:val="0"/>
          <w:caps w:val="0"/>
          <w:spacing w:val="0"/>
          <w:kern w:val="0"/>
          <w:sz w:val="28"/>
          <w:szCs w:val="28"/>
          <w:lang w:val="en-US" w:eastAsia="zh-CN" w:bidi="ar"/>
        </w:rPr>
        <w:t>（3）</w:t>
      </w:r>
      <w:r>
        <w:rPr>
          <w:rFonts w:hint="eastAsia" w:ascii="仿宋_GB2312" w:hAnsi="仿宋_GB2312" w:eastAsia="仿宋_GB2312" w:cs="仿宋_GB2312"/>
          <w:bCs/>
          <w:kern w:val="0"/>
          <w:sz w:val="28"/>
          <w:szCs w:val="28"/>
          <w:lang w:val="en-US" w:eastAsia="zh-CN" w:bidi="ar"/>
        </w:rPr>
        <w:t>质量安全管理措施</w:t>
      </w:r>
    </w:p>
    <w:p>
      <w:pPr>
        <w:keepNext w:val="0"/>
        <w:keepLines w:val="0"/>
        <w:widowControl/>
        <w:suppressLineNumbers w:val="0"/>
        <w:spacing w:before="100" w:beforeAutospacing="1" w:after="100" w:afterAutospacing="1" w:line="252" w:lineRule="atLeast"/>
        <w:ind w:left="0" w:firstLine="0"/>
        <w:jc w:val="left"/>
        <w:rPr>
          <w:rFonts w:hint="eastAsia" w:ascii="仿宋_GB2312" w:hAnsi="仿宋_GB2312" w:eastAsia="仿宋_GB2312" w:cs="仿宋_GB2312"/>
          <w:b w:val="0"/>
          <w:bCs/>
          <w:kern w:val="0"/>
          <w:sz w:val="28"/>
          <w:szCs w:val="28"/>
          <w:lang w:val="en-US" w:eastAsia="zh-CN" w:bidi="ar"/>
        </w:rPr>
      </w:pPr>
      <w:r>
        <w:rPr>
          <w:rFonts w:hint="eastAsia" w:ascii="仿宋_GB2312" w:hAnsi="仿宋_GB2312" w:eastAsia="仿宋_GB2312" w:cs="仿宋_GB2312"/>
          <w:b w:val="0"/>
          <w:bCs/>
          <w:i w:val="0"/>
          <w:caps w:val="0"/>
          <w:spacing w:val="0"/>
          <w:kern w:val="0"/>
          <w:sz w:val="28"/>
          <w:szCs w:val="28"/>
          <w:lang w:val="en-US" w:eastAsia="zh-CN" w:bidi="ar"/>
        </w:rPr>
        <w:t>（4）</w:t>
      </w:r>
      <w:r>
        <w:rPr>
          <w:rFonts w:hint="eastAsia" w:ascii="仿宋_GB2312" w:hAnsi="仿宋_GB2312" w:eastAsia="仿宋_GB2312" w:cs="仿宋_GB2312"/>
          <w:b w:val="0"/>
          <w:bCs/>
          <w:kern w:val="0"/>
          <w:sz w:val="28"/>
          <w:szCs w:val="28"/>
          <w:lang w:val="en-US" w:eastAsia="zh-CN" w:bidi="ar"/>
        </w:rPr>
        <w:t>进度控制措施</w:t>
      </w:r>
    </w:p>
    <w:p>
      <w:pPr>
        <w:keepNext w:val="0"/>
        <w:keepLines w:val="0"/>
        <w:widowControl/>
        <w:suppressLineNumbers w:val="0"/>
        <w:spacing w:before="100" w:beforeAutospacing="1" w:after="100" w:afterAutospacing="1" w:line="252" w:lineRule="atLeast"/>
        <w:ind w:left="0" w:firstLine="0"/>
        <w:jc w:val="left"/>
        <w:rPr>
          <w:rFonts w:hint="eastAsia" w:ascii="仿宋_GB2312" w:hAnsi="仿宋_GB2312" w:eastAsia="仿宋_GB2312" w:cs="仿宋_GB2312"/>
          <w:b w:val="0"/>
          <w:bCs/>
          <w:kern w:val="0"/>
          <w:sz w:val="28"/>
          <w:szCs w:val="28"/>
          <w:lang w:val="en-US" w:eastAsia="zh-CN" w:bidi="ar"/>
        </w:rPr>
      </w:pPr>
      <w:r>
        <w:rPr>
          <w:rFonts w:hint="eastAsia" w:ascii="仿宋_GB2312" w:hAnsi="仿宋_GB2312" w:eastAsia="仿宋_GB2312" w:cs="仿宋_GB2312"/>
          <w:b w:val="0"/>
          <w:bCs/>
          <w:i w:val="0"/>
          <w:caps w:val="0"/>
          <w:spacing w:val="0"/>
          <w:kern w:val="0"/>
          <w:sz w:val="28"/>
          <w:szCs w:val="28"/>
          <w:lang w:val="en-US" w:eastAsia="zh-CN" w:bidi="ar"/>
        </w:rPr>
        <w:t>（5）</w:t>
      </w:r>
      <w:r>
        <w:rPr>
          <w:rFonts w:hint="eastAsia" w:ascii="仿宋_GB2312" w:hAnsi="仿宋_GB2312" w:eastAsia="仿宋_GB2312" w:cs="仿宋_GB2312"/>
          <w:b w:val="0"/>
          <w:bCs/>
          <w:kern w:val="0"/>
          <w:sz w:val="28"/>
          <w:szCs w:val="28"/>
          <w:lang w:val="en-US" w:eastAsia="zh-CN" w:bidi="ar"/>
        </w:rPr>
        <w:t>其他保障性措施</w:t>
      </w:r>
    </w:p>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27"/>
          <w:szCs w:val="27"/>
        </w:rPr>
      </w:pPr>
      <w:r>
        <w:rPr>
          <w:rFonts w:hint="eastAsia" w:ascii="方正仿宋_GBK" w:hAnsi="方正仿宋_GBK" w:eastAsia="方正仿宋_GBK" w:cs="方正仿宋_GBK"/>
          <w:b w:val="0"/>
          <w:i w:val="0"/>
          <w:caps w:val="0"/>
          <w:color w:val="000000"/>
          <w:spacing w:val="0"/>
          <w:kern w:val="0"/>
          <w:sz w:val="24"/>
          <w:szCs w:val="24"/>
          <w:lang w:val="en-US" w:eastAsia="zh-CN" w:bidi="ar"/>
        </w:rPr>
        <w:t>（内容自行编制）</w:t>
      </w: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lang w:val="en-US" w:eastAsia="zh-CN"/>
        </w:rPr>
        <w:sectPr>
          <w:pgSz w:w="11906" w:h="16838"/>
          <w:pgMar w:top="1440" w:right="1803" w:bottom="1440" w:left="1803" w:header="851" w:footer="992" w:gutter="0"/>
          <w:cols w:space="0" w:num="1"/>
          <w:rtlGutter w:val="0"/>
          <w:docGrid w:type="lines" w:linePitch="317" w:charSpace="0"/>
        </w:sectPr>
      </w:pPr>
    </w:p>
    <w:p>
      <w:pPr>
        <w:pStyle w:val="12"/>
        <w:jc w:val="center"/>
        <w:rPr>
          <w:rFonts w:hint="default"/>
          <w:lang w:val="en-US" w:eastAsia="zh-CN"/>
        </w:r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七  合同主要条款</w:t>
      </w:r>
    </w:p>
    <w:p>
      <w:pPr>
        <w:pStyle w:val="12"/>
        <w:rPr>
          <w:rFonts w:hint="eastAsia"/>
          <w:lang w:val="en-US" w:eastAsia="zh-CN"/>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r>
        <w:rPr>
          <w:rFonts w:hint="eastAsia"/>
          <w:b/>
          <w:bCs/>
          <w:sz w:val="36"/>
          <w:szCs w:val="36"/>
        </w:rPr>
        <w:t>重庆东站</w:t>
      </w:r>
      <w:r>
        <w:rPr>
          <w:rFonts w:hint="eastAsia"/>
          <w:b/>
          <w:bCs/>
          <w:sz w:val="36"/>
          <w:szCs w:val="36"/>
          <w:lang w:val="en-US" w:eastAsia="zh-CN"/>
        </w:rPr>
        <w:t xml:space="preserve">        </w:t>
      </w:r>
      <w:r>
        <w:rPr>
          <w:rFonts w:hint="eastAsia"/>
          <w:b/>
          <w:bCs/>
          <w:sz w:val="36"/>
          <w:szCs w:val="36"/>
        </w:rPr>
        <w:t>第三方</w:t>
      </w:r>
      <w:r>
        <w:rPr>
          <w:rFonts w:hint="eastAsia"/>
          <w:b/>
          <w:bCs/>
          <w:sz w:val="36"/>
          <w:szCs w:val="36"/>
          <w:lang w:eastAsia="zh-CN"/>
        </w:rPr>
        <w:t>检测</w:t>
      </w:r>
      <w:r>
        <w:rPr>
          <w:rFonts w:hint="eastAsia"/>
          <w:b/>
          <w:bCs/>
          <w:sz w:val="36"/>
          <w:szCs w:val="36"/>
        </w:rPr>
        <w:t>合同</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1400" w:firstLineChars="500"/>
        <w:rPr>
          <w:rFonts w:hint="eastAsia"/>
          <w:sz w:val="28"/>
          <w:szCs w:val="28"/>
          <w:u w:val="none"/>
        </w:rPr>
      </w:pPr>
    </w:p>
    <w:p>
      <w:pPr>
        <w:ind w:firstLine="1400" w:firstLineChars="500"/>
        <w:rPr>
          <w:rFonts w:hint="default" w:eastAsia="宋体"/>
          <w:sz w:val="28"/>
          <w:szCs w:val="28"/>
          <w:u w:val="none"/>
          <w:lang w:val="en-US" w:eastAsia="zh-CN"/>
        </w:rPr>
      </w:pPr>
      <w:r>
        <w:rPr>
          <w:rFonts w:hint="eastAsia"/>
          <w:sz w:val="28"/>
          <w:szCs w:val="28"/>
          <w:u w:val="none"/>
        </w:rPr>
        <w:t>工程名称：</w:t>
      </w:r>
      <w:r>
        <w:rPr>
          <w:rFonts w:hint="eastAsia"/>
          <w:sz w:val="28"/>
          <w:szCs w:val="28"/>
          <w:u w:val="single"/>
        </w:rPr>
        <w:t>重庆东站</w:t>
      </w:r>
      <w:r>
        <w:rPr>
          <w:rFonts w:hint="eastAsia"/>
          <w:sz w:val="28"/>
          <w:szCs w:val="28"/>
          <w:u w:val="single"/>
          <w:lang w:val="en-US" w:eastAsia="zh-CN"/>
        </w:rPr>
        <w:t xml:space="preserve">                      </w:t>
      </w:r>
    </w:p>
    <w:p>
      <w:pPr>
        <w:ind w:firstLine="1400" w:firstLineChars="500"/>
        <w:rPr>
          <w:rFonts w:hint="eastAsia"/>
          <w:sz w:val="28"/>
          <w:szCs w:val="28"/>
          <w:u w:val="none"/>
        </w:rPr>
      </w:pPr>
      <w:r>
        <w:rPr>
          <w:rFonts w:hint="eastAsia"/>
          <w:sz w:val="28"/>
          <w:szCs w:val="28"/>
          <w:u w:val="none"/>
        </w:rPr>
        <w:t>甲 方：</w:t>
      </w:r>
      <w:r>
        <w:rPr>
          <w:rFonts w:hint="eastAsia"/>
          <w:sz w:val="28"/>
          <w:szCs w:val="28"/>
          <w:u w:val="single"/>
        </w:rPr>
        <w:t>重庆城市综合交通枢纽(集团)有限公司</w:t>
      </w:r>
    </w:p>
    <w:p>
      <w:pPr>
        <w:ind w:firstLine="1400" w:firstLineChars="500"/>
        <w:rPr>
          <w:rFonts w:hint="default" w:eastAsia="宋体"/>
          <w:sz w:val="28"/>
          <w:szCs w:val="28"/>
          <w:u w:val="none"/>
          <w:lang w:val="en-US" w:eastAsia="zh-CN"/>
        </w:rPr>
        <w:sectPr>
          <w:pgSz w:w="11906" w:h="16838"/>
          <w:pgMar w:top="1440" w:right="1803" w:bottom="1440" w:left="1803" w:header="851" w:footer="992" w:gutter="0"/>
          <w:cols w:space="0" w:num="1"/>
          <w:rtlGutter w:val="0"/>
          <w:docGrid w:type="lines" w:linePitch="317" w:charSpace="0"/>
        </w:sectPr>
      </w:pPr>
      <w:r>
        <w:rPr>
          <w:rFonts w:hint="eastAsia"/>
          <w:sz w:val="28"/>
          <w:szCs w:val="28"/>
          <w:u w:val="none"/>
        </w:rPr>
        <w:t>乙 方：</w:t>
      </w:r>
      <w:r>
        <w:rPr>
          <w:rFonts w:hint="eastAsia"/>
          <w:sz w:val="28"/>
          <w:szCs w:val="28"/>
          <w:u w:val="none"/>
          <w:lang w:val="en-US" w:eastAsia="zh-CN"/>
        </w:rPr>
        <w:t xml:space="preserve">                                 </w:t>
      </w:r>
    </w:p>
    <w:p>
      <w:pPr>
        <w:pStyle w:val="3"/>
        <w:ind w:left="4238" w:leftChars="599" w:right="0" w:hanging="2980" w:hangingChars="964"/>
        <w:rPr>
          <w:rFonts w:hint="eastAsia" w:asciiTheme="minorEastAsia" w:hAnsiTheme="minorEastAsia" w:eastAsiaTheme="minorEastAsia" w:cstheme="minorEastAsia"/>
          <w:b/>
          <w:bCs/>
          <w:spacing w:val="14"/>
          <w:kern w:val="0"/>
          <w:sz w:val="28"/>
          <w:szCs w:val="28"/>
          <w:highlight w:val="none"/>
          <w:lang w:val="en-US" w:eastAsia="en-US"/>
        </w:rPr>
      </w:pPr>
      <w:r>
        <w:rPr>
          <w:rFonts w:hint="eastAsia" w:asciiTheme="minorEastAsia" w:hAnsiTheme="minorEastAsia" w:eastAsiaTheme="minorEastAsia" w:cstheme="minorEastAsia"/>
          <w:b/>
          <w:bCs/>
          <w:spacing w:val="14"/>
          <w:kern w:val="0"/>
          <w:sz w:val="28"/>
          <w:szCs w:val="28"/>
          <w:highlight w:val="none"/>
          <w:lang w:eastAsia="en-US"/>
        </w:rPr>
        <w:t>重庆东站</w:t>
      </w:r>
      <w:r>
        <w:rPr>
          <w:rFonts w:hint="eastAsia" w:asciiTheme="minorEastAsia" w:hAnsiTheme="minorEastAsia" w:eastAsiaTheme="minorEastAsia" w:cstheme="minorEastAsia"/>
          <w:b/>
          <w:bCs/>
          <w:spacing w:val="14"/>
          <w:kern w:val="0"/>
          <w:sz w:val="28"/>
          <w:szCs w:val="28"/>
          <w:highlight w:val="none"/>
          <w:lang w:val="en-US" w:eastAsia="zh-CN"/>
        </w:rPr>
        <w:t xml:space="preserve">                     </w:t>
      </w:r>
      <w:r>
        <w:rPr>
          <w:rFonts w:hint="eastAsia" w:asciiTheme="minorEastAsia" w:hAnsiTheme="minorEastAsia" w:eastAsiaTheme="minorEastAsia" w:cstheme="minorEastAsia"/>
          <w:b/>
          <w:bCs/>
          <w:spacing w:val="14"/>
          <w:kern w:val="0"/>
          <w:sz w:val="28"/>
          <w:szCs w:val="28"/>
          <w:highlight w:val="none"/>
          <w:lang w:eastAsia="en-US"/>
        </w:rPr>
        <w:t>第三方</w:t>
      </w:r>
      <w:r>
        <w:rPr>
          <w:rFonts w:hint="eastAsia" w:asciiTheme="minorEastAsia" w:hAnsiTheme="minorEastAsia" w:eastAsiaTheme="minorEastAsia" w:cstheme="minorEastAsia"/>
          <w:b/>
          <w:bCs/>
          <w:spacing w:val="14"/>
          <w:kern w:val="0"/>
          <w:sz w:val="28"/>
          <w:szCs w:val="28"/>
          <w:highlight w:val="none"/>
          <w:lang w:val="en-US" w:eastAsia="zh-CN"/>
        </w:rPr>
        <w:t>检测</w:t>
      </w:r>
      <w:r>
        <w:rPr>
          <w:rFonts w:hint="eastAsia" w:asciiTheme="minorEastAsia" w:hAnsiTheme="minorEastAsia" w:eastAsiaTheme="minorEastAsia" w:cstheme="minorEastAsia"/>
          <w:b/>
          <w:bCs/>
          <w:spacing w:val="14"/>
          <w:kern w:val="0"/>
          <w:sz w:val="28"/>
          <w:szCs w:val="28"/>
          <w:highlight w:val="none"/>
          <w:lang w:val="en-US" w:eastAsia="en-US"/>
        </w:rPr>
        <w:t>合同</w:t>
      </w:r>
    </w:p>
    <w:p>
      <w:pPr>
        <w:keepNext w:val="0"/>
        <w:keepLines w:val="0"/>
        <w:pageBreakBefore w:val="0"/>
        <w:widowControl w:val="0"/>
        <w:kinsoku/>
        <w:wordWrap/>
        <w:overflowPunct/>
        <w:topLinePunct w:val="0"/>
        <w:autoSpaceDE/>
        <w:autoSpaceDN/>
        <w:bidi w:val="0"/>
        <w:adjustRightInd/>
        <w:snapToGrid/>
        <w:spacing w:line="440" w:lineRule="exact"/>
        <w:ind w:right="2971"/>
        <w:jc w:val="left"/>
        <w:textAlignment w:val="auto"/>
        <w:rPr>
          <w:rFonts w:hint="eastAsia" w:asciiTheme="minorEastAsia" w:hAnsiTheme="minorEastAsia" w:eastAsiaTheme="minorEastAsia" w:cstheme="minorEastAsia"/>
          <w:b/>
          <w:bCs/>
          <w:spacing w:val="29"/>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u w:val="none"/>
          <w:lang w:val="en-US" w:eastAsia="zh-CN"/>
        </w:rPr>
      </w:pPr>
      <w:r>
        <w:rPr>
          <w:rFonts w:hint="eastAsia"/>
          <w:sz w:val="24"/>
          <w:szCs w:val="24"/>
          <w:u w:val="none"/>
          <w:lang w:val="en-US" w:eastAsia="zh-CN"/>
        </w:rPr>
        <w:t>甲 方：重庆城市综合交通枢纽(集团)有限公司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u w:val="none"/>
          <w:lang w:val="en-US" w:eastAsia="zh-CN"/>
        </w:rPr>
      </w:pPr>
      <w:r>
        <w:rPr>
          <w:rFonts w:hint="eastAsia"/>
          <w:sz w:val="24"/>
          <w:szCs w:val="24"/>
          <w:u w:val="none"/>
          <w:lang w:val="en-US" w:eastAsia="zh-CN"/>
        </w:rPr>
        <w:t>乙 方：</w:t>
      </w:r>
    </w:p>
    <w:p>
      <w:pPr>
        <w:spacing w:line="360" w:lineRule="auto"/>
        <w:ind w:firstLine="420" w:firstLineChars="200"/>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根据</w:t>
      </w:r>
      <w:r>
        <w:rPr>
          <w:rFonts w:hint="eastAsia" w:cs="Times New Roman"/>
          <w:sz w:val="21"/>
          <w:szCs w:val="20"/>
          <w:lang w:val="en-US" w:eastAsia="zh-CN"/>
        </w:rPr>
        <w:t>《</w:t>
      </w:r>
      <w:r>
        <w:rPr>
          <w:rFonts w:hint="eastAsia" w:ascii="Times New Roman" w:hAnsi="Times New Roman" w:eastAsia="宋体" w:cs="Times New Roman"/>
          <w:sz w:val="21"/>
          <w:szCs w:val="20"/>
          <w:lang w:val="en-US" w:eastAsia="zh-CN"/>
        </w:rPr>
        <w:t>民法典</w:t>
      </w:r>
      <w:r>
        <w:rPr>
          <w:rFonts w:hint="eastAsia" w:cs="Times New Roman"/>
          <w:sz w:val="21"/>
          <w:szCs w:val="20"/>
          <w:lang w:val="en-US" w:eastAsia="zh-CN"/>
        </w:rPr>
        <w:t>》</w:t>
      </w:r>
      <w:r>
        <w:rPr>
          <w:rFonts w:hint="eastAsia" w:ascii="Times New Roman" w:hAnsi="Times New Roman" w:eastAsia="宋体" w:cs="Times New Roman"/>
          <w:sz w:val="21"/>
          <w:szCs w:val="20"/>
          <w:lang w:val="en-US" w:eastAsia="zh-CN"/>
        </w:rPr>
        <w:t xml:space="preserve">及相关法律规定，结合市政工程检测试验的特点，甲乙两方在平等、互利、协商一致的基础上，就乙方承接重庆东站电力管廊一期工程第三方检测，签订本合同： </w:t>
      </w:r>
    </w:p>
    <w:p>
      <w:pPr>
        <w:spacing w:line="360" w:lineRule="auto"/>
        <w:rPr>
          <w:rFonts w:hint="eastAsia" w:ascii="Times New Roman" w:hAnsi="Times New Roman" w:eastAsia="宋体" w:cs="Times New Roman"/>
          <w:b w:val="0"/>
          <w:bCs w:val="0"/>
          <w:sz w:val="21"/>
          <w:szCs w:val="20"/>
          <w:lang w:val="en-US" w:eastAsia="zh-CN"/>
        </w:rPr>
      </w:pPr>
    </w:p>
    <w:p>
      <w:pPr>
        <w:spacing w:line="360" w:lineRule="auto"/>
        <w:ind w:firstLine="0" w:firstLineChars="0"/>
        <w:rPr>
          <w:rFonts w:hint="eastAsia" w:ascii="Times New Roman" w:hAnsi="Times New Roman" w:eastAsia="宋体" w:cs="Times New Roman"/>
          <w:b w:val="0"/>
          <w:bCs w:val="0"/>
          <w:sz w:val="21"/>
          <w:szCs w:val="20"/>
        </w:rPr>
      </w:pPr>
      <w:r>
        <w:rPr>
          <w:rFonts w:hint="eastAsia" w:ascii="Times New Roman" w:hAnsi="Times New Roman" w:eastAsia="宋体" w:cs="Times New Roman"/>
          <w:b w:val="0"/>
          <w:bCs w:val="0"/>
          <w:sz w:val="21"/>
          <w:szCs w:val="20"/>
          <w:lang w:val="en-US" w:eastAsia="zh-CN"/>
        </w:rPr>
        <w:t xml:space="preserve">一、工程概况 </w:t>
      </w:r>
    </w:p>
    <w:p>
      <w:pPr>
        <w:spacing w:line="360" w:lineRule="auto"/>
        <w:ind w:firstLine="0" w:firstLineChars="0"/>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1.工程名称：重庆东站电力管廊一期工程第三方检测。 </w:t>
      </w:r>
    </w:p>
    <w:p>
      <w:pPr>
        <w:spacing w:line="360" w:lineRule="auto"/>
        <w:ind w:firstLine="0" w:firstLineChars="0"/>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2.工程地址：重庆市茶园片区。 </w:t>
      </w:r>
    </w:p>
    <w:p>
      <w:pPr>
        <w:spacing w:line="360" w:lineRule="auto"/>
        <w:ind w:firstLine="0" w:firstLineChars="0"/>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3.甲方（建设单位）：重庆城市综合交通枢纽(集团)有限公司。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4.总承包施工单位：</w:t>
      </w:r>
    </w:p>
    <w:p>
      <w:pPr>
        <w:spacing w:line="360" w:lineRule="auto"/>
        <w:ind w:firstLine="0" w:firstLineChars="0"/>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5.项目规模及概况： </w:t>
      </w:r>
    </w:p>
    <w:p>
      <w:pPr>
        <w:spacing w:line="360" w:lineRule="auto"/>
        <w:ind w:firstLine="0" w:firstLineChars="0"/>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进场后由于建设条件变化发生的变更，由甲方、监理、设计、施工单位共同协商确定，最终以甲方通知为准，</w:t>
      </w:r>
      <w:r>
        <w:rPr>
          <w:rFonts w:hint="eastAsia" w:ascii="Times New Roman" w:hAnsi="Times New Roman" w:eastAsia="宋体" w:cs="Times New Roman"/>
          <w:sz w:val="21"/>
          <w:szCs w:val="20"/>
          <w:lang w:eastAsia="zh-CN"/>
        </w:rPr>
        <w:t>乙方</w:t>
      </w:r>
      <w:r>
        <w:rPr>
          <w:rFonts w:hint="eastAsia" w:ascii="Times New Roman" w:hAnsi="Times New Roman" w:eastAsia="宋体" w:cs="Times New Roman"/>
          <w:sz w:val="21"/>
          <w:szCs w:val="20"/>
          <w:lang w:val="en-US" w:eastAsia="zh-CN"/>
        </w:rPr>
        <w:t xml:space="preserve">应自行考虑相关风险并制定相应的对策措施。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6.开工日期和检测服务期：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具体开工时间以甲方通知为准。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检测服务期：完成项目施工阶段及缺陷责任期全过程试验检测服务。本项目计划施工工期为304日历日，缺陷责任期两年。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7.检测质量要求：符合国家、重庆市相关技术标准、规范以及设计要求。 </w:t>
      </w:r>
    </w:p>
    <w:p>
      <w:pPr>
        <w:spacing w:line="360" w:lineRule="auto"/>
        <w:ind w:firstLine="0" w:firstLineChars="0"/>
        <w:rPr>
          <w:rFonts w:hint="eastAsia" w:ascii="Times New Roman" w:hAnsi="Times New Roman" w:eastAsia="宋体" w:cs="Times New Roman"/>
          <w:b w:val="0"/>
          <w:bCs w:val="0"/>
          <w:sz w:val="21"/>
          <w:szCs w:val="20"/>
        </w:rPr>
      </w:pPr>
      <w:r>
        <w:rPr>
          <w:rFonts w:hint="eastAsia" w:ascii="Times New Roman" w:hAnsi="Times New Roman" w:eastAsia="宋体" w:cs="Times New Roman"/>
          <w:b w:val="0"/>
          <w:bCs w:val="0"/>
          <w:sz w:val="21"/>
          <w:szCs w:val="20"/>
          <w:lang w:val="en-US" w:eastAsia="zh-CN"/>
        </w:rPr>
        <w:t xml:space="preserve">二、检测范围 </w:t>
      </w:r>
    </w:p>
    <w:p>
      <w:pPr>
        <w:spacing w:beforeLines="-2147483648" w:afterLines="-2147483648" w:line="360" w:lineRule="auto"/>
        <w:ind w:firstLine="0" w:firstLineChars="0"/>
        <w:rPr>
          <w:rFonts w:hint="eastAsia" w:ascii="Times New Roman" w:hAnsi="Times New Roman" w:eastAsia="宋体" w:cs="Times New Roman"/>
          <w:sz w:val="21"/>
          <w:szCs w:val="20"/>
          <w:lang w:eastAsia="zh-CN"/>
        </w:rPr>
      </w:pPr>
      <w:r>
        <w:rPr>
          <w:rFonts w:hint="eastAsia" w:ascii="Times New Roman" w:hAnsi="Times New Roman" w:eastAsia="宋体" w:cs="Times New Roman"/>
          <w:sz w:val="21"/>
          <w:szCs w:val="20"/>
        </w:rPr>
        <w:t>（</w:t>
      </w:r>
      <w:r>
        <w:rPr>
          <w:rFonts w:hint="eastAsia" w:ascii="Times New Roman" w:hAnsi="Times New Roman" w:eastAsia="宋体" w:cs="Times New Roman"/>
          <w:sz w:val="21"/>
          <w:szCs w:val="20"/>
          <w:lang w:val="en-US" w:eastAsia="zh-CN"/>
        </w:rPr>
        <w:t>一</w:t>
      </w:r>
      <w:r>
        <w:rPr>
          <w:rFonts w:hint="eastAsia" w:ascii="Times New Roman" w:hAnsi="Times New Roman" w:eastAsia="宋体" w:cs="Times New Roman"/>
          <w:sz w:val="21"/>
          <w:szCs w:val="20"/>
        </w:rPr>
        <w:t>）第三方</w:t>
      </w:r>
      <w:r>
        <w:rPr>
          <w:rFonts w:hint="eastAsia" w:ascii="Times New Roman" w:hAnsi="Times New Roman" w:eastAsia="宋体" w:cs="Times New Roman"/>
          <w:sz w:val="21"/>
          <w:szCs w:val="20"/>
          <w:lang w:eastAsia="zh-CN"/>
        </w:rPr>
        <w:t>检测</w:t>
      </w:r>
    </w:p>
    <w:p>
      <w:pPr>
        <w:numPr>
          <w:ilvl w:val="-1"/>
          <w:numId w:val="0"/>
        </w:numPr>
        <w:spacing w:line="360" w:lineRule="auto"/>
        <w:ind w:firstLine="0" w:firstLineChars="0"/>
        <w:jc w:val="left"/>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本工程建设包含土石方工程、</w:t>
      </w:r>
      <w:r>
        <w:rPr>
          <w:rFonts w:hint="eastAsia" w:ascii="Times New Roman" w:hAnsi="Times New Roman" w:eastAsia="宋体" w:cs="Times New Roman"/>
          <w:sz w:val="21"/>
          <w:szCs w:val="20"/>
          <w:lang w:val="en-US" w:eastAsia="zh-CN"/>
        </w:rPr>
        <w:t>主体结构工程</w:t>
      </w:r>
      <w:r>
        <w:rPr>
          <w:rFonts w:hint="eastAsia" w:ascii="Times New Roman" w:hAnsi="Times New Roman" w:eastAsia="宋体" w:cs="Times New Roman"/>
          <w:sz w:val="21"/>
          <w:szCs w:val="20"/>
        </w:rPr>
        <w:t>等施工设计图范围中的全部内容，本次</w:t>
      </w:r>
      <w:r>
        <w:rPr>
          <w:rFonts w:hint="eastAsia" w:ascii="Times New Roman" w:hAnsi="Times New Roman" w:eastAsia="宋体" w:cs="Times New Roman"/>
          <w:sz w:val="21"/>
          <w:szCs w:val="20"/>
          <w:lang w:val="en-US" w:eastAsia="zh-CN"/>
        </w:rPr>
        <w:t>第</w:t>
      </w:r>
      <w:r>
        <w:rPr>
          <w:rFonts w:hint="eastAsia" w:ascii="Times New Roman" w:hAnsi="Times New Roman" w:eastAsia="宋体" w:cs="Times New Roman"/>
          <w:sz w:val="21"/>
          <w:szCs w:val="20"/>
        </w:rPr>
        <w:t>三方检测招标具体范围以法律法规标准规范、本工程相关设计及技术文件规定的检测项目为准，包括但不限于以下内容：</w:t>
      </w:r>
    </w:p>
    <w:p>
      <w:pPr>
        <w:numPr>
          <w:ilvl w:val="-1"/>
          <w:numId w:val="0"/>
        </w:numPr>
        <w:spacing w:line="360" w:lineRule="auto"/>
        <w:ind w:firstLine="0" w:firstLineChars="0"/>
        <w:jc w:val="left"/>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①一般试验检测项目（包括但不限于：对工程材料、构件、建筑安装物、半成品、成品进行的一般质量鉴定、检测和试验等项目）；</w:t>
      </w:r>
    </w:p>
    <w:p>
      <w:pPr>
        <w:numPr>
          <w:ilvl w:val="-1"/>
          <w:numId w:val="0"/>
        </w:numPr>
        <w:spacing w:line="360" w:lineRule="auto"/>
        <w:ind w:firstLine="0" w:firstLineChars="0"/>
        <w:jc w:val="left"/>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②专项试验检测项目（包括但不限于：焊缝超声波检测、路基弯沉值试验、锚固试验、锚杆抗拔检验、保温层隔热检测等项目）；</w:t>
      </w:r>
    </w:p>
    <w:p>
      <w:pPr>
        <w:numPr>
          <w:ilvl w:val="-1"/>
          <w:numId w:val="0"/>
        </w:numPr>
        <w:spacing w:line="360" w:lineRule="auto"/>
        <w:ind w:firstLine="0" w:firstLineChars="0"/>
        <w:jc w:val="left"/>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（2）检测管理</w:t>
      </w:r>
    </w:p>
    <w:p>
      <w:pPr>
        <w:numPr>
          <w:ilvl w:val="-1"/>
          <w:numId w:val="0"/>
        </w:numPr>
        <w:spacing w:line="360" w:lineRule="auto"/>
        <w:ind w:firstLine="0" w:firstLineChars="0"/>
        <w:jc w:val="left"/>
        <w:rPr>
          <w:rFonts w:hint="eastAsia" w:ascii="Times New Roman" w:hAnsi="Times New Roman" w:eastAsia="宋体" w:cs="Times New Roman"/>
          <w:sz w:val="21"/>
          <w:szCs w:val="20"/>
        </w:rPr>
      </w:pPr>
      <w:r>
        <w:rPr>
          <w:rFonts w:hint="eastAsia" w:ascii="Times New Roman" w:hAnsi="Times New Roman" w:eastAsia="宋体" w:cs="Times New Roman"/>
          <w:sz w:val="21"/>
          <w:szCs w:val="20"/>
        </w:rPr>
        <w:t>对建设单位委托的工作范围内的施工检测实施检测监督管理，包括但不限于工程质量的检测、评定方案的编制、审查，现场检测，检测分析评定以及处理方案等工作，确保对施工现场的各项质量的整体监督把控、协助建设单位建好质量安全风险总体控制体系。</w:t>
      </w:r>
    </w:p>
    <w:p>
      <w:pPr>
        <w:spacing w:line="360" w:lineRule="auto"/>
        <w:ind w:firstLine="0" w:firstLineChars="0"/>
        <w:rPr>
          <w:rFonts w:hint="eastAsia" w:ascii="Times New Roman" w:hAnsi="Times New Roman" w:eastAsia="宋体" w:cs="Times New Roman"/>
          <w:sz w:val="21"/>
          <w:szCs w:val="20"/>
        </w:rPr>
      </w:pPr>
      <w:r>
        <w:rPr>
          <w:rFonts w:hint="eastAsia" w:ascii="Times New Roman" w:hAnsi="Times New Roman" w:eastAsia="宋体" w:cs="Times New Roman"/>
          <w:b w:val="0"/>
          <w:bCs w:val="0"/>
          <w:sz w:val="21"/>
          <w:szCs w:val="20"/>
          <w:lang w:val="en-US" w:eastAsia="zh-CN"/>
        </w:rPr>
        <w:t>三、双方权利义务</w:t>
      </w:r>
      <w:r>
        <w:rPr>
          <w:rFonts w:hint="eastAsia" w:ascii="Times New Roman" w:hAnsi="Times New Roman" w:eastAsia="宋体" w:cs="Times New Roman"/>
          <w:sz w:val="21"/>
          <w:szCs w:val="20"/>
          <w:lang w:val="en-US" w:eastAsia="zh-CN"/>
        </w:rPr>
        <w:t xml:space="preserve">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1、甲方权利和义务：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（1) 在收到乙方的支付申请，经审核合格后按本合同的约定支付检测费。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（2）提供本工程与检测有关的技术资料及文件。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（3）对检测工作有特殊要求或变更时，应以书面形式通知乙方。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（4）负责检测工作期间的配合工作。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（5）对乙方提供的检测实施方案进行确认。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（6）甲方对在建工程的各类检测数据有知情权，在检测过程中，甲方可随时查询有关检测数据。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2、乙方权利和义务：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（1）向甲方提供相应的资质证书材料及其它相关的证明材料。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（2）乙方依据甲方委托，应依据国家现行有效的规范、规程、标准进行检测，检测数据应及时上传甲方管理平台。并按检测时间承诺，及时出具准确、真实、公正的检测报告，保证项目通过各项验收。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（3）乙方对发现的重大质量问题（如水泥安定性不合格、实际检测结果达不到设计要求等），及时向甲方通报。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（4）提供检测咨询服务，指导甲方抽样送检工作。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（5）处理好与参建单位的关系，接受监理单位的统筹协调与管理。主动配合甲方接受有关部门的检查、监督及验收。现场负责人：</w:t>
      </w:r>
      <w:r>
        <w:rPr>
          <w:rFonts w:hint="eastAsia" w:ascii="Times New Roman" w:hAnsi="Times New Roman" w:eastAsia="宋体" w:cs="Times New Roman"/>
          <w:sz w:val="21"/>
          <w:szCs w:val="20"/>
          <w:u w:val="none"/>
          <w:lang w:val="en-US" w:eastAsia="zh-CN"/>
        </w:rPr>
        <w:t xml:space="preserve">    </w:t>
      </w:r>
      <w:r>
        <w:rPr>
          <w:rFonts w:hint="eastAsia" w:ascii="Times New Roman" w:hAnsi="Times New Roman" w:eastAsia="宋体" w:cs="Times New Roman"/>
          <w:sz w:val="21"/>
          <w:szCs w:val="20"/>
          <w:lang w:val="en-US" w:eastAsia="zh-CN"/>
        </w:rPr>
        <w:t>，电话：</w:t>
      </w:r>
      <w:r>
        <w:rPr>
          <w:rFonts w:hint="eastAsia" w:ascii="Times New Roman" w:hAnsi="Times New Roman" w:eastAsia="宋体" w:cs="Times New Roman"/>
          <w:sz w:val="21"/>
          <w:szCs w:val="20"/>
          <w:u w:val="none"/>
          <w:lang w:val="en-US" w:eastAsia="zh-CN"/>
        </w:rPr>
        <w:t xml:space="preserve">     </w:t>
      </w:r>
      <w:r>
        <w:rPr>
          <w:rFonts w:hint="eastAsia" w:ascii="Times New Roman" w:hAnsi="Times New Roman" w:eastAsia="宋体" w:cs="Times New Roman"/>
          <w:sz w:val="21"/>
          <w:szCs w:val="20"/>
          <w:lang w:val="en-US" w:eastAsia="zh-CN"/>
        </w:rPr>
        <w:t xml:space="preserve">。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（6）取样工作由乙方派专人上门进行取样。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（7）有国家审计的，乙方应无条件配合国家审计，无条件提供国家审计所需的一切材料，并严格执行审计报告决定。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（8）乙方资质范围内的试验检测项目禁止分包，否则，甲方有权解除本合同，乙方应当向甲方支付合同总金额 20%的违约金，并赔偿甲方因此所遭受的损失。允许分包的试验检测项目仅限于乙方资质范围以外的试验检测项目，乙方对分包单位的行为及检测结果承担连带责任。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（9）本工程项目范围内，甲方或主管部门认为应进行的检测，乙方应无条件配合，该费用已包含于合同总价中，甲方不再额外支付费用。</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b w:val="0"/>
          <w:bCs w:val="0"/>
          <w:sz w:val="21"/>
          <w:szCs w:val="20"/>
          <w:lang w:val="en-US" w:eastAsia="zh-CN"/>
        </w:rPr>
        <w:t>四、合同金额及付款</w:t>
      </w:r>
      <w:r>
        <w:rPr>
          <w:rFonts w:hint="eastAsia" w:ascii="Times New Roman" w:hAnsi="Times New Roman" w:eastAsia="宋体" w:cs="Times New Roman"/>
          <w:sz w:val="21"/>
          <w:szCs w:val="20"/>
          <w:lang w:val="en-US" w:eastAsia="zh-CN"/>
        </w:rPr>
        <w:t xml:space="preserve">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1、合同暂定全过程试验检测费：</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本项目试验检测包干费率为：    %。暂定全过程试验检测费为：¥      元（大写：   ）（计费基数暂按施工单位中标金额</w:t>
      </w:r>
      <w:r>
        <w:rPr>
          <w:rFonts w:hint="eastAsia" w:ascii="Times New Roman" w:hAnsi="Times New Roman" w:eastAsia="宋体" w:cs="Times New Roman"/>
          <w:b w:val="0"/>
          <w:bCs w:val="0"/>
          <w:sz w:val="21"/>
          <w:szCs w:val="20"/>
          <w:lang w:val="en-US" w:eastAsia="zh-CN"/>
        </w:rPr>
        <w:t>8969.73</w:t>
      </w:r>
      <w:r>
        <w:rPr>
          <w:rFonts w:hint="eastAsia" w:ascii="Times New Roman" w:hAnsi="Times New Roman" w:eastAsia="宋体" w:cs="Times New Roman"/>
          <w:sz w:val="21"/>
          <w:szCs w:val="20"/>
          <w:lang w:val="en-US" w:eastAsia="zh-CN"/>
        </w:rPr>
        <w:t>万元计算）</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本项目试验检测包干费率不因一切原因调整（包括但不限于国家法律法规，市场价格变化、技术规范、工期调整，因甲方、监理单位、相关部门要求增加的检测内容等）。全过程试验检测费包括完成本项目试验检测的全部费用，包括但不限于试验检测的成本、技术工作费、人工费、材料费、二维码标签、检测仪器设备使用费、利润、规费、税金、开办费、措施费、配合费（含智慧工地建设的配合费）、设备进出场费、管理费等所有费用。除</w:t>
      </w:r>
      <w:r>
        <w:rPr>
          <w:rFonts w:hint="eastAsia" w:cs="Times New Roman"/>
          <w:sz w:val="21"/>
          <w:szCs w:val="20"/>
          <w:lang w:val="en-US" w:eastAsia="zh-CN"/>
        </w:rPr>
        <w:t>上述费用或本合同另有约定外，甲方</w:t>
      </w:r>
      <w:r>
        <w:rPr>
          <w:rFonts w:hint="eastAsia" w:ascii="Times New Roman" w:hAnsi="Times New Roman" w:eastAsia="宋体" w:cs="Times New Roman"/>
          <w:sz w:val="21"/>
          <w:szCs w:val="20"/>
          <w:lang w:val="en-US" w:eastAsia="zh-CN"/>
        </w:rPr>
        <w:t>不</w:t>
      </w:r>
      <w:r>
        <w:rPr>
          <w:rFonts w:hint="eastAsia" w:cs="Times New Roman"/>
          <w:sz w:val="21"/>
          <w:szCs w:val="20"/>
          <w:lang w:val="en-US" w:eastAsia="zh-CN"/>
        </w:rPr>
        <w:t>再另行</w:t>
      </w:r>
      <w:r>
        <w:rPr>
          <w:rFonts w:hint="eastAsia" w:ascii="Times New Roman" w:hAnsi="Times New Roman" w:eastAsia="宋体" w:cs="Times New Roman"/>
          <w:sz w:val="21"/>
          <w:szCs w:val="20"/>
          <w:lang w:val="en-US" w:eastAsia="zh-CN"/>
        </w:rPr>
        <w:t>支付其</w:t>
      </w:r>
      <w:r>
        <w:rPr>
          <w:rFonts w:hint="eastAsia" w:cs="Times New Roman"/>
          <w:sz w:val="21"/>
          <w:szCs w:val="20"/>
          <w:lang w:val="en-US" w:eastAsia="zh-CN"/>
        </w:rPr>
        <w:t>他</w:t>
      </w:r>
      <w:r>
        <w:rPr>
          <w:rFonts w:hint="eastAsia" w:ascii="Times New Roman" w:hAnsi="Times New Roman" w:eastAsia="宋体" w:cs="Times New Roman"/>
          <w:sz w:val="21"/>
          <w:szCs w:val="20"/>
          <w:lang w:val="en-US" w:eastAsia="zh-CN"/>
        </w:rPr>
        <w:t xml:space="preserve">费用。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2、最终结算全过程试验检测费=本项目结算审计施工合同金额（第三方审定结算价，如有国家审计，按国家审计结算价）×本项目试验检测包干费率±合同约定的其他金额。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3、支付方式：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①合同签订且项目正式开工后30工作日内，甲方向乙方支付至暂定合同金额的10%，即  元；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②经甲方、监理人和全过程造价控制单位（若有）确定的施工累计计量金额达到暂定施工合同签约价的40%时，甲方向乙方支付至暂定合同金额的40%，即   元；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③经甲方、监理人和全过程造价控制单位（若有）确定的施工累计计量金额达到暂定施工合同签约价的60%时，甲方向乙方支付至暂定合同金额的60%，即</w:t>
      </w:r>
      <w:r>
        <w:rPr>
          <w:rFonts w:hint="eastAsia" w:ascii="Times New Roman" w:hAnsi="Times New Roman" w:eastAsia="宋体" w:cs="Times New Roman"/>
          <w:sz w:val="21"/>
          <w:szCs w:val="20"/>
          <w:u w:val="none"/>
          <w:lang w:val="en-US" w:eastAsia="zh-CN"/>
        </w:rPr>
        <w:t xml:space="preserve">   </w:t>
      </w:r>
      <w:r>
        <w:rPr>
          <w:rFonts w:hint="eastAsia" w:ascii="Times New Roman" w:hAnsi="Times New Roman" w:eastAsia="宋体" w:cs="Times New Roman"/>
          <w:sz w:val="21"/>
          <w:szCs w:val="20"/>
          <w:lang w:val="en-US" w:eastAsia="zh-CN"/>
        </w:rPr>
        <w:t xml:space="preserve">元；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④本项目竣工验收合格后支付至暂定合同金额的80%，即   元。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⑤本工程竣工验收通过并移交合格的竣工资料之日起一年内，若国家未组织审计，甲方向乙方支付至</w:t>
      </w:r>
      <w:r>
        <w:rPr>
          <w:rFonts w:hint="eastAsia" w:cs="Times New Roman"/>
          <w:sz w:val="21"/>
          <w:szCs w:val="20"/>
          <w:lang w:val="en-US" w:eastAsia="zh-CN"/>
        </w:rPr>
        <w:t>按</w:t>
      </w:r>
      <w:r>
        <w:rPr>
          <w:rFonts w:hint="eastAsia" w:ascii="Times New Roman" w:hAnsi="Times New Roman" w:eastAsia="宋体" w:cs="Times New Roman"/>
          <w:sz w:val="21"/>
          <w:szCs w:val="20"/>
          <w:lang w:val="en-US" w:eastAsia="zh-CN"/>
        </w:rPr>
        <w:t>第三方审核单位审定的竣工结算金额</w:t>
      </w:r>
      <w:r>
        <w:rPr>
          <w:rFonts w:hint="eastAsia" w:cs="Times New Roman"/>
          <w:sz w:val="21"/>
          <w:szCs w:val="20"/>
          <w:lang w:val="en-US" w:eastAsia="zh-CN"/>
        </w:rPr>
        <w:t>为基数计算的</w:t>
      </w:r>
      <w:r>
        <w:rPr>
          <w:rFonts w:hint="eastAsia" w:ascii="Times New Roman" w:hAnsi="Times New Roman" w:eastAsia="宋体" w:cs="Times New Roman"/>
          <w:sz w:val="21"/>
          <w:szCs w:val="20"/>
          <w:lang w:val="en-US" w:eastAsia="zh-CN"/>
        </w:rPr>
        <w:t>最终结算全过程试验检测费的94%，工程通过国家审计后，工程款支付至</w:t>
      </w:r>
      <w:r>
        <w:rPr>
          <w:rFonts w:hint="eastAsia" w:cs="Times New Roman"/>
          <w:sz w:val="21"/>
          <w:szCs w:val="20"/>
          <w:lang w:val="en-US" w:eastAsia="zh-CN"/>
        </w:rPr>
        <w:t>按</w:t>
      </w:r>
      <w:r>
        <w:rPr>
          <w:rFonts w:hint="eastAsia" w:ascii="Times New Roman" w:hAnsi="Times New Roman" w:eastAsia="宋体" w:cs="Times New Roman"/>
          <w:sz w:val="21"/>
          <w:szCs w:val="20"/>
          <w:lang w:val="en-US" w:eastAsia="zh-CN"/>
        </w:rPr>
        <w:t>国家审计审定</w:t>
      </w:r>
      <w:r>
        <w:rPr>
          <w:rFonts w:hint="eastAsia" w:cs="Times New Roman"/>
          <w:sz w:val="21"/>
          <w:szCs w:val="20"/>
          <w:lang w:val="en-US" w:eastAsia="zh-CN"/>
        </w:rPr>
        <w:t>的施工合同</w:t>
      </w:r>
      <w:r>
        <w:rPr>
          <w:rFonts w:hint="eastAsia" w:ascii="Times New Roman" w:hAnsi="Times New Roman" w:eastAsia="宋体" w:cs="Times New Roman"/>
          <w:sz w:val="21"/>
          <w:szCs w:val="20"/>
          <w:lang w:val="en-US" w:eastAsia="zh-CN"/>
        </w:rPr>
        <w:t>金额</w:t>
      </w:r>
      <w:r>
        <w:rPr>
          <w:rFonts w:hint="eastAsia" w:cs="Times New Roman"/>
          <w:sz w:val="21"/>
          <w:szCs w:val="20"/>
          <w:lang w:val="en-US" w:eastAsia="zh-CN"/>
        </w:rPr>
        <w:t>为基数计算的</w:t>
      </w:r>
      <w:r>
        <w:rPr>
          <w:rFonts w:hint="eastAsia" w:ascii="Times New Roman" w:hAnsi="Times New Roman" w:eastAsia="宋体" w:cs="Times New Roman"/>
          <w:sz w:val="21"/>
          <w:szCs w:val="20"/>
          <w:lang w:val="en-US" w:eastAsia="zh-CN"/>
        </w:rPr>
        <w:t>最终结算全过程试验检测费的97%。在本工程结算审计完成、缺陷责任期满且无质量争议后，甲方向乙方支付剩余的3%尾款。</w:t>
      </w:r>
    </w:p>
    <w:p>
      <w:pPr>
        <w:spacing w:line="360" w:lineRule="auto"/>
        <w:ind w:firstLine="420" w:firstLineChars="20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本工程竣工验收通过并移交合格的竣工资料之日起一年内，若国家组织审计，则应在工程通过国家审计后，工程款支付至</w:t>
      </w:r>
      <w:r>
        <w:rPr>
          <w:rFonts w:hint="eastAsia" w:cs="Times New Roman"/>
          <w:sz w:val="21"/>
          <w:szCs w:val="20"/>
          <w:lang w:val="en-US" w:eastAsia="zh-CN"/>
        </w:rPr>
        <w:t>按</w:t>
      </w:r>
      <w:r>
        <w:rPr>
          <w:rFonts w:hint="eastAsia" w:ascii="Times New Roman" w:hAnsi="Times New Roman" w:eastAsia="宋体" w:cs="Times New Roman"/>
          <w:sz w:val="21"/>
          <w:szCs w:val="20"/>
          <w:lang w:val="en-US" w:eastAsia="zh-CN"/>
        </w:rPr>
        <w:t>国家审计审定</w:t>
      </w:r>
      <w:r>
        <w:rPr>
          <w:rFonts w:hint="eastAsia" w:cs="Times New Roman"/>
          <w:sz w:val="21"/>
          <w:szCs w:val="20"/>
          <w:lang w:val="en-US" w:eastAsia="zh-CN"/>
        </w:rPr>
        <w:t>的施工合同</w:t>
      </w:r>
      <w:r>
        <w:rPr>
          <w:rFonts w:hint="eastAsia" w:ascii="Times New Roman" w:hAnsi="Times New Roman" w:eastAsia="宋体" w:cs="Times New Roman"/>
          <w:sz w:val="21"/>
          <w:szCs w:val="20"/>
          <w:lang w:val="en-US" w:eastAsia="zh-CN"/>
        </w:rPr>
        <w:t>金额</w:t>
      </w:r>
      <w:r>
        <w:rPr>
          <w:rFonts w:hint="eastAsia" w:cs="Times New Roman"/>
          <w:sz w:val="21"/>
          <w:szCs w:val="20"/>
          <w:lang w:val="en-US" w:eastAsia="zh-CN"/>
        </w:rPr>
        <w:t>为基数计算的</w:t>
      </w:r>
      <w:r>
        <w:rPr>
          <w:rFonts w:hint="eastAsia" w:ascii="Times New Roman" w:hAnsi="Times New Roman" w:eastAsia="宋体" w:cs="Times New Roman"/>
          <w:sz w:val="21"/>
          <w:szCs w:val="20"/>
          <w:lang w:val="en-US" w:eastAsia="zh-CN"/>
        </w:rPr>
        <w:t xml:space="preserve">最终结算全过程试验检测费的97%，在本工程结算审计完成、缺陷责任期满且无质量争议后，甲方向乙方支付剩余的3%尾款。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⑥按照财税〔2016〕36 号文，经双方友好协商，乙方按照规定方法进行本项目的税务申报，乙方应按甲方税收征管要求出具增值税专用发票，甲方在票据认证完成后付款。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（1）甲方增值税发票开票信息：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名称：重庆城市综合交通枢纽（集团）有限公司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纳税人识别号：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地址、电话：</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开户行及账号： </w:t>
      </w:r>
    </w:p>
    <w:p>
      <w:pPr>
        <w:widowControl/>
        <w:numPr>
          <w:ilvl w:val="0"/>
          <w:numId w:val="0"/>
        </w:numPr>
        <w:spacing w:line="360" w:lineRule="auto"/>
        <w:ind w:firstLine="0" w:firstLineChars="0"/>
        <w:jc w:val="left"/>
        <w:rPr>
          <w:rFonts w:hint="default"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（2）本项目部分工程为经开区委托甲方代建工程，该代建部分工程增值税专用发票需按照经开区要求开具，或由乙方向经开区直接开具发票。</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（3）因乙方自行虚开增值税发票引起的甲方付款延迟，乙方自行承担相应责任，不得因此停工、索赔及追究甲方的责任。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4、履约担保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（1）履约担保的形式：现金或银行保函或现金+银行保函的组合；采用银行保函形式的，保函必须为不可撤销的见索即付银行保函；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（2）履约担保的金额：中标合同金额的10%。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（3）履约担保的提交时间：</w:t>
      </w:r>
      <w:r>
        <w:rPr>
          <w:rFonts w:hint="eastAsia" w:ascii="Times New Roman" w:hAnsi="Times New Roman" w:eastAsia="宋体" w:cs="Times New Roman"/>
          <w:sz w:val="21"/>
          <w:szCs w:val="20"/>
          <w:lang w:eastAsia="zh-CN"/>
        </w:rPr>
        <w:t>乙方</w:t>
      </w:r>
      <w:r>
        <w:rPr>
          <w:rFonts w:hint="eastAsia" w:ascii="Times New Roman" w:hAnsi="Times New Roman" w:eastAsia="宋体" w:cs="Times New Roman"/>
          <w:sz w:val="21"/>
          <w:szCs w:val="20"/>
          <w:lang w:val="en-US" w:eastAsia="zh-CN"/>
        </w:rPr>
        <w:t>应在中标通知书发出后15个工作日内向甲方递交，并审核通过后，方可与</w:t>
      </w:r>
      <w:r>
        <w:rPr>
          <w:rFonts w:hint="eastAsia" w:ascii="Times New Roman" w:hAnsi="Times New Roman" w:eastAsia="宋体" w:cs="Times New Roman"/>
          <w:sz w:val="21"/>
          <w:szCs w:val="20"/>
          <w:lang w:eastAsia="zh-CN"/>
        </w:rPr>
        <w:t>乙方</w:t>
      </w:r>
      <w:r>
        <w:rPr>
          <w:rFonts w:hint="eastAsia" w:ascii="Times New Roman" w:hAnsi="Times New Roman" w:eastAsia="宋体" w:cs="Times New Roman"/>
          <w:sz w:val="21"/>
          <w:szCs w:val="20"/>
          <w:lang w:val="en-US" w:eastAsia="zh-CN"/>
        </w:rPr>
        <w:t>签订合同。若</w:t>
      </w:r>
      <w:r>
        <w:rPr>
          <w:rFonts w:hint="eastAsia" w:ascii="Times New Roman" w:hAnsi="Times New Roman" w:eastAsia="宋体" w:cs="Times New Roman"/>
          <w:sz w:val="21"/>
          <w:szCs w:val="20"/>
          <w:lang w:eastAsia="zh-CN"/>
        </w:rPr>
        <w:t>乙方</w:t>
      </w:r>
      <w:r>
        <w:rPr>
          <w:rFonts w:hint="eastAsia" w:ascii="Times New Roman" w:hAnsi="Times New Roman" w:eastAsia="宋体" w:cs="Times New Roman"/>
          <w:sz w:val="21"/>
          <w:szCs w:val="20"/>
          <w:lang w:val="en-US" w:eastAsia="zh-CN"/>
        </w:rPr>
        <w:t>超过</w:t>
      </w:r>
      <w:r>
        <w:rPr>
          <w:rFonts w:hint="eastAsia" w:ascii="Times New Roman" w:hAnsi="Times New Roman" w:eastAsia="宋体" w:cs="Times New Roman"/>
          <w:sz w:val="21"/>
          <w:szCs w:val="20"/>
          <w:lang w:eastAsia="zh-CN"/>
        </w:rPr>
        <w:t>甲方</w:t>
      </w:r>
      <w:r>
        <w:rPr>
          <w:rFonts w:hint="eastAsia" w:ascii="Times New Roman" w:hAnsi="Times New Roman" w:eastAsia="宋体" w:cs="Times New Roman"/>
          <w:sz w:val="21"/>
          <w:szCs w:val="20"/>
          <w:lang w:val="en-US" w:eastAsia="zh-CN"/>
        </w:rPr>
        <w:t>要求日期5个工作日仍未提交足额履约担保的，</w:t>
      </w:r>
      <w:r>
        <w:rPr>
          <w:rFonts w:hint="eastAsia" w:ascii="Times New Roman" w:hAnsi="Times New Roman" w:eastAsia="宋体" w:cs="Times New Roman"/>
          <w:sz w:val="21"/>
          <w:szCs w:val="20"/>
          <w:lang w:eastAsia="zh-CN"/>
        </w:rPr>
        <w:t>甲方</w:t>
      </w:r>
      <w:r>
        <w:rPr>
          <w:rFonts w:hint="eastAsia" w:ascii="Times New Roman" w:hAnsi="Times New Roman" w:eastAsia="宋体" w:cs="Times New Roman"/>
          <w:sz w:val="21"/>
          <w:szCs w:val="20"/>
          <w:lang w:val="en-US" w:eastAsia="zh-CN"/>
        </w:rPr>
        <w:t xml:space="preserve">有权取消中标资格。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（4）履约担保的期限：</w:t>
      </w:r>
      <w:r>
        <w:rPr>
          <w:rFonts w:hint="eastAsia" w:ascii="宋体" w:hAnsi="宋体" w:cs="宋体"/>
          <w:color w:val="000000"/>
          <w:sz w:val="21"/>
          <w:szCs w:val="21"/>
        </w:rPr>
        <w:t>自提交之日起至本工程竣工验收合格，若项目延期竣工验收，则履约担保期限应延长至实际竣工日期；</w:t>
      </w:r>
      <w:r>
        <w:rPr>
          <w:rFonts w:hint="eastAsia" w:ascii="Times New Roman" w:hAnsi="Times New Roman" w:eastAsia="宋体" w:cs="Times New Roman"/>
          <w:sz w:val="21"/>
          <w:szCs w:val="20"/>
          <w:lang w:val="en-US" w:eastAsia="zh-CN"/>
        </w:rPr>
        <w:t>延期的履约担保的担保金额不变；由此产生的费用由</w:t>
      </w:r>
      <w:r>
        <w:rPr>
          <w:rFonts w:hint="eastAsia" w:ascii="Times New Roman" w:hAnsi="Times New Roman" w:eastAsia="宋体" w:cs="Times New Roman"/>
          <w:sz w:val="21"/>
          <w:szCs w:val="20"/>
          <w:lang w:eastAsia="zh-CN"/>
        </w:rPr>
        <w:t>乙方</w:t>
      </w:r>
      <w:r>
        <w:rPr>
          <w:rFonts w:hint="eastAsia" w:ascii="Times New Roman" w:hAnsi="Times New Roman" w:eastAsia="宋体" w:cs="Times New Roman"/>
          <w:sz w:val="21"/>
          <w:szCs w:val="20"/>
          <w:lang w:val="en-US" w:eastAsia="zh-CN"/>
        </w:rPr>
        <w:t>自行承担，相关费用已包含在合同价格中。若</w:t>
      </w:r>
      <w:r>
        <w:rPr>
          <w:rFonts w:hint="eastAsia" w:ascii="Times New Roman" w:hAnsi="Times New Roman" w:eastAsia="宋体" w:cs="Times New Roman"/>
          <w:sz w:val="21"/>
          <w:szCs w:val="20"/>
          <w:lang w:eastAsia="zh-CN"/>
        </w:rPr>
        <w:t>乙方</w:t>
      </w:r>
      <w:r>
        <w:rPr>
          <w:rFonts w:hint="eastAsia" w:ascii="Times New Roman" w:hAnsi="Times New Roman" w:eastAsia="宋体" w:cs="Times New Roman"/>
          <w:sz w:val="21"/>
          <w:szCs w:val="20"/>
          <w:lang w:val="en-US" w:eastAsia="zh-CN"/>
        </w:rPr>
        <w:t xml:space="preserve">超过委托人要求日期5个工作日仍未提交足额履约担保的，甲方有权暂停支付检测费。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（5）退还期限及方式：</w:t>
      </w:r>
      <w:r>
        <w:rPr>
          <w:rFonts w:hint="eastAsia" w:cs="Times New Roman"/>
          <w:sz w:val="21"/>
          <w:szCs w:val="20"/>
          <w:lang w:val="en-US" w:eastAsia="zh-CN"/>
        </w:rPr>
        <w:t>采用现金形式的，</w:t>
      </w:r>
      <w:r>
        <w:rPr>
          <w:rFonts w:hint="eastAsia" w:ascii="Times New Roman" w:hAnsi="Times New Roman" w:eastAsia="宋体" w:cs="Times New Roman"/>
          <w:sz w:val="21"/>
          <w:szCs w:val="20"/>
          <w:lang w:val="en-US" w:eastAsia="zh-CN"/>
        </w:rPr>
        <w:t>工程竣工验收合格后</w:t>
      </w:r>
      <w:r>
        <w:rPr>
          <w:rFonts w:hint="eastAsia" w:eastAsia="宋体" w:cs="Times New Roman"/>
          <w:sz w:val="21"/>
          <w:szCs w:val="20"/>
          <w:lang w:val="en-US" w:eastAsia="zh-CN"/>
        </w:rPr>
        <w:t>【</w:t>
      </w:r>
      <w:r>
        <w:rPr>
          <w:rFonts w:hint="eastAsia" w:cs="Times New Roman"/>
          <w:sz w:val="21"/>
          <w:szCs w:val="20"/>
          <w:lang w:val="en-US" w:eastAsia="zh-CN"/>
        </w:rPr>
        <w:t>30</w:t>
      </w:r>
      <w:r>
        <w:rPr>
          <w:rFonts w:hint="eastAsia" w:eastAsia="宋体" w:cs="Times New Roman"/>
          <w:sz w:val="21"/>
          <w:szCs w:val="20"/>
          <w:lang w:val="en-US" w:eastAsia="zh-CN"/>
        </w:rPr>
        <w:t>】个工作日内甲方无息退还乙方；</w:t>
      </w:r>
      <w:r>
        <w:rPr>
          <w:rFonts w:hint="eastAsia" w:ascii="Times New Roman" w:hAnsi="Times New Roman" w:eastAsia="宋体" w:cs="Times New Roman"/>
          <w:sz w:val="21"/>
          <w:szCs w:val="20"/>
          <w:lang w:val="en-US" w:eastAsia="zh-CN"/>
        </w:rPr>
        <w:t xml:space="preserve">采用银行保函形式的，工程竣工验收合格后履约保函自动失效。 </w:t>
      </w:r>
    </w:p>
    <w:p>
      <w:pPr>
        <w:spacing w:line="360" w:lineRule="auto"/>
        <w:ind w:firstLine="0" w:firstLineChars="0"/>
        <w:rPr>
          <w:rFonts w:hint="eastAsia" w:ascii="Times New Roman" w:hAnsi="Times New Roman" w:eastAsia="宋体" w:cs="Times New Roman"/>
          <w:b w:val="0"/>
          <w:bCs w:val="0"/>
          <w:sz w:val="21"/>
          <w:szCs w:val="20"/>
        </w:rPr>
      </w:pPr>
      <w:r>
        <w:rPr>
          <w:rFonts w:hint="eastAsia" w:ascii="Times New Roman" w:hAnsi="Times New Roman" w:eastAsia="宋体" w:cs="Times New Roman"/>
          <w:b w:val="0"/>
          <w:bCs w:val="0"/>
          <w:sz w:val="21"/>
          <w:szCs w:val="20"/>
          <w:lang w:val="en-US" w:eastAsia="zh-CN"/>
        </w:rPr>
        <w:t xml:space="preserve">五、违约责任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1、除不可抗拒的自然及社会原因，甲乙双方应严格遵守本合同的条款，否则违约方需承担违约责任。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2、凡执行本合同所发生的或与本合同有关的一切争议，合同双方应通过友好协商解决，如果协商不能解决，任何一方均可向甲方所在地法院起诉。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3、甲、乙双方在合同有效期内任何一方违反本合同其中一款或提前终止合同均视为违约；每发生一次则违约一方须向另一方支付违约金10000 元；如乙方违约的，甲方可以自行在应付款中直接扣除相应款项。如乙方违约，据此产生的诉讼费、保全费、担保费、律师费及其他实现债权的费用均由乙方承担。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4、乙方提供虚假检测结果报告的，甲方有权单方面终止合同，乙方应退还甲方已支付款项，未支付款项不再支付，并承担200000元的违约金。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5、乙方应在检测方案中明确检测计划，并按此计划的时间节点开展检测工作，若未在计划时间节点内出具阶段或最终检测报告，每延误一天乙方向甲方支付5000元违约金。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6、乙方对发现的重大质量问题（如水泥安定性不合格、实际检测结果达不到设计要求等），12小时内未向甲方通报。每发生一次乙方向甲方支付5000元违约金。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7、乙方无法按甲方要求将检测数据接入智慧工地平台，甲方有权委托其他单位实施检测数据的接入，其费用由乙方承担，并在进度款中扣除。</w:t>
      </w:r>
    </w:p>
    <w:p>
      <w:pPr>
        <w:spacing w:line="360" w:lineRule="auto"/>
        <w:rPr>
          <w:rFonts w:hint="eastAsia" w:ascii="Times New Roman" w:hAnsi="Times New Roman" w:eastAsia="宋体" w:cs="Times New Roman"/>
          <w:lang w:val="en-US" w:eastAsia="zh-CN"/>
        </w:rPr>
      </w:pPr>
      <w:r>
        <w:rPr>
          <w:rFonts w:hint="eastAsia" w:ascii="Times New Roman" w:hAnsi="Times New Roman" w:eastAsia="宋体" w:cs="Times New Roman"/>
          <w:sz w:val="21"/>
          <w:szCs w:val="20"/>
          <w:lang w:val="en-US" w:eastAsia="zh-CN"/>
        </w:rPr>
        <w:t>8.乙方</w:t>
      </w:r>
      <w:r>
        <w:rPr>
          <w:rFonts w:hint="eastAsia" w:ascii="Times New Roman" w:hAnsi="Times New Roman" w:eastAsia="宋体" w:cs="Times New Roman"/>
          <w:i w:val="0"/>
          <w:caps w:val="0"/>
          <w:spacing w:val="0"/>
          <w:sz w:val="21"/>
          <w:szCs w:val="20"/>
          <w:shd w:val="clear"/>
        </w:rPr>
        <w:t>在本项目服务期内受到相关行政主管部门处罚，导致不能满足本项目检测要求的，</w:t>
      </w:r>
      <w:r>
        <w:rPr>
          <w:rFonts w:hint="eastAsia" w:ascii="Times New Roman" w:hAnsi="Times New Roman" w:eastAsia="宋体" w:cs="Times New Roman"/>
          <w:i w:val="0"/>
          <w:caps w:val="0"/>
          <w:spacing w:val="0"/>
          <w:sz w:val="21"/>
          <w:szCs w:val="20"/>
          <w:shd w:val="clear"/>
          <w:lang w:val="en-US" w:eastAsia="zh-CN"/>
        </w:rPr>
        <w:t>甲方</w:t>
      </w:r>
      <w:r>
        <w:rPr>
          <w:rFonts w:hint="eastAsia" w:ascii="Times New Roman" w:hAnsi="Times New Roman" w:eastAsia="宋体" w:cs="Times New Roman"/>
          <w:i w:val="0"/>
          <w:caps w:val="0"/>
          <w:spacing w:val="0"/>
          <w:sz w:val="21"/>
          <w:szCs w:val="20"/>
          <w:shd w:val="clear"/>
        </w:rPr>
        <w:t>将终止合同。对</w:t>
      </w:r>
      <w:r>
        <w:rPr>
          <w:rFonts w:hint="eastAsia" w:ascii="Times New Roman" w:hAnsi="Times New Roman" w:eastAsia="宋体" w:cs="Times New Roman"/>
          <w:i w:val="0"/>
          <w:caps w:val="0"/>
          <w:spacing w:val="0"/>
          <w:sz w:val="21"/>
          <w:szCs w:val="20"/>
          <w:shd w:val="clear"/>
          <w:lang w:val="en-US" w:eastAsia="zh-CN"/>
        </w:rPr>
        <w:t>甲方</w:t>
      </w:r>
      <w:r>
        <w:rPr>
          <w:rFonts w:hint="eastAsia" w:ascii="Times New Roman" w:hAnsi="Times New Roman" w:eastAsia="宋体" w:cs="Times New Roman"/>
          <w:i w:val="0"/>
          <w:caps w:val="0"/>
          <w:spacing w:val="0"/>
          <w:sz w:val="21"/>
          <w:szCs w:val="20"/>
          <w:shd w:val="clear"/>
        </w:rPr>
        <w:t>造成经济损失的，相关损失由</w:t>
      </w:r>
      <w:r>
        <w:rPr>
          <w:rFonts w:hint="eastAsia" w:ascii="Times New Roman" w:hAnsi="Times New Roman" w:eastAsia="宋体" w:cs="Times New Roman"/>
          <w:i w:val="0"/>
          <w:caps w:val="0"/>
          <w:spacing w:val="0"/>
          <w:sz w:val="21"/>
          <w:szCs w:val="20"/>
          <w:shd w:val="clear"/>
          <w:lang w:val="en-US" w:eastAsia="zh-CN"/>
        </w:rPr>
        <w:t>乙方</w:t>
      </w:r>
      <w:r>
        <w:rPr>
          <w:rFonts w:hint="eastAsia" w:ascii="Times New Roman" w:hAnsi="Times New Roman" w:eastAsia="宋体" w:cs="Times New Roman"/>
          <w:i w:val="0"/>
          <w:caps w:val="0"/>
          <w:spacing w:val="0"/>
          <w:sz w:val="21"/>
          <w:szCs w:val="20"/>
          <w:shd w:val="clear"/>
        </w:rPr>
        <w:t>进行赔偿。</w:t>
      </w:r>
    </w:p>
    <w:p>
      <w:pPr>
        <w:spacing w:line="360" w:lineRule="auto"/>
        <w:ind w:firstLine="0" w:firstLineChars="0"/>
        <w:rPr>
          <w:rFonts w:hint="eastAsia" w:ascii="Times New Roman" w:hAnsi="Times New Roman" w:eastAsia="宋体" w:cs="Times New Roman"/>
          <w:b w:val="0"/>
          <w:bCs w:val="0"/>
          <w:sz w:val="21"/>
          <w:szCs w:val="20"/>
          <w:lang w:val="en-US" w:eastAsia="zh-CN"/>
        </w:rPr>
      </w:pPr>
      <w:r>
        <w:rPr>
          <w:rFonts w:hint="eastAsia" w:ascii="Times New Roman" w:hAnsi="Times New Roman" w:eastAsia="宋体" w:cs="Times New Roman"/>
          <w:b w:val="0"/>
          <w:bCs w:val="0"/>
          <w:sz w:val="21"/>
          <w:szCs w:val="20"/>
          <w:lang w:val="en-US" w:eastAsia="zh-CN"/>
        </w:rPr>
        <w:t xml:space="preserve">六、争议解决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1、本合同执行过程中发生争议或未尽事宜，双方应本着友好协商的原则加以解决。双方协商一致的，签订补充协议，补充协议与本合同具有同等效力。协商不成的，可依法向</w:t>
      </w:r>
      <w:r>
        <w:rPr>
          <w:rFonts w:hint="eastAsia" w:cs="Times New Roman"/>
          <w:i w:val="0"/>
          <w:caps w:val="0"/>
          <w:spacing w:val="0"/>
          <w:sz w:val="21"/>
          <w:szCs w:val="20"/>
          <w:shd w:val="clear"/>
          <w:lang w:val="en-US" w:eastAsia="zh-CN"/>
        </w:rPr>
        <w:t>甲方</w:t>
      </w:r>
      <w:r>
        <w:rPr>
          <w:rFonts w:hint="eastAsia" w:ascii="Times New Roman" w:hAnsi="Times New Roman" w:eastAsia="宋体" w:cs="Times New Roman"/>
          <w:i w:val="0"/>
          <w:caps w:val="0"/>
          <w:spacing w:val="0"/>
          <w:sz w:val="21"/>
          <w:szCs w:val="20"/>
          <w:shd w:val="clear"/>
        </w:rPr>
        <w:t>所在地</w:t>
      </w:r>
      <w:r>
        <w:rPr>
          <w:rFonts w:hint="eastAsia" w:ascii="Times New Roman" w:hAnsi="Times New Roman" w:eastAsia="宋体" w:cs="Times New Roman"/>
          <w:sz w:val="21"/>
          <w:szCs w:val="20"/>
          <w:lang w:val="en-US" w:eastAsia="zh-CN"/>
        </w:rPr>
        <w:t xml:space="preserve">的人民法院提起诉讼。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2、诉讼文书送达地址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甲方送达地址：重庆渝北区泰山大道中段梧桐路6号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电子邮箱：                  送达方式：呈递、邮寄或电子邮件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联系人：                    电话：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乙方送达地址：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电子邮箱：             送达方式：呈递、邮寄或电子邮件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联系人：                 电话：</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该送达地址可用于接收各类诉讼文书。在合同履行过程中发生诉讼时，按约定地址送达的视为当事人已签收，受送达人拒收的，不影响送达的效力。甲乙双方若需变更送达地址，应在地址变更后3日内书面通知对方当事人；未按约定方式通知的，原约定送达地址仍为有效送达地址。电子送达具有以上同等效力。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b w:val="0"/>
          <w:bCs w:val="0"/>
          <w:sz w:val="21"/>
          <w:szCs w:val="20"/>
          <w:lang w:val="en-US" w:eastAsia="zh-CN"/>
        </w:rPr>
        <w:t>七、合同效力及份数</w:t>
      </w:r>
      <w:r>
        <w:rPr>
          <w:rFonts w:hint="eastAsia" w:ascii="Times New Roman" w:hAnsi="Times New Roman" w:eastAsia="宋体" w:cs="Times New Roman"/>
          <w:sz w:val="21"/>
          <w:szCs w:val="20"/>
          <w:lang w:val="en-US" w:eastAsia="zh-CN"/>
        </w:rPr>
        <w:t xml:space="preserve">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1、本合同自双方签字盖章之日起生效，至工程竣工并交齐检验报告且合同约定其他内容全部履行完毕自动终止。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2、 本合同一式捌份，具有同等法律效力，甲方执陆份，乙方执贰份，本合同双方签字盖章后生效。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3、本合同未尽事宜，经双方协商后签订补充协议，与合同正文同等有效。 </w:t>
      </w:r>
    </w:p>
    <w:p>
      <w:pPr>
        <w:spacing w:line="360" w:lineRule="auto"/>
        <w:ind w:firstLine="0" w:firstLineChars="0"/>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以下无正文。 </w:t>
      </w:r>
    </w:p>
    <w:p>
      <w:pPr>
        <w:spacing w:line="360" w:lineRule="auto"/>
        <w:rPr>
          <w:rFonts w:hint="eastAsia" w:ascii="Times New Roman" w:hAnsi="Times New Roman" w:eastAsia="宋体" w:cs="Times New Roman"/>
          <w:lang w:val="en-US" w:eastAsia="zh-CN"/>
        </w:rPr>
      </w:pP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甲 方（盖章）：重庆城市综合交通枢纽(集团)有限公司 </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地 址：渝北区泰山大道中段梧桐路6号 </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法定代表人或委托代理人： </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经办人： </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电 话： </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传 真： </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开户银行： </w:t>
      </w:r>
    </w:p>
    <w:p>
      <w:pPr>
        <w:spacing w:line="360" w:lineRule="auto"/>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 xml:space="preserve">账 号： </w:t>
      </w:r>
    </w:p>
    <w:p>
      <w:pPr>
        <w:spacing w:line="360" w:lineRule="auto"/>
        <w:rPr>
          <w:rFonts w:hint="eastAsia" w:ascii="Times New Roman" w:hAnsi="Times New Roman" w:eastAsia="宋体" w:cs="Times New Roman"/>
          <w:sz w:val="21"/>
          <w:szCs w:val="20"/>
          <w:lang w:val="en-US" w:eastAsia="zh-CN"/>
        </w:rPr>
      </w:pP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乙 方（盖章）： </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地 址：</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法定代表人或委托代理人： </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经办人： </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电 话：</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传 真：</w:t>
      </w:r>
    </w:p>
    <w:p>
      <w:pPr>
        <w:spacing w:line="360" w:lineRule="auto"/>
        <w:rPr>
          <w:rFonts w:hint="eastAsia" w:ascii="Times New Roman" w:hAnsi="Times New Roman" w:eastAsia="宋体" w:cs="Times New Roman"/>
          <w:sz w:val="21"/>
          <w:szCs w:val="20"/>
          <w:lang w:val="en-US" w:eastAsia="zh-CN"/>
        </w:rPr>
      </w:pPr>
      <w:r>
        <w:rPr>
          <w:rFonts w:hint="eastAsia" w:ascii="Times New Roman" w:hAnsi="Times New Roman" w:eastAsia="宋体" w:cs="Times New Roman"/>
          <w:sz w:val="21"/>
          <w:szCs w:val="20"/>
          <w:lang w:val="en-US" w:eastAsia="zh-CN"/>
        </w:rPr>
        <w:t>开户银行：</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账 号：</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签订日期：20   年   月   日 </w:t>
      </w:r>
    </w:p>
    <w:p>
      <w:pPr>
        <w:spacing w:line="360" w:lineRule="auto"/>
        <w:rPr>
          <w:rFonts w:hint="eastAsia" w:ascii="Times New Roman" w:hAnsi="Times New Roman" w:eastAsia="宋体" w:cs="Times New Roman"/>
          <w:sz w:val="21"/>
          <w:szCs w:val="20"/>
          <w:lang w:val="en-US" w:eastAsia="zh-CN"/>
        </w:rPr>
      </w:pP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附件 1：工程建设廉政协议  </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附件 2：安全生产协议 </w:t>
      </w:r>
    </w:p>
    <w:p>
      <w:pPr>
        <w:spacing w:line="360" w:lineRule="auto"/>
        <w:rPr>
          <w:rFonts w:hint="eastAsia" w:ascii="Times New Roman" w:hAnsi="Times New Roman" w:eastAsia="宋体" w:cs="Times New Roman"/>
          <w:b w:val="0"/>
          <w:bCs w:val="0"/>
          <w:sz w:val="21"/>
          <w:szCs w:val="20"/>
        </w:rPr>
      </w:pPr>
      <w:r>
        <w:rPr>
          <w:rFonts w:hint="eastAsia" w:ascii="Times New Roman" w:hAnsi="Times New Roman" w:eastAsia="宋体" w:cs="Times New Roman"/>
          <w:sz w:val="21"/>
          <w:szCs w:val="20"/>
          <w:lang w:val="en-US" w:eastAsia="zh-CN"/>
        </w:rPr>
        <w:t>附件 3：</w:t>
      </w:r>
      <w:r>
        <w:rPr>
          <w:rFonts w:hint="eastAsia" w:ascii="Times New Roman" w:hAnsi="Times New Roman" w:eastAsia="宋体" w:cs="Times New Roman"/>
          <w:b w:val="0"/>
          <w:bCs w:val="0"/>
          <w:sz w:val="21"/>
          <w:szCs w:val="20"/>
        </w:rPr>
        <w:t>考勤考核管理要求</w:t>
      </w:r>
    </w:p>
    <w:p>
      <w:pPr>
        <w:spacing w:line="360" w:lineRule="auto"/>
        <w:rPr>
          <w:rFonts w:hint="eastAsia" w:ascii="Times New Roman" w:hAnsi="Times New Roman" w:eastAsia="宋体" w:cs="Times New Roman"/>
          <w:sz w:val="21"/>
          <w:szCs w:val="20"/>
        </w:rPr>
      </w:pPr>
      <w:r>
        <w:rPr>
          <w:rFonts w:hint="eastAsia" w:ascii="Times New Roman" w:hAnsi="Times New Roman" w:eastAsia="宋体" w:cs="Times New Roman"/>
          <w:sz w:val="21"/>
          <w:szCs w:val="20"/>
          <w:lang w:val="en-US" w:eastAsia="zh-CN"/>
        </w:rPr>
        <w:t xml:space="preserve"> </w:t>
      </w:r>
    </w:p>
    <w:p>
      <w:pPr>
        <w:bidi w:val="0"/>
        <w:jc w:val="center"/>
        <w:rPr>
          <w:rFonts w:hint="eastAsia"/>
          <w:b/>
          <w:bCs/>
          <w:lang w:val="en-US" w:eastAsia="zh-CN"/>
        </w:rPr>
      </w:pPr>
      <w:r>
        <w:rPr>
          <w:rFonts w:hint="eastAsia"/>
          <w:b/>
          <w:bCs/>
          <w:lang w:val="en-US" w:eastAsia="zh-CN"/>
        </w:rPr>
        <w:t>工程建设廉政协议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为加强项目工程建设中的廉政建设，规范工程建设双方的各项活动，保证工程建设高效优质，保证建设资金的安全和有效使用以及投资效益，防止发生各种谋取不正当利益的违法违纪行为，保护国家、集体和当事人的合法权益，根据国家有关工程建设的法律法规和廉政建设责任制规定，特订立廉政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一、总则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应严格遵守国家关于市场准入、项目招标投标、工程建设和市场活动的有关法律、法规，相关政策，以及廉政建设的各项规定。认真学习和坚决贯彻执行《廉政准则》，切实把项目建设的勤政廉政工作落到实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2、严格执行建设工程项目检测合同文件，自觉按合同办事。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3、业务活动必须坚持公开、公平、公正、诚信、透明的原则（除法律法规另有规定者外），不得为获取不正当的利益，损害国家、集体和对方利益，不得违反工程设计、建设管理的规章制度。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4、发现对方在业务活动中有违规、违纪、违法行为的，应及时提醒对方，情节严重的，应向其上级主管部门或纪检监察、司法等有关机关举报。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二、甲方的责任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甲方的领导和从事该建设工程项目检测管理的工作人员在工程建设的事前、事中、事后应遵守以下规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1、甲方及其工作人员不得索要或接受乙方的礼金、有价证券和贵重物品，不得在乙方报销任何应由甲方或个人支付的费用。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2、甲方及其工作人员不准在承发包工程、物资采购中利用职权和工作之便，向施工单位、商业物资部门索取、收受“回扣”、“提成费”、“好处费”等。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3、甲方工作人员不得参加乙方安排的宴请或可能对公正执行建设管理行为有影响的其他活动；不得接受乙方提供的通讯工具、交通工具和高档办公用品。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4、甲方及其工作人员不得要求或接受乙方为其住房装修、婚丧嫁娶活动、旅游等提供方便。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5、甲方工作人员的家属、亲戚不得从事与甲方工程有关的材料设备供应、工程分包等经济活动。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6、甲方及其工作人员不得以任何理由向乙方推荐分包单位。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7、不得以任何理由故意刁难乙方或拖延为乙方办理业务工作。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三、 乙方的责任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应与甲方和相关单位保持正常的业务交往，按照有关法律法规和程序开展业务工作。严格执行工程建设的方针、政策，尤其是有关勘察设计、建筑施工安装的强制性标准和规范，认真履行合同职责，并遵守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以下规定：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1、乙方不得以任何理由向甲方及其工作人员行贿或馈赠礼金、有价证券、贵重礼品。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2、乙方不得以任何名义为甲方及其工作人员报销应由甲方单位或个人支付的费用。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3、乙方不得以任何理由邀请甲方工作人员外出旅游或安排甲方工作人员参加宴请、健身、娱乐等活动。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4、乙方不得为甲方单位和个人购置或提供高档通讯工具、交通工具和高档办公用品等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5、乙方不得与甲方代表或施工单位或工程监理单位或材料供应商联合作假，如在图纸中指定特定品牌或设置特定的技术参数；收方；验收；提供虚假资料；接收好处或提成。等。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6、乙方及其工作人员应严格按检测合同办事，不得为谋取私利进行非法行贿,私下串通，损害甲方利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益。同时必须履行向甲方承诺的上述其他廉政义务。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7、乙方如果发现甲方工作人员有违反廉政规定的行为，应向甲方纪检法务审计部或上级单位举报。甲方工作人员均不得找任何借口对乙方进行报复。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四、违约责任及相关处罚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1、甲方工作人员有违反本合同第一、二条责任行为的，按照管理权限，依据有关法律法规和规定给予党纪、政纪处分或由公司确定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乙方有违反本合同第一、三条责任行为情节严重的，依据有关法律法规和规定给予相关责任人党纪、政纪处分或组织处理；涉嫌犯罪的，移交司法机关追究刑事责任；给甲方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3、乙方若发生违规、违纪、违法行为的，一经查实，甲方收取乙方合同金额的 3%作为违约金。</w:t>
      </w: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u w:val="none"/>
          <w:lang w:val="en-US" w:eastAsia="zh-CN"/>
        </w:rPr>
      </w:pPr>
      <w:r>
        <w:rPr>
          <w:rFonts w:hint="eastAsia"/>
          <w:lang w:val="en-US" w:eastAsia="zh-CN"/>
        </w:rPr>
        <w:t>甲方（盖章）：</w:t>
      </w:r>
      <w:r>
        <w:rPr>
          <w:rFonts w:hint="eastAsia" w:ascii="宋体" w:hAnsi="宋体" w:cs="宋体"/>
          <w:szCs w:val="21"/>
          <w:u w:val="none"/>
        </w:rPr>
        <w:t>重庆城市综合交通枢纽(集团)有限公司</w:t>
      </w:r>
      <w:r>
        <w:rPr>
          <w:rFonts w:hint="eastAsia" w:ascii="宋体" w:hAnsi="宋体" w:cs="宋体"/>
          <w:szCs w:val="21"/>
          <w:u w:val="none"/>
          <w:lang w:val="en-US" w:eastAsia="zh-CN"/>
        </w:rPr>
        <w:t xml:space="preserve">  </w:t>
      </w:r>
      <w:r>
        <w:rPr>
          <w:rFonts w:hint="eastAsia"/>
          <w:lang w:val="en-US" w:eastAsia="zh-CN"/>
        </w:rPr>
        <w:t>乙方（盖章）：</w:t>
      </w:r>
      <w:r>
        <w:rPr>
          <w:rFonts w:hint="eastAsia" w:ascii="宋体" w:hAnsi="宋体"/>
          <w:color w:val="000000"/>
          <w:szCs w:val="21"/>
          <w:u w:val="none"/>
          <w:lang w:val="en-US" w:eastAsia="zh-CN"/>
        </w:rPr>
        <w:t>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地 址：渝北区 泰山大道中段梧桐路 6 号             地 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法定代表人或委托代理人：                           法定代表人或委托代理人：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经办人：                                           经办人：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snapToGrid w:val="0"/>
          <w:color w:val="auto"/>
          <w:kern w:val="0"/>
          <w:szCs w:val="21"/>
          <w:highlight w:val="none"/>
          <w:u w:val="single"/>
          <w:lang w:val="en-US" w:eastAsia="zh-CN"/>
        </w:rPr>
      </w:pPr>
      <w:r>
        <w:rPr>
          <w:rFonts w:hint="eastAsia"/>
          <w:lang w:val="en-US" w:eastAsia="zh-CN"/>
        </w:rPr>
        <w:t>电 话：                                            电 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传 真：                                            传 真：</w:t>
      </w:r>
      <w:r>
        <w:rPr>
          <w:rFonts w:hint="eastAsia" w:ascii="宋体" w:hAnsi="宋体" w:cs="宋体"/>
          <w:szCs w:val="21"/>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开户银行：                                         开户银行：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lang w:val="en-US" w:eastAsia="zh-CN"/>
        </w:rPr>
        <w:t>账 号：                                            账 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CN"/>
        </w:rPr>
      </w:pPr>
      <w:r>
        <w:rPr>
          <w:rFonts w:hint="eastAsia"/>
          <w:lang w:val="en-US" w:eastAsia="zh-CN"/>
        </w:rPr>
        <w:t>签订日期：20 年 月 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附件 </w:t>
      </w:r>
      <w:r>
        <w:rPr>
          <w:rFonts w:hint="eastAsia" w:ascii="宋体" w:hAnsi="宋体" w:cs="宋体"/>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安全生产协议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为在</w:t>
      </w:r>
      <w:r>
        <w:rPr>
          <w:rFonts w:hint="eastAsia" w:ascii="宋体" w:hAnsi="宋体" w:eastAsia="宋体" w:cs="宋体"/>
          <w:u w:val="single"/>
          <w:lang w:val="en-US" w:eastAsia="zh-CN"/>
        </w:rPr>
        <w:t xml:space="preserve">                   </w:t>
      </w:r>
      <w:r>
        <w:rPr>
          <w:rFonts w:hint="eastAsia" w:ascii="宋体" w:hAnsi="宋体" w:eastAsia="宋体" w:cs="宋体"/>
          <w:lang w:val="en-US" w:eastAsia="zh-CN"/>
        </w:rPr>
        <w:t>合同的实施过程中，履行安全相关法律规定的管理职责，加强</w:t>
      </w:r>
      <w:r>
        <w:rPr>
          <w:rFonts w:hint="eastAsia" w:ascii="宋体" w:hAnsi="宋体" w:cs="宋体"/>
          <w:lang w:val="en-US" w:eastAsia="zh-CN"/>
        </w:rPr>
        <w:t>检测</w:t>
      </w:r>
      <w:r>
        <w:rPr>
          <w:rFonts w:hint="eastAsia" w:ascii="宋体" w:hAnsi="宋体" w:eastAsia="宋体" w:cs="宋体"/>
          <w:lang w:val="en-US" w:eastAsia="zh-CN"/>
        </w:rPr>
        <w:t>现场的安全管理，深入贯彻“安全第一，预防为主”安全生产方针，切实搞好本项目的安全管理工作，保障现场人员的人身安全，确保</w:t>
      </w:r>
      <w:r>
        <w:rPr>
          <w:rFonts w:hint="eastAsia" w:ascii="宋体" w:hAnsi="宋体" w:cs="宋体"/>
          <w:lang w:val="en-US" w:eastAsia="zh-CN"/>
        </w:rPr>
        <w:t>检测</w:t>
      </w:r>
      <w:r>
        <w:rPr>
          <w:rFonts w:hint="eastAsia" w:ascii="宋体" w:hAnsi="宋体" w:eastAsia="宋体" w:cs="宋体"/>
          <w:lang w:val="en-US" w:eastAsia="zh-CN"/>
        </w:rPr>
        <w:t>工作顺利完成，本项目业主                （以下简称“甲方”）与被委托单位 （全称）                     （以下简称“乙方”）特此签订安全生产合同：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一、甲方职责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 向乙方提供本工程与</w:t>
      </w:r>
      <w:r>
        <w:rPr>
          <w:rFonts w:hint="eastAsia" w:ascii="宋体" w:hAnsi="宋体" w:cs="宋体"/>
          <w:lang w:val="en-US" w:eastAsia="zh-CN"/>
        </w:rPr>
        <w:t>检测</w:t>
      </w:r>
      <w:r>
        <w:rPr>
          <w:rFonts w:hint="eastAsia" w:ascii="宋体" w:hAnsi="宋体" w:eastAsia="宋体" w:cs="宋体"/>
          <w:lang w:val="en-US" w:eastAsia="zh-CN"/>
        </w:rPr>
        <w:t>有关的技术资料及文件。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 负责</w:t>
      </w:r>
      <w:r>
        <w:rPr>
          <w:rFonts w:hint="eastAsia" w:ascii="宋体" w:hAnsi="宋体" w:cs="宋体"/>
          <w:lang w:val="en-US" w:eastAsia="zh-CN"/>
        </w:rPr>
        <w:t>检测</w:t>
      </w:r>
      <w:r>
        <w:rPr>
          <w:rFonts w:hint="eastAsia" w:ascii="宋体" w:hAnsi="宋体" w:eastAsia="宋体" w:cs="宋体"/>
          <w:lang w:val="en-US" w:eastAsia="zh-CN"/>
        </w:rPr>
        <w:t>工作期间的配合工作。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 定期召开安全生产会议，及时传达中央及地方有关安全生产的精神。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 组织对乙方管理的</w:t>
      </w:r>
      <w:r>
        <w:rPr>
          <w:rFonts w:hint="eastAsia" w:ascii="宋体" w:hAnsi="宋体" w:cs="宋体"/>
          <w:lang w:val="en-US" w:eastAsia="zh-CN"/>
        </w:rPr>
        <w:t>检测</w:t>
      </w:r>
      <w:r>
        <w:rPr>
          <w:rFonts w:hint="eastAsia" w:ascii="宋体" w:hAnsi="宋体" w:eastAsia="宋体" w:cs="宋体"/>
          <w:lang w:val="en-US" w:eastAsia="zh-CN"/>
        </w:rPr>
        <w:t>现场安全生产进行检查，监督乙方及时处理发现的各种安全隐患。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二、乙方职责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必须严格遵守《中华人民共和国安全生产法》、《建设工程安全生产管理条例》、《重庆市安全生产委员会重庆市减灾委员会关于深化“十条措施”落实常态化安全监管工作的通知》（渝安委〔2021〕16号）及国家、省、市发布的其他关于安全生产的法律法规及相关规范，同时应遵守甲方制定相关安全的管理办法，若违反相关规定，须接受甲方处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2.坚持“安全第一、预防为主”和“管生产必须管安全”的原则，加强安全生产宣传教育，增强全体人员安全生产意识。同时应切实采取措施，按规定穿戴防护用品等，保障工作人员的人身安全和健康。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3.乙方在任何时候都应采取各种合理的预防措施，防止其员工发生任何违法、违禁、暴力或妨碍治安的行为。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lang w:val="en-US" w:eastAsia="zh-CN"/>
        </w:rPr>
        <w:t>4. 根据工程具体情况，在开工前编制切实可行的</w:t>
      </w:r>
      <w:r>
        <w:rPr>
          <w:rFonts w:hint="eastAsia" w:ascii="宋体" w:hAnsi="宋体" w:cs="宋体"/>
          <w:lang w:val="en-US" w:eastAsia="zh-CN"/>
        </w:rPr>
        <w:t>检测</w:t>
      </w:r>
      <w:r>
        <w:rPr>
          <w:rFonts w:hint="eastAsia" w:ascii="宋体" w:hAnsi="宋体" w:eastAsia="宋体" w:cs="宋体"/>
          <w:lang w:val="en-US" w:eastAsia="zh-CN"/>
        </w:rPr>
        <w:t>规划及</w:t>
      </w:r>
      <w:r>
        <w:rPr>
          <w:rFonts w:hint="eastAsia" w:ascii="宋体" w:hAnsi="宋体" w:cs="宋体"/>
          <w:lang w:val="en-US" w:eastAsia="zh-CN"/>
        </w:rPr>
        <w:t>检测</w:t>
      </w:r>
      <w:r>
        <w:rPr>
          <w:rFonts w:hint="eastAsia" w:ascii="宋体" w:hAnsi="宋体" w:eastAsia="宋体" w:cs="宋体"/>
          <w:lang w:val="en-US" w:eastAsia="zh-CN"/>
        </w:rPr>
        <w:t>实施细则，并建立健全安全</w:t>
      </w:r>
      <w:r>
        <w:rPr>
          <w:rFonts w:hint="eastAsia" w:ascii="宋体" w:hAnsi="宋体" w:cs="宋体"/>
          <w:lang w:val="en-US" w:eastAsia="zh-CN"/>
        </w:rPr>
        <w:t>检测</w:t>
      </w:r>
      <w:r>
        <w:rPr>
          <w:rFonts w:hint="eastAsia" w:ascii="宋体" w:hAnsi="宋体" w:eastAsia="宋体" w:cs="宋体"/>
          <w:lang w:val="en-US" w:eastAsia="zh-CN"/>
        </w:rPr>
        <w:t>责任制，明确</w:t>
      </w:r>
      <w:r>
        <w:rPr>
          <w:rFonts w:hint="eastAsia" w:ascii="宋体" w:hAnsi="宋体" w:cs="宋体"/>
          <w:lang w:val="en-US" w:eastAsia="zh-CN"/>
        </w:rPr>
        <w:t>检测</w:t>
      </w:r>
      <w:r>
        <w:rPr>
          <w:rFonts w:hint="eastAsia" w:ascii="宋体" w:hAnsi="宋体" w:eastAsia="宋体" w:cs="宋体"/>
          <w:lang w:val="en-US" w:eastAsia="zh-CN"/>
        </w:rPr>
        <w:t>人员的安全</w:t>
      </w:r>
      <w:r>
        <w:rPr>
          <w:rFonts w:hint="eastAsia" w:ascii="宋体" w:hAnsi="宋体" w:cs="宋体"/>
          <w:lang w:val="en-US" w:eastAsia="zh-CN"/>
        </w:rPr>
        <w:t>检测</w:t>
      </w:r>
      <w:r>
        <w:rPr>
          <w:rFonts w:hint="eastAsia" w:ascii="宋体" w:hAnsi="宋体" w:eastAsia="宋体" w:cs="宋体"/>
          <w:lang w:val="en-US" w:eastAsia="zh-CN"/>
        </w:rPr>
        <w:t>职责，完善</w:t>
      </w:r>
      <w:r>
        <w:rPr>
          <w:rFonts w:hint="eastAsia" w:ascii="宋体" w:hAnsi="宋体" w:cs="宋体"/>
          <w:lang w:val="en-US" w:eastAsia="zh-CN"/>
        </w:rPr>
        <w:t>检测</w:t>
      </w:r>
      <w:r>
        <w:rPr>
          <w:rFonts w:hint="eastAsia" w:ascii="宋体" w:hAnsi="宋体" w:eastAsia="宋体" w:cs="宋体"/>
          <w:lang w:val="en-US" w:eastAsia="zh-CN"/>
        </w:rPr>
        <w:t>安全生产管理制度，建立</w:t>
      </w:r>
      <w:r>
        <w:rPr>
          <w:rFonts w:hint="eastAsia" w:ascii="宋体" w:hAnsi="宋体" w:cs="宋体"/>
          <w:lang w:val="en-US" w:eastAsia="zh-CN"/>
        </w:rPr>
        <w:t>检测</w:t>
      </w:r>
      <w:r>
        <w:rPr>
          <w:rFonts w:hint="eastAsia" w:ascii="宋体" w:hAnsi="宋体" w:eastAsia="宋体" w:cs="宋体"/>
          <w:lang w:val="en-US" w:eastAsia="zh-CN"/>
        </w:rPr>
        <w:t>人员安全生产教育培训制度。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 把安全管理工作作为日常</w:t>
      </w:r>
      <w:r>
        <w:rPr>
          <w:rFonts w:hint="eastAsia" w:ascii="宋体" w:hAnsi="宋体" w:cs="宋体"/>
          <w:lang w:val="en-US" w:eastAsia="zh-CN"/>
        </w:rPr>
        <w:t>检测</w:t>
      </w:r>
      <w:r>
        <w:rPr>
          <w:rFonts w:hint="eastAsia" w:ascii="宋体" w:hAnsi="宋体" w:eastAsia="宋体" w:cs="宋体"/>
          <w:lang w:val="en-US" w:eastAsia="zh-CN"/>
        </w:rPr>
        <w:t>工作的重要内容，严格执行国家、行业和地方安全文明施工法规和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安全技术标准。加强施工现场安全生产巡查，及时纠正违规行为，发现存在安全生产隐患的，应当及时整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改；情况严重的，应当暂时停止施工，并及时报告。拒不整改或者不停止施工的，应当及时向有关主管部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门报告。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 检查施工</w:t>
      </w:r>
      <w:r>
        <w:rPr>
          <w:rFonts w:hint="eastAsia" w:ascii="宋体" w:hAnsi="宋体" w:cs="宋体"/>
          <w:lang w:val="en-US" w:eastAsia="zh-CN"/>
        </w:rPr>
        <w:t>检测</w:t>
      </w:r>
      <w:r>
        <w:rPr>
          <w:rFonts w:hint="eastAsia" w:ascii="宋体" w:hAnsi="宋体" w:eastAsia="宋体" w:cs="宋体"/>
          <w:lang w:val="en-US" w:eastAsia="zh-CN"/>
        </w:rPr>
        <w:t>点的布置和保护情况，比对、分析施工</w:t>
      </w:r>
      <w:r>
        <w:rPr>
          <w:rFonts w:hint="eastAsia" w:ascii="宋体" w:hAnsi="宋体" w:cs="宋体"/>
          <w:lang w:val="en-US" w:eastAsia="zh-CN"/>
        </w:rPr>
        <w:t>检测</w:t>
      </w:r>
      <w:r>
        <w:rPr>
          <w:rFonts w:hint="eastAsia" w:ascii="宋体" w:hAnsi="宋体" w:eastAsia="宋体" w:cs="宋体"/>
          <w:lang w:val="en-US" w:eastAsia="zh-CN"/>
        </w:rPr>
        <w:t>数据。发现异常时，及时向甲方反馈。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 按照安全监督机构的要求，配合安全监督机构开展工作。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 对</w:t>
      </w:r>
      <w:r>
        <w:rPr>
          <w:rFonts w:hint="eastAsia" w:ascii="宋体" w:hAnsi="宋体" w:cs="宋体"/>
          <w:lang w:val="en-US" w:eastAsia="zh-CN"/>
        </w:rPr>
        <w:t>检测</w:t>
      </w:r>
      <w:r>
        <w:rPr>
          <w:rFonts w:hint="eastAsia" w:ascii="宋体" w:hAnsi="宋体" w:eastAsia="宋体" w:cs="宋体"/>
          <w:lang w:val="en-US" w:eastAsia="zh-CN"/>
        </w:rPr>
        <w:t>现场发生的安全生产事故要及时上报甲方，并协助甲方调查事故发生原因、人员丧亡和财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产损失情况，提出处理意见和建议。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三、违约责任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因乙方原因造成的乙方人员人身财产损害的，由乙方自行负责；造成其他人员人身财产损害的，应当承担赔偿责任。若乙方在工作期间未履行安全责任，视情节轻重处以</w:t>
      </w:r>
      <w:r>
        <w:rPr>
          <w:rFonts w:hint="eastAsia" w:ascii="宋体" w:hAnsi="宋体" w:cs="宋体"/>
          <w:lang w:val="en-US" w:eastAsia="zh-CN"/>
        </w:rPr>
        <w:t>检测</w:t>
      </w:r>
      <w:r>
        <w:rPr>
          <w:rFonts w:hint="eastAsia" w:ascii="宋体" w:hAnsi="宋体" w:eastAsia="宋体" w:cs="宋体"/>
          <w:lang w:val="en-US" w:eastAsia="zh-CN"/>
        </w:rPr>
        <w:t>人合同价的 5%-10%/次的违约金。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若因乙方原因导致发生安全质量事故，乙方承担全部责任和经济损失（包括因</w:t>
      </w:r>
      <w:r>
        <w:rPr>
          <w:rFonts w:hint="eastAsia" w:ascii="宋体" w:hAnsi="宋体" w:cs="宋体"/>
          <w:lang w:val="en-US" w:eastAsia="zh-CN"/>
        </w:rPr>
        <w:t>检测</w:t>
      </w:r>
      <w:r>
        <w:rPr>
          <w:rFonts w:hint="eastAsia" w:ascii="宋体" w:hAnsi="宋体" w:eastAsia="宋体" w:cs="宋体"/>
          <w:lang w:val="en-US" w:eastAsia="zh-CN"/>
        </w:rPr>
        <w:t>人原因导致的甲方被相关行政主管部门的处罚罚金等）。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本合同份数与主合同份数一致。由双方法定代表人或其授权的代理人签署与加盖公章后生效，主合同完结后失效。</w:t>
      </w:r>
    </w:p>
    <w:p>
      <w:pPr>
        <w:pStyle w:val="2"/>
        <w:rPr>
          <w:rFonts w:hint="eastAsia" w:ascii="宋体" w:hAnsi="宋体" w:eastAsia="宋体" w:cs="宋体"/>
          <w:lang w:val="en-US" w:eastAsia="zh-CN"/>
        </w:rPr>
      </w:pPr>
    </w:p>
    <w:p>
      <w:pPr>
        <w:pStyle w:val="2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甲 方：</w:t>
      </w:r>
      <w:r>
        <w:rPr>
          <w:rFonts w:hint="eastAsia" w:ascii="宋体" w:hAnsi="宋体" w:eastAsia="宋体" w:cs="宋体"/>
          <w:u w:val="single"/>
          <w:lang w:val="en-US" w:eastAsia="zh-CN"/>
        </w:rPr>
        <w:t xml:space="preserve">重庆城市综合交通枢纽   </w:t>
      </w:r>
      <w:r>
        <w:rPr>
          <w:rFonts w:hint="eastAsia" w:ascii="宋体" w:hAnsi="宋体" w:eastAsia="宋体" w:cs="宋体"/>
          <w:u w:val="none"/>
          <w:lang w:val="en-US" w:eastAsia="zh-CN"/>
        </w:rPr>
        <w:t xml:space="preserve">                     </w:t>
      </w:r>
      <w:r>
        <w:rPr>
          <w:rFonts w:hint="eastAsia" w:ascii="宋体" w:hAnsi="宋体" w:eastAsia="宋体" w:cs="宋体"/>
          <w:lang w:val="en-US" w:eastAsia="zh-CN"/>
        </w:rPr>
        <w:t>乙 方：</w:t>
      </w:r>
    </w:p>
    <w:p>
      <w:pPr>
        <w:keepNext w:val="0"/>
        <w:keepLines w:val="0"/>
        <w:pageBreakBefore w:val="0"/>
        <w:widowControl w:val="0"/>
        <w:kinsoku/>
        <w:wordWrap/>
        <w:overflowPunct/>
        <w:topLinePunct w:val="0"/>
        <w:autoSpaceDE/>
        <w:autoSpaceDN/>
        <w:bidi w:val="0"/>
        <w:adjustRightInd/>
        <w:snapToGrid/>
        <w:spacing w:line="360" w:lineRule="auto"/>
        <w:ind w:firstLine="1050" w:firstLineChars="500"/>
        <w:textAlignment w:val="auto"/>
        <w:rPr>
          <w:rFonts w:hint="eastAsia" w:ascii="宋体" w:hAnsi="宋体" w:eastAsia="宋体" w:cs="宋体"/>
          <w:lang w:val="en-US" w:eastAsia="zh-CN"/>
        </w:rPr>
      </w:pPr>
      <w:r>
        <w:rPr>
          <w:rFonts w:hint="eastAsia" w:ascii="宋体" w:hAnsi="宋体" w:eastAsia="宋体" w:cs="宋体"/>
          <w:u w:val="single"/>
          <w:lang w:val="en-US" w:eastAsia="zh-CN"/>
        </w:rPr>
        <w:t>(集团)有限公司</w:t>
      </w:r>
      <w:r>
        <w:rPr>
          <w:rFonts w:hint="eastAsia" w:ascii="宋体" w:hAnsi="宋体" w:eastAsia="宋体" w:cs="宋体"/>
          <w:lang w:val="en-US" w:eastAsia="zh-CN"/>
        </w:rPr>
        <w:t xml:space="preserve">（单位全称）（盖章）            </w:t>
      </w:r>
      <w:r>
        <w:rPr>
          <w:rFonts w:hint="eastAsia" w:ascii="宋体" w:hAnsi="宋体" w:eastAsia="宋体" w:cs="宋体"/>
          <w:u w:val="single"/>
          <w:lang w:val="en-US" w:eastAsia="zh-CN"/>
        </w:rPr>
        <w:t>有限公司（单位全称）</w:t>
      </w:r>
      <w:r>
        <w:rPr>
          <w:rFonts w:hint="eastAsia" w:ascii="宋体" w:hAnsi="宋体" w:eastAsia="宋体" w:cs="宋体"/>
          <w:lang w:val="en-US" w:eastAsia="zh-CN"/>
        </w:rPr>
        <w:t>（盖章）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法定代表人或                                     法定代表人或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其授权的代理人：                                 其授权的代理人：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（签字）                                               （签字）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地址：                                            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 xml:space="preserve">电话：             </w:t>
      </w:r>
      <w:r>
        <w:rPr>
          <w:rFonts w:hint="eastAsia" w:ascii="宋体" w:hAnsi="宋体" w:cs="宋体"/>
          <w:lang w:val="en-US" w:eastAsia="zh-CN"/>
        </w:rPr>
        <w:t xml:space="preserve">                              </w:t>
      </w:r>
      <w:r>
        <w:rPr>
          <w:rFonts w:hint="eastAsia" w:ascii="宋体" w:hAnsi="宋体" w:eastAsia="宋体" w:cs="宋体"/>
          <w:lang w:val="en-US" w:eastAsia="zh-CN"/>
        </w:rPr>
        <w:t>电话：</w:t>
      </w:r>
    </w:p>
    <w:p>
      <w:pPr>
        <w:pStyle w:val="2"/>
        <w:rPr>
          <w:rFonts w:hint="default" w:eastAsia="宋体"/>
          <w:lang w:val="en-US" w:eastAsia="zh-CN"/>
        </w:rPr>
        <w:sectPr>
          <w:pgSz w:w="11906" w:h="16838"/>
          <w:pgMar w:top="1440" w:right="1803" w:bottom="1440" w:left="1803" w:header="851" w:footer="992" w:gutter="0"/>
          <w:cols w:space="0" w:num="1"/>
          <w:rtlGutter w:val="0"/>
          <w:docGrid w:type="lines" w:linePitch="317" w:charSpace="0"/>
        </w:sectPr>
      </w:pPr>
    </w:p>
    <w:p>
      <w:pPr>
        <w:pStyle w:val="2"/>
        <w:jc w:val="both"/>
        <w:rPr>
          <w:rFonts w:hint="eastAsia" w:ascii="宋体" w:hAnsi="宋体" w:eastAsia="宋体" w:cs="宋体"/>
          <w:b/>
          <w:bCs/>
          <w:sz w:val="21"/>
          <w:szCs w:val="21"/>
        </w:rPr>
      </w:pPr>
      <w:r>
        <w:rPr>
          <w:rFonts w:hint="eastAsia" w:ascii="宋体" w:hAnsi="宋体" w:eastAsia="宋体" w:cs="宋体"/>
          <w:sz w:val="21"/>
          <w:szCs w:val="21"/>
        </w:rPr>
        <w:t>附件</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w:t>
      </w:r>
      <w:r>
        <w:rPr>
          <w:rFonts w:hint="eastAsia" w:ascii="宋体" w:hAnsi="宋体" w:eastAsia="宋体" w:cs="宋体"/>
          <w:b/>
          <w:bCs/>
          <w:sz w:val="21"/>
          <w:szCs w:val="21"/>
        </w:rPr>
        <w:t xml:space="preserve">   考勤考核管理要求</w:t>
      </w:r>
    </w:p>
    <w:p>
      <w:pPr>
        <w:pStyle w:val="2"/>
        <w:jc w:val="both"/>
        <w:rPr>
          <w:rFonts w:hint="eastAsia" w:ascii="宋体" w:hAnsi="宋体" w:eastAsia="宋体" w:cs="宋体"/>
          <w:sz w:val="21"/>
          <w:szCs w:val="21"/>
        </w:rPr>
      </w:pP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一、甲方对乙方的检测人员考勤管理</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①采用人脸识别考勤机，对乙方的人员进行考勤管理。</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②乙方的人员考勤管理由甲方负责。</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③考勤管理所需的硬件、软件设备（包括但不限于人脸识别考勤机）或服务，由乙方负责采购、安装、调试、修理、维护、更新，并接入甲方本项目智慧工地系统。</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④考勤管理所需的硬件、软件设备（包括但不限于人脸识别考勤机）按实际工区要求配备。</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⑤考勤设备的日常管理由甲方负责。</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⑥乙方必须提供独立场所安装考勤设备，进行日常考勤，并安装视频监控设备对考勤场所、考勤过程进行监控。</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⑦人员考勤按照“一日两考”（早9点、晚6点）的方式进行。</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乙方检测人员若违反甲方制定的考勤要求，按500元/次支付违约金。</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⑧乙方应当保障常驻项目现场的工作人员总数不少于7人，乙方应将确定的人员信息在进场前7日内提交至甲方审核，甲方审核通过后，由乙方自行将人员人脸信息和指纹信息等录入考勤电子系统。</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除常驻人员外，乙方项目技术负责人应当每月至少到现场工作22天，项目技术负责人工作当日应进行考勤打卡，并纳入甲方对乙方的工作考勤。项目负责人应当每月至少到现场工作22天，项目负责人工作当日应进行考勤打卡，并纳入甲方对乙方的工作考勤。乙方项目负责人和项目技术负责人每月到现场时间不应少于22天，若少于22天，则还需在第⑦款的违约金基础上，额外按5000 元/人·天的标准向委托人支付违约金。</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每个常驻人员岗位的备岗轮班人员最多为1人，轮班人员的相关信息也应当提前录入考勤电子系统。如乙方拟替换常驻人员或备岗人员进入现场工作的，每替换一次应当支付违约金20万元。如乙方拟替换技术负责人进入现场工作的，每替换一次应当支付违约金50万元。如乙方拟替换项目负责人进入现场工作的，每替换一次应当支付违约金100万元。</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⑨乙方应当保障检测工作的正确性和及时性。乙方存在工作不符合要求时，甲方有权发出通知要求限期整改，乙方未在指定期限内整改合格的，应承担10000元/次的违约金，且仍应当承担继续整改的义务。</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甲方在每季度对乙方进行工作考评，通过《检测工作考核评分表》对项目检测工作进行量化考核，并及时补缺整改。检测工作考核满分为100分，采取缺项扣分的计分方式，《评分表》中的内容可按照实际工作需要增加。</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《评分表》基本考核内容具体如下：</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组织机构，共计6分，主要是考核检测单位项目组织机构的合理性、完备性，质量保证体系、安全保证体系，项目负责人、技术负责人和其他检测人员的从业资格及到岗情况，到岗的检测单位人员是否有相应的授权书等。</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（二）规章制度，共计</w:t>
      </w:r>
      <w:r>
        <w:rPr>
          <w:rFonts w:hint="eastAsia" w:ascii="宋体" w:hAnsi="宋体" w:eastAsia="宋体" w:cs="宋体"/>
          <w:sz w:val="21"/>
          <w:szCs w:val="21"/>
          <w:lang w:val="en-US" w:eastAsia="zh-CN"/>
        </w:rPr>
        <w:t>8</w:t>
      </w:r>
      <w:r>
        <w:rPr>
          <w:rFonts w:hint="eastAsia" w:ascii="宋体" w:hAnsi="宋体" w:eastAsia="宋体" w:cs="宋体"/>
          <w:sz w:val="21"/>
          <w:szCs w:val="21"/>
        </w:rPr>
        <w:t>分，主要是考核检测单位的相关制度及工作流程是否建立、完善。</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（三）检测单位履职，共计66分，主要是从检测工作开展的及时性、提交成果的准确性等工作中履职的重点管理工作进行考核。</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（四）检测资料管理，共计2</w:t>
      </w:r>
      <w:r>
        <w:rPr>
          <w:rFonts w:hint="eastAsia" w:ascii="宋体" w:hAnsi="宋体" w:eastAsia="宋体" w:cs="宋体"/>
          <w:sz w:val="21"/>
          <w:szCs w:val="21"/>
          <w:lang w:val="en-US" w:eastAsia="zh-CN"/>
        </w:rPr>
        <w:t>0</w:t>
      </w:r>
      <w:r>
        <w:rPr>
          <w:rFonts w:hint="eastAsia" w:ascii="宋体" w:hAnsi="宋体" w:eastAsia="宋体" w:cs="宋体"/>
          <w:sz w:val="21"/>
          <w:szCs w:val="21"/>
        </w:rPr>
        <w:t>分，主要考核检测工作的程序性、发生事故的资料的可追溯性以及为业主形象进度审核提供的基础资料可采用性。</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考核情况填入《评分表》中，按扣分计算每次考核总分数。考核分为优秀（得分90-100分）、良好（得分80-89分）、合格（得分70-79）及不合格（得分70分以下）四个档次。</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考核奖励</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（一）若检测单位当季考核为优秀，将在业主通报表扬。</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（二）若检测单位连续两季度考核为优秀时，除在业主通报表扬外，同时枢纽集团向检测单位发正式表扬函。</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（三）若检测单位连续三季度及以上，获得年度优秀红旗一面，该检测单位项目负责人获得年度优秀个人。</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考核惩罚</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若检测单位当季考核不合格，须进行原因分析、查找问题，对扣分项提出整改措施，并于5个工作日内提交书面报告及有效改进措施，同时检测单位应无条件响应甲方提出的撤换相关检测单位人员的要求，更换人员资格和经验须符合招标文件的要求。另由甲方对检测单位进行10000元的经济处罚，约谈检测单位公司总经理，并对该检测单位进行通报批评。</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如检测单位连续两季度考核不合格或出现以下情形之一时，将对该检测单位进行通报批评，约谈检测公司法定代表人，并报市城乡建委进行备案。检测单位须于5个工作日内撤换项目负责人或主要检测人员，撤换人员资格和经验须符合招标文件的要求。</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1、违反国家或地方现行有效的法律、法规、规章制度。</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2、所检测的工程项目出具检测合格报告，但出现安全生产事故、工程质量事故的。</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3、检测单位人员拒不执行甲方合法指令、欺骗甲方、敷衍塞责等且经指正仍未有效整改的。</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4、检测单位员出现吃、拿、卡、要、故意刁难、弄虚作假、不作为、参加不健康的活动等违约和不廉洁行为。</w:t>
      </w:r>
    </w:p>
    <w:p>
      <w:pPr>
        <w:spacing w:line="5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5、在重大关键验收节点、备案阶段、保修期出现不配合、阻挠工程工作开展的。</w:t>
      </w:r>
    </w:p>
    <w:p>
      <w:pPr>
        <w:spacing w:line="540" w:lineRule="exact"/>
        <w:ind w:firstLine="420" w:firstLineChars="200"/>
        <w:rPr>
          <w:rFonts w:hint="eastAsia"/>
          <w:lang w:val="en-US" w:eastAsia="zh-CN"/>
        </w:rPr>
        <w:sectPr>
          <w:pgSz w:w="11906" w:h="16838"/>
          <w:pgMar w:top="1440" w:right="1803" w:bottom="1440" w:left="1803" w:header="851" w:footer="992" w:gutter="0"/>
          <w:cols w:space="0" w:num="1"/>
          <w:rtlGutter w:val="0"/>
          <w:docGrid w:type="lines" w:linePitch="317" w:charSpace="0"/>
        </w:sectPr>
      </w:pPr>
      <w:r>
        <w:rPr>
          <w:rFonts w:hint="eastAsia" w:ascii="宋体" w:hAnsi="宋体" w:eastAsia="宋体" w:cs="宋体"/>
          <w:sz w:val="21"/>
          <w:szCs w:val="21"/>
        </w:rPr>
        <w:t>6、其他情节严重的各种违约、违规行为</w:t>
      </w:r>
      <w:r>
        <w:rPr>
          <w:rFonts w:hint="eastAsia"/>
          <w:lang w:val="en-US" w:eastAsia="zh-CN"/>
        </w:rPr>
        <w:t>。</w:t>
      </w:r>
    </w:p>
    <w:tbl>
      <w:tblPr>
        <w:tblStyle w:val="13"/>
        <w:tblW w:w="31658" w:type="dxa"/>
        <w:tblInd w:w="-458" w:type="dxa"/>
        <w:tblLayout w:type="fixed"/>
        <w:tblCellMar>
          <w:top w:w="0" w:type="dxa"/>
          <w:left w:w="108" w:type="dxa"/>
          <w:bottom w:w="0" w:type="dxa"/>
          <w:right w:w="108" w:type="dxa"/>
        </w:tblCellMar>
      </w:tblPr>
      <w:tblGrid>
        <w:gridCol w:w="1576"/>
        <w:gridCol w:w="70"/>
        <w:gridCol w:w="4042"/>
        <w:gridCol w:w="458"/>
        <w:gridCol w:w="540"/>
        <w:gridCol w:w="1372"/>
        <w:gridCol w:w="1925"/>
        <w:gridCol w:w="3195"/>
        <w:gridCol w:w="7600"/>
        <w:gridCol w:w="10160"/>
        <w:gridCol w:w="360"/>
        <w:gridCol w:w="360"/>
      </w:tblGrid>
      <w:tr>
        <w:tblPrEx>
          <w:tblCellMar>
            <w:top w:w="0" w:type="dxa"/>
            <w:left w:w="108" w:type="dxa"/>
            <w:bottom w:w="0" w:type="dxa"/>
            <w:right w:w="108" w:type="dxa"/>
          </w:tblCellMar>
        </w:tblPrEx>
        <w:trPr>
          <w:gridAfter w:val="5"/>
          <w:wAfter w:w="21675" w:type="dxa"/>
          <w:trHeight w:val="779" w:hRule="atLeast"/>
        </w:trPr>
        <w:tc>
          <w:tcPr>
            <w:tcW w:w="9983" w:type="dxa"/>
            <w:gridSpan w:val="7"/>
            <w:tcBorders>
              <w:top w:val="nil"/>
              <w:left w:val="nil"/>
              <w:bottom w:val="nil"/>
              <w:right w:val="nil"/>
            </w:tcBorders>
            <w:noWrap w:val="0"/>
            <w:vAlign w:val="top"/>
          </w:tcPr>
          <w:p>
            <w:pPr>
              <w:jc w:val="center"/>
              <w:rPr>
                <w:rFonts w:hint="eastAsia" w:ascii="宋体" w:hAnsi="宋体" w:eastAsia="宋体" w:cs="宋体"/>
                <w:sz w:val="48"/>
                <w:szCs w:val="48"/>
              </w:rPr>
            </w:pPr>
            <w:r>
              <w:rPr>
                <w:rFonts w:hint="eastAsia" w:ascii="宋体" w:hAnsi="宋体" w:eastAsia="宋体" w:cs="宋体"/>
                <w:b/>
                <w:sz w:val="32"/>
                <w:szCs w:val="32"/>
              </w:rPr>
              <w:t>检测工作考核评分表</w:t>
            </w:r>
          </w:p>
        </w:tc>
      </w:tr>
      <w:tr>
        <w:tblPrEx>
          <w:tblCellMar>
            <w:top w:w="0" w:type="dxa"/>
            <w:left w:w="108" w:type="dxa"/>
            <w:bottom w:w="0" w:type="dxa"/>
            <w:right w:w="108" w:type="dxa"/>
          </w:tblCellMar>
        </w:tblPrEx>
        <w:trPr>
          <w:gridAfter w:val="5"/>
          <w:wAfter w:w="21675" w:type="dxa"/>
          <w:trHeight w:val="499" w:hRule="atLeast"/>
        </w:trPr>
        <w:tc>
          <w:tcPr>
            <w:tcW w:w="1646"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工程名称</w:t>
            </w:r>
          </w:p>
        </w:tc>
        <w:tc>
          <w:tcPr>
            <w:tcW w:w="450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　</w:t>
            </w:r>
          </w:p>
        </w:tc>
        <w:tc>
          <w:tcPr>
            <w:tcW w:w="1912"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检测合同编号</w:t>
            </w:r>
          </w:p>
        </w:tc>
        <w:tc>
          <w:tcPr>
            <w:tcW w:w="1925"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99" w:hRule="atLeast"/>
        </w:trPr>
        <w:tc>
          <w:tcPr>
            <w:tcW w:w="1646" w:type="dxa"/>
            <w:gridSpan w:val="2"/>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检测单位</w:t>
            </w:r>
          </w:p>
        </w:tc>
        <w:tc>
          <w:tcPr>
            <w:tcW w:w="8337" w:type="dxa"/>
            <w:gridSpan w:val="5"/>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99" w:hRule="atLeast"/>
        </w:trPr>
        <w:tc>
          <w:tcPr>
            <w:tcW w:w="1646" w:type="dxa"/>
            <w:gridSpan w:val="2"/>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序号</w:t>
            </w:r>
          </w:p>
        </w:tc>
        <w:tc>
          <w:tcPr>
            <w:tcW w:w="404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考核内容</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分值</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实得分</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CellMar>
            <w:top w:w="0" w:type="dxa"/>
            <w:left w:w="108" w:type="dxa"/>
            <w:bottom w:w="0" w:type="dxa"/>
            <w:right w:w="108" w:type="dxa"/>
          </w:tblCellMar>
        </w:tblPrEx>
        <w:trPr>
          <w:gridAfter w:val="5"/>
          <w:wAfter w:w="21675" w:type="dxa"/>
          <w:trHeight w:val="285" w:hRule="atLeast"/>
        </w:trPr>
        <w:tc>
          <w:tcPr>
            <w:tcW w:w="5688" w:type="dxa"/>
            <w:gridSpan w:val="3"/>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总计</w:t>
            </w:r>
          </w:p>
        </w:tc>
        <w:tc>
          <w:tcPr>
            <w:tcW w:w="998"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100分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371"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一</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b/>
                <w:bCs/>
                <w:sz w:val="24"/>
              </w:rPr>
            </w:pPr>
            <w:r>
              <w:rPr>
                <w:rFonts w:hint="eastAsia" w:ascii="宋体" w:hAnsi="宋体" w:eastAsia="宋体" w:cs="宋体"/>
                <w:b/>
                <w:bCs/>
                <w:sz w:val="24"/>
              </w:rPr>
              <w:t>组织机构</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6分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65"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单位资质、组织架构和各种岗位职责(缺一项扣0.5分，扣完为止）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285"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检测人员从业资格、持证上岗及资格证书（缺一项扣0.5分，扣完为止）。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435"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质量管理体系、安全保证措施、廉政保证措施的建立情况（缺一项扣1分，扣完为止）。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386"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二</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b/>
                <w:bCs/>
                <w:sz w:val="24"/>
              </w:rPr>
            </w:pPr>
            <w:r>
              <w:rPr>
                <w:rFonts w:hint="eastAsia" w:ascii="宋体" w:hAnsi="宋体" w:eastAsia="宋体" w:cs="宋体"/>
                <w:b/>
                <w:bCs/>
                <w:sz w:val="24"/>
              </w:rPr>
              <w:t>规章制度</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57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检测方案规划 （如建筑材料见证取样制度） 的审批及执行情况</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442"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检测实施细则的审批及执行情况</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42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检测单位检查制度</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412"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质量验收资料管理</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464"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人员考勤制度</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驻场检测人员每月到岗时间不低于22天，所有人员</w:t>
            </w:r>
            <w:r>
              <w:rPr>
                <w:rFonts w:hint="eastAsia" w:ascii="宋体" w:hAnsi="宋体" w:eastAsia="宋体" w:cs="宋体"/>
                <w:sz w:val="18"/>
                <w:szCs w:val="18"/>
              </w:rPr>
              <w:t>全勤</w:t>
            </w:r>
            <w:r>
              <w:rPr>
                <w:rFonts w:hint="eastAsia" w:ascii="宋体" w:hAnsi="宋体" w:eastAsia="宋体" w:cs="宋体"/>
                <w:sz w:val="18"/>
                <w:szCs w:val="18"/>
                <w:lang w:val="en-US" w:eastAsia="zh-CN"/>
              </w:rPr>
              <w:t>得3分，若有人员旷工、迟到、早退，每有一次扣0.5分，扣完为止。</w:t>
            </w:r>
          </w:p>
        </w:tc>
      </w:tr>
      <w:tr>
        <w:tblPrEx>
          <w:tblCellMar>
            <w:top w:w="0" w:type="dxa"/>
            <w:left w:w="108" w:type="dxa"/>
            <w:bottom w:w="0" w:type="dxa"/>
            <w:right w:w="108" w:type="dxa"/>
          </w:tblCellMar>
        </w:tblPrEx>
        <w:trPr>
          <w:gridAfter w:val="5"/>
          <w:wAfter w:w="21675" w:type="dxa"/>
          <w:trHeight w:val="416"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三</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b/>
                <w:bCs/>
                <w:sz w:val="24"/>
              </w:rPr>
            </w:pPr>
            <w:r>
              <w:rPr>
                <w:rFonts w:hint="eastAsia" w:ascii="宋体" w:hAnsi="宋体" w:eastAsia="宋体" w:cs="宋体"/>
                <w:b/>
                <w:bCs/>
                <w:sz w:val="24"/>
              </w:rPr>
              <w:t>检测履职</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66分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b/>
                <w:bCs/>
                <w:sz w:val="24"/>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435"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b/>
                <w:sz w:val="18"/>
                <w:szCs w:val="18"/>
              </w:rPr>
            </w:pPr>
            <w:r>
              <w:rPr>
                <w:rFonts w:hint="eastAsia" w:ascii="宋体" w:hAnsi="宋体" w:eastAsia="宋体" w:cs="宋体"/>
                <w:b/>
                <w:sz w:val="18"/>
                <w:szCs w:val="18"/>
              </w:rPr>
              <w:t>进度管理履职</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8分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413"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1.1</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编制详细的检测总体计划</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9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1.2</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结合经审核的施工单位工程施工周、月、季进度计划，调整检测计划方案，开展检测工作（缺一项扣1分，扣完为止）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481"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1.3</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对于工程例会及专题会议中明确须检测单位解决的事项，及时解决情况</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390" w:hRule="atLeast"/>
        </w:trPr>
        <w:tc>
          <w:tcPr>
            <w:tcW w:w="157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2 </w:t>
            </w:r>
          </w:p>
        </w:tc>
        <w:tc>
          <w:tcPr>
            <w:tcW w:w="4112" w:type="dxa"/>
            <w:gridSpan w:val="2"/>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b/>
                <w:sz w:val="18"/>
                <w:szCs w:val="18"/>
              </w:rPr>
              <w:t>质量管理履职</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20分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当期发生质量事故分值为0　</w:t>
            </w:r>
          </w:p>
        </w:tc>
      </w:tr>
      <w:tr>
        <w:tblPrEx>
          <w:tblCellMar>
            <w:top w:w="0" w:type="dxa"/>
            <w:left w:w="108" w:type="dxa"/>
            <w:bottom w:w="0" w:type="dxa"/>
            <w:right w:w="108" w:type="dxa"/>
          </w:tblCellMar>
        </w:tblPrEx>
        <w:trPr>
          <w:gridAfter w:val="5"/>
          <w:wAfter w:w="21675" w:type="dxa"/>
          <w:trHeight w:val="428" w:hRule="atLeast"/>
        </w:trPr>
        <w:tc>
          <w:tcPr>
            <w:tcW w:w="157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2.1</w:t>
            </w:r>
          </w:p>
        </w:tc>
        <w:tc>
          <w:tcPr>
            <w:tcW w:w="4112" w:type="dxa"/>
            <w:gridSpan w:val="2"/>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见证制度的执行情况：检查检测日志、见证记录等</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4分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526" w:hRule="atLeast"/>
        </w:trPr>
        <w:tc>
          <w:tcPr>
            <w:tcW w:w="1576" w:type="dxa"/>
            <w:tcBorders>
              <w:top w:val="nil"/>
              <w:left w:val="single" w:color="auto" w:sz="4" w:space="0"/>
              <w:bottom w:val="single" w:color="auto" w:sz="4" w:space="0"/>
              <w:right w:val="nil"/>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2.2</w:t>
            </w:r>
          </w:p>
        </w:tc>
        <w:tc>
          <w:tcPr>
            <w:tcW w:w="4112" w:type="dxa"/>
            <w:gridSpan w:val="2"/>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b/>
                <w:sz w:val="18"/>
                <w:szCs w:val="18"/>
              </w:rPr>
            </w:pPr>
            <w:r>
              <w:rPr>
                <w:rFonts w:hint="eastAsia" w:ascii="宋体" w:hAnsi="宋体" w:eastAsia="宋体" w:cs="宋体"/>
                <w:sz w:val="18"/>
                <w:szCs w:val="18"/>
              </w:rPr>
              <w:t>工程资料的保存情况及对工程归档资料的及时签认情况：检查相关资料</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443"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2.3</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质量成果文件提交的及时性</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434"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2.4</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质量成果文件的准确率</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4分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45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2.5</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对工程质量问题或质量事故按程序上报及处理的及时性、完整性的情况：查看相关会议纪要及报告（发生一次扣2分，扣完为止）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6分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c>
          <w:tcPr>
            <w:tcW w:w="192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r>
      <w:tr>
        <w:tblPrEx>
          <w:tblCellMar>
            <w:top w:w="0" w:type="dxa"/>
            <w:left w:w="108" w:type="dxa"/>
            <w:bottom w:w="0" w:type="dxa"/>
            <w:right w:w="108" w:type="dxa"/>
          </w:tblCellMar>
        </w:tblPrEx>
        <w:trPr>
          <w:gridAfter w:val="5"/>
          <w:wAfter w:w="21675" w:type="dxa"/>
          <w:trHeight w:val="45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3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b/>
                <w:sz w:val="18"/>
                <w:szCs w:val="18"/>
              </w:rPr>
              <w:t>安全管理、廉政管理履职</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10分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当期发生安全事故分值为0</w:t>
            </w:r>
          </w:p>
        </w:tc>
      </w:tr>
      <w:tr>
        <w:tblPrEx>
          <w:tblCellMar>
            <w:top w:w="0" w:type="dxa"/>
            <w:left w:w="108" w:type="dxa"/>
            <w:bottom w:w="0" w:type="dxa"/>
            <w:right w:w="108" w:type="dxa"/>
          </w:tblCellMar>
        </w:tblPrEx>
        <w:trPr>
          <w:gridAfter w:val="5"/>
          <w:wAfter w:w="21675" w:type="dxa"/>
          <w:trHeight w:val="9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3.1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三级安全教育及记录</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55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3.2</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b/>
                <w:sz w:val="18"/>
                <w:szCs w:val="18"/>
              </w:rPr>
            </w:pPr>
            <w:r>
              <w:rPr>
                <w:rFonts w:hint="eastAsia" w:ascii="宋体" w:hAnsi="宋体" w:eastAsia="宋体" w:cs="宋体"/>
                <w:sz w:val="18"/>
                <w:szCs w:val="18"/>
              </w:rPr>
              <w:t>检测单位人员违反施工现场安全管理规定（如施工现场未按规定佩带安全帽 ）（发生一次扣1分，扣完为止）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526"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3.3</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经检查的安全隐患未进行及时整改，再次检查相同隐患仍然存在的（发生一次扣1分，扣完为止）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525"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3.4</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廉政协议责任内容（违反廉政协议的规定，发生一次扣1分，扣完为止）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gridAfter w:val="5"/>
          <w:wAfter w:w="21675" w:type="dxa"/>
          <w:trHeight w:val="368" w:hRule="atLeast"/>
        </w:trPr>
        <w:tc>
          <w:tcPr>
            <w:tcW w:w="1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411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b/>
                <w:sz w:val="18"/>
                <w:szCs w:val="18"/>
              </w:rPr>
              <w:t xml:space="preserve">合同、造价管理履职 </w:t>
            </w:r>
          </w:p>
        </w:tc>
        <w:tc>
          <w:tcPr>
            <w:tcW w:w="998"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10分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　</w:t>
            </w:r>
          </w:p>
        </w:tc>
      </w:tr>
      <w:tr>
        <w:tblPrEx>
          <w:tblCellMar>
            <w:top w:w="0" w:type="dxa"/>
            <w:left w:w="108" w:type="dxa"/>
            <w:bottom w:w="0" w:type="dxa"/>
            <w:right w:w="108" w:type="dxa"/>
          </w:tblCellMar>
        </w:tblPrEx>
        <w:trPr>
          <w:gridAfter w:val="5"/>
          <w:wAfter w:w="21675" w:type="dxa"/>
          <w:trHeight w:val="518" w:hRule="atLeast"/>
        </w:trPr>
        <w:tc>
          <w:tcPr>
            <w:tcW w:w="1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4.1</w:t>
            </w:r>
          </w:p>
        </w:tc>
        <w:tc>
          <w:tcPr>
            <w:tcW w:w="411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配套期中计量支付的检测报告及时性、准确性、全面性</w:t>
            </w:r>
          </w:p>
        </w:tc>
        <w:tc>
          <w:tcPr>
            <w:tcW w:w="998"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10分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p>
        </w:tc>
      </w:tr>
      <w:tr>
        <w:tblPrEx>
          <w:tblCellMar>
            <w:top w:w="0" w:type="dxa"/>
            <w:left w:w="108" w:type="dxa"/>
            <w:bottom w:w="0" w:type="dxa"/>
            <w:right w:w="108" w:type="dxa"/>
          </w:tblCellMar>
        </w:tblPrEx>
        <w:trPr>
          <w:gridAfter w:val="5"/>
          <w:wAfter w:w="21675" w:type="dxa"/>
          <w:trHeight w:val="428" w:hRule="atLeast"/>
        </w:trPr>
        <w:tc>
          <w:tcPr>
            <w:tcW w:w="1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5 </w:t>
            </w:r>
          </w:p>
        </w:tc>
        <w:tc>
          <w:tcPr>
            <w:tcW w:w="411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sz w:val="18"/>
                <w:szCs w:val="18"/>
              </w:rPr>
            </w:pPr>
            <w:r>
              <w:rPr>
                <w:rFonts w:hint="eastAsia" w:ascii="宋体" w:hAnsi="宋体" w:eastAsia="宋体" w:cs="宋体"/>
                <w:b/>
                <w:sz w:val="18"/>
                <w:szCs w:val="18"/>
              </w:rPr>
              <w:t>信息管理履职</w:t>
            </w:r>
          </w:p>
        </w:tc>
        <w:tc>
          <w:tcPr>
            <w:tcW w:w="998"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12分</w:t>
            </w:r>
          </w:p>
        </w:tc>
        <w:tc>
          <w:tcPr>
            <w:tcW w:w="1372"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b/>
                <w:bCs/>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89" w:hRule="atLeast"/>
        </w:trPr>
        <w:tc>
          <w:tcPr>
            <w:tcW w:w="15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5.1 </w:t>
            </w:r>
          </w:p>
        </w:tc>
        <w:tc>
          <w:tcPr>
            <w:tcW w:w="4112"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加强工程建设文件信息化管理，确保自身检测档案按甲方档案管理规定同步、规范、齐全、严谨形成</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534"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5.2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检测单位工程类文件管理专人应熟悉办件流程并能熟练操作工程平台</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81"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5.3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检测单位工程类文件管理专人应做到报送、接收文件整齐有序，做好记录有迹可查</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89"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5.4</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b/>
                <w:sz w:val="18"/>
                <w:szCs w:val="18"/>
              </w:rPr>
            </w:pPr>
            <w:r>
              <w:rPr>
                <w:rFonts w:hint="eastAsia" w:ascii="宋体" w:hAnsi="宋体" w:eastAsia="宋体" w:cs="宋体"/>
                <w:sz w:val="18"/>
                <w:szCs w:val="18"/>
              </w:rPr>
              <w:t xml:space="preserve">检测单位工程类文件管理专人应保持通讯畅通，重大或紧急情况下能够及时沟通协调处理 </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b/>
                <w:bCs/>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503"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5.5</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检测成果及时上传建委网站、同步上传甲方信息管理平台</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4分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p>
        </w:tc>
      </w:tr>
      <w:tr>
        <w:tblPrEx>
          <w:tblCellMar>
            <w:top w:w="0" w:type="dxa"/>
            <w:left w:w="108" w:type="dxa"/>
            <w:bottom w:w="0" w:type="dxa"/>
            <w:right w:w="108" w:type="dxa"/>
          </w:tblCellMar>
        </w:tblPrEx>
        <w:trPr>
          <w:gridAfter w:val="5"/>
          <w:wAfter w:w="21675" w:type="dxa"/>
          <w:trHeight w:val="45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6</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b/>
                <w:sz w:val="18"/>
                <w:szCs w:val="18"/>
              </w:rPr>
              <w:t>工程协调履职</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6分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548"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6.1</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参加每周例会和质量安全检查会（缺席一次，扣1分，扣完为止）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4分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5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6.2</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参加项目协调会或工作会</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16"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b/>
                <w:bCs/>
                <w:sz w:val="24"/>
              </w:rPr>
              <w:t>四</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b/>
                <w:sz w:val="18"/>
                <w:szCs w:val="18"/>
              </w:rPr>
            </w:pPr>
            <w:r>
              <w:rPr>
                <w:rFonts w:hint="eastAsia" w:ascii="宋体" w:hAnsi="宋体" w:eastAsia="宋体" w:cs="宋体"/>
                <w:b/>
                <w:bCs/>
                <w:sz w:val="24"/>
              </w:rPr>
              <w:t>检测资料管理</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b/>
                <w:bCs/>
                <w:sz w:val="24"/>
              </w:rPr>
              <w:t>2</w:t>
            </w:r>
            <w:r>
              <w:rPr>
                <w:rFonts w:hint="eastAsia" w:ascii="宋体" w:hAnsi="宋体" w:eastAsia="宋体" w:cs="宋体"/>
                <w:b/>
                <w:bCs/>
                <w:sz w:val="24"/>
                <w:lang w:val="en-US" w:eastAsia="zh-CN"/>
              </w:rPr>
              <w:t>0</w:t>
            </w:r>
            <w:r>
              <w:rPr>
                <w:rFonts w:hint="eastAsia" w:ascii="宋体" w:hAnsi="宋体" w:eastAsia="宋体" w:cs="宋体"/>
                <w:b/>
                <w:bCs/>
                <w:sz w:val="24"/>
              </w:rPr>
              <w:t>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5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1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合同、图纸、会议纪要、变更通知、建设各方往来文件等资料专人管理</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285"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2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所监管项目图纸、变更、联系单、会议纪要、施工组织设计、专项方案等管理有序，分别归类，并标记 “ 受控 ” 或 “ 在用 ”</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65"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3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所有文件收发工作建立收发文登记制度</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1分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533"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4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项目施工技术资料、安全资料等与工程进度不同步和不完整（发现一次扣1分，扣完为止）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3分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511"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sz w:val="18"/>
                <w:szCs w:val="18"/>
              </w:rPr>
              <w:t xml:space="preserve">5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b/>
                <w:bCs/>
                <w:sz w:val="24"/>
              </w:rPr>
            </w:pPr>
            <w:r>
              <w:rPr>
                <w:rFonts w:hint="eastAsia" w:ascii="宋体" w:hAnsi="宋体" w:eastAsia="宋体" w:cs="宋体"/>
                <w:sz w:val="18"/>
                <w:szCs w:val="18"/>
              </w:rPr>
              <w:t>工程例会、专题会议纪要提交不及时、内容不真实、不全面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b/>
                <w:bCs/>
                <w:sz w:val="24"/>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5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6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月报编制全面、报送、及时</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8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7</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监理通知单及回复， 施工单位整改完毕及时复查</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285"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8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检测日志（填写人的资格； 内容真实、齐全、填写及时）</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2分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450" w:hRule="atLeast"/>
        </w:trPr>
        <w:tc>
          <w:tcPr>
            <w:tcW w:w="1576"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9 </w:t>
            </w:r>
          </w:p>
        </w:tc>
        <w:tc>
          <w:tcPr>
            <w:tcW w:w="4112"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18"/>
                <w:szCs w:val="18"/>
              </w:rPr>
            </w:pPr>
            <w:r>
              <w:rPr>
                <w:rFonts w:hint="eastAsia" w:ascii="宋体" w:hAnsi="宋体" w:eastAsia="宋体" w:cs="宋体"/>
                <w:sz w:val="18"/>
                <w:szCs w:val="18"/>
              </w:rPr>
              <w:t>检测材料台帐、见证取样台帐、检测结果不合格台帐等（缺项、完整性、及时性，发现一项扣1分，扣完为止）</w:t>
            </w: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分</w:t>
            </w: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w:t>
            </w:r>
          </w:p>
        </w:tc>
      </w:tr>
      <w:tr>
        <w:tblPrEx>
          <w:tblCellMar>
            <w:top w:w="0" w:type="dxa"/>
            <w:left w:w="108" w:type="dxa"/>
            <w:bottom w:w="0" w:type="dxa"/>
            <w:right w:w="108" w:type="dxa"/>
          </w:tblCellMar>
        </w:tblPrEx>
        <w:trPr>
          <w:gridAfter w:val="5"/>
          <w:wAfter w:w="21675" w:type="dxa"/>
          <w:trHeight w:val="607" w:hRule="atLeast"/>
        </w:trPr>
        <w:tc>
          <w:tcPr>
            <w:tcW w:w="5688" w:type="dxa"/>
            <w:gridSpan w:val="3"/>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综合得分：</w:t>
            </w:r>
          </w:p>
          <w:p>
            <w:pPr>
              <w:rPr>
                <w:rFonts w:hint="eastAsia" w:ascii="宋体" w:hAnsi="宋体" w:eastAsia="宋体" w:cs="宋体"/>
                <w:sz w:val="18"/>
                <w:szCs w:val="18"/>
              </w:rPr>
            </w:pPr>
          </w:p>
        </w:tc>
        <w:tc>
          <w:tcPr>
            <w:tcW w:w="998" w:type="dxa"/>
            <w:gridSpan w:val="2"/>
            <w:tcBorders>
              <w:top w:val="nil"/>
              <w:left w:val="nil"/>
              <w:bottom w:val="single" w:color="auto" w:sz="4" w:space="0"/>
              <w:right w:val="single" w:color="auto" w:sz="4" w:space="0"/>
            </w:tcBorders>
            <w:noWrap w:val="0"/>
            <w:vAlign w:val="center"/>
          </w:tcPr>
          <w:p>
            <w:pPr>
              <w:jc w:val="center"/>
              <w:rPr>
                <w:rFonts w:hint="eastAsia" w:ascii="宋体" w:hAnsi="宋体" w:eastAsia="宋体" w:cs="宋体"/>
                <w:sz w:val="18"/>
                <w:szCs w:val="18"/>
              </w:rPr>
            </w:pPr>
          </w:p>
        </w:tc>
        <w:tc>
          <w:tcPr>
            <w:tcW w:w="1372"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p>
        </w:tc>
        <w:tc>
          <w:tcPr>
            <w:tcW w:w="192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4"/>
              </w:rPr>
            </w:pPr>
          </w:p>
        </w:tc>
      </w:tr>
      <w:tr>
        <w:tblPrEx>
          <w:tblCellMar>
            <w:top w:w="0" w:type="dxa"/>
            <w:left w:w="108" w:type="dxa"/>
            <w:bottom w:w="0" w:type="dxa"/>
            <w:right w:w="108" w:type="dxa"/>
          </w:tblCellMar>
        </w:tblPrEx>
        <w:trPr>
          <w:gridAfter w:val="5"/>
          <w:wAfter w:w="21675" w:type="dxa"/>
          <w:trHeight w:val="907" w:hRule="atLeast"/>
        </w:trPr>
        <w:tc>
          <w:tcPr>
            <w:tcW w:w="9983"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□优秀（得分90-100分）；□良好（得分80-89分）；□合格（70-79）□不合格（得分70分以下）</w:t>
            </w:r>
          </w:p>
        </w:tc>
      </w:tr>
      <w:tr>
        <w:tblPrEx>
          <w:tblCellMar>
            <w:top w:w="0" w:type="dxa"/>
            <w:left w:w="108" w:type="dxa"/>
            <w:bottom w:w="0" w:type="dxa"/>
            <w:right w:w="108" w:type="dxa"/>
          </w:tblCellMar>
        </w:tblPrEx>
        <w:trPr>
          <w:gridAfter w:val="5"/>
          <w:wAfter w:w="21675" w:type="dxa"/>
          <w:trHeight w:val="1507" w:hRule="atLeast"/>
        </w:trPr>
        <w:tc>
          <w:tcPr>
            <w:tcW w:w="9983" w:type="dxa"/>
            <w:gridSpan w:val="7"/>
            <w:tcBorders>
              <w:top w:val="single" w:color="auto" w:sz="4" w:space="0"/>
              <w:left w:val="single" w:color="auto" w:sz="4" w:space="0"/>
              <w:bottom w:val="nil"/>
              <w:right w:val="single" w:color="auto" w:sz="4" w:space="0"/>
            </w:tcBorders>
            <w:noWrap w:val="0"/>
            <w:vAlign w:val="top"/>
          </w:tcPr>
          <w:p>
            <w:pPr>
              <w:rPr>
                <w:rFonts w:hint="eastAsia" w:ascii="宋体" w:hAnsi="宋体" w:eastAsia="宋体" w:cs="宋体"/>
                <w:sz w:val="24"/>
              </w:rPr>
            </w:pPr>
            <w:r>
              <w:rPr>
                <w:rFonts w:hint="eastAsia" w:ascii="宋体" w:hAnsi="宋体" w:eastAsia="宋体" w:cs="宋体"/>
                <w:sz w:val="24"/>
              </w:rPr>
              <w:t>检测</w:t>
            </w:r>
            <w:r>
              <w:rPr>
                <w:rFonts w:hint="eastAsia" w:ascii="宋体" w:hAnsi="宋体" w:eastAsia="宋体" w:cs="宋体"/>
                <w:sz w:val="24"/>
                <w:lang w:val="en-US" w:eastAsia="zh-CN"/>
              </w:rPr>
              <w:t>单位</w:t>
            </w:r>
            <w:r>
              <w:rPr>
                <w:rFonts w:hint="eastAsia" w:ascii="宋体" w:hAnsi="宋体" w:eastAsia="宋体" w:cs="宋体"/>
                <w:sz w:val="24"/>
                <w:lang w:eastAsia="zh-CN"/>
              </w:rPr>
              <w:t>项目</w:t>
            </w:r>
            <w:r>
              <w:rPr>
                <w:rFonts w:hint="eastAsia" w:ascii="宋体" w:hAnsi="宋体" w:eastAsia="宋体" w:cs="宋体"/>
                <w:sz w:val="24"/>
              </w:rPr>
              <w:t>负责人签字：　　　　</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ind w:firstLine="1200" w:firstLineChars="500"/>
              <w:rPr>
                <w:rFonts w:hint="eastAsia" w:ascii="宋体" w:hAnsi="宋体" w:eastAsia="宋体" w:cs="宋体"/>
                <w:sz w:val="24"/>
              </w:rPr>
            </w:pPr>
            <w:r>
              <w:rPr>
                <w:rFonts w:hint="eastAsia" w:ascii="宋体" w:hAnsi="宋体" w:eastAsia="宋体" w:cs="宋体"/>
                <w:sz w:val="24"/>
              </w:rPr>
              <w:t>年  月   日</w:t>
            </w:r>
          </w:p>
        </w:tc>
      </w:tr>
      <w:tr>
        <w:tblPrEx>
          <w:tblCellMar>
            <w:top w:w="0" w:type="dxa"/>
            <w:left w:w="108" w:type="dxa"/>
            <w:bottom w:w="0" w:type="dxa"/>
            <w:right w:w="108" w:type="dxa"/>
          </w:tblCellMar>
        </w:tblPrEx>
        <w:trPr>
          <w:gridAfter w:val="5"/>
          <w:wAfter w:w="21675" w:type="dxa"/>
          <w:trHeight w:val="285" w:hRule="atLeast"/>
        </w:trPr>
        <w:tc>
          <w:tcPr>
            <w:tcW w:w="9983" w:type="dxa"/>
            <w:gridSpan w:val="7"/>
            <w:tcBorders>
              <w:top w:val="single" w:color="auto" w:sz="4" w:space="0"/>
              <w:left w:val="single" w:color="auto" w:sz="4" w:space="0"/>
              <w:bottom w:val="nil"/>
              <w:right w:val="single" w:color="auto" w:sz="4" w:space="0"/>
            </w:tcBorders>
            <w:noWrap w:val="0"/>
            <w:vAlign w:val="top"/>
          </w:tcPr>
          <w:p>
            <w:pPr>
              <w:rPr>
                <w:rFonts w:hint="eastAsia" w:ascii="宋体" w:hAnsi="宋体" w:eastAsia="宋体" w:cs="宋体"/>
                <w:sz w:val="24"/>
              </w:rPr>
            </w:pPr>
          </w:p>
        </w:tc>
      </w:tr>
      <w:tr>
        <w:tblPrEx>
          <w:tblCellMar>
            <w:top w:w="0" w:type="dxa"/>
            <w:left w:w="108" w:type="dxa"/>
            <w:bottom w:w="0" w:type="dxa"/>
            <w:right w:w="108" w:type="dxa"/>
          </w:tblCellMar>
        </w:tblPrEx>
        <w:trPr>
          <w:gridAfter w:val="1"/>
          <w:wAfter w:w="360" w:type="dxa"/>
          <w:trHeight w:val="624" w:hRule="atLeast"/>
        </w:trPr>
        <w:tc>
          <w:tcPr>
            <w:tcW w:w="9983" w:type="dxa"/>
            <w:gridSpan w:val="7"/>
            <w:tcBorders>
              <w:top w:val="nil"/>
              <w:left w:val="single" w:color="auto" w:sz="4" w:space="0"/>
              <w:bottom w:val="nil"/>
              <w:right w:val="single" w:color="auto" w:sz="4" w:space="0"/>
            </w:tcBorders>
            <w:noWrap w:val="0"/>
            <w:vAlign w:val="center"/>
          </w:tcPr>
          <w:p>
            <w:pPr>
              <w:rPr>
                <w:rFonts w:hint="eastAsia" w:ascii="宋体" w:hAnsi="宋体" w:eastAsia="宋体" w:cs="宋体"/>
                <w:sz w:val="24"/>
                <w:lang w:eastAsia="zh-CN"/>
              </w:rPr>
            </w:pPr>
            <w:r>
              <w:rPr>
                <w:rFonts w:hint="eastAsia" w:ascii="宋体" w:hAnsi="宋体" w:eastAsia="宋体" w:cs="宋体"/>
                <w:sz w:val="24"/>
                <w:lang w:val="en-US" w:eastAsia="zh-CN"/>
              </w:rPr>
              <w:t>监理单位</w:t>
            </w:r>
            <w:r>
              <w:rPr>
                <w:rFonts w:hint="eastAsia" w:ascii="宋体" w:hAnsi="宋体" w:eastAsia="宋体" w:cs="宋体"/>
                <w:sz w:val="24"/>
                <w:lang w:eastAsia="zh-CN"/>
              </w:rPr>
              <w:t>总监理工程师签字：</w:t>
            </w:r>
          </w:p>
        </w:tc>
        <w:tc>
          <w:tcPr>
            <w:tcW w:w="10795" w:type="dxa"/>
            <w:gridSpan w:val="2"/>
            <w:tcBorders>
              <w:top w:val="nil"/>
              <w:left w:val="single" w:color="auto" w:sz="4" w:space="0"/>
              <w:bottom w:val="nil"/>
              <w:right w:val="nil"/>
            </w:tcBorders>
            <w:noWrap w:val="0"/>
            <w:vAlign w:val="top"/>
          </w:tcPr>
          <w:p>
            <w:pPr>
              <w:rPr>
                <w:rFonts w:hint="eastAsia" w:ascii="宋体" w:hAnsi="宋体" w:eastAsia="宋体" w:cs="宋体"/>
                <w:sz w:val="24"/>
              </w:rPr>
            </w:pPr>
          </w:p>
        </w:tc>
        <w:tc>
          <w:tcPr>
            <w:tcW w:w="10160" w:type="dxa"/>
            <w:tcBorders>
              <w:top w:val="nil"/>
              <w:left w:val="nil"/>
              <w:bottom w:val="nil"/>
              <w:right w:val="nil"/>
            </w:tcBorders>
            <w:noWrap w:val="0"/>
            <w:vAlign w:val="top"/>
          </w:tcPr>
          <w:p>
            <w:pPr>
              <w:rPr>
                <w:rFonts w:hint="eastAsia" w:ascii="宋体" w:hAnsi="宋体" w:eastAsia="宋体" w:cs="宋体"/>
                <w:sz w:val="24"/>
              </w:rPr>
            </w:pPr>
          </w:p>
        </w:tc>
        <w:tc>
          <w:tcPr>
            <w:tcW w:w="360" w:type="dxa"/>
            <w:vMerge w:val="restart"/>
            <w:tcBorders>
              <w:left w:val="single" w:color="auto" w:sz="4" w:space="0"/>
              <w:right w:val="single" w:color="000000" w:sz="4" w:space="0"/>
            </w:tcBorders>
            <w:noWrap w:val="0"/>
            <w:vAlign w:val="center"/>
          </w:tcPr>
          <w:p>
            <w:pPr>
              <w:rPr>
                <w:rFonts w:hint="eastAsia" w:ascii="宋体" w:hAnsi="宋体" w:eastAsia="宋体" w:cs="宋体"/>
                <w:sz w:val="24"/>
              </w:rPr>
            </w:pPr>
          </w:p>
        </w:tc>
      </w:tr>
      <w:tr>
        <w:tblPrEx>
          <w:tblCellMar>
            <w:top w:w="0" w:type="dxa"/>
            <w:left w:w="108" w:type="dxa"/>
            <w:bottom w:w="0" w:type="dxa"/>
            <w:right w:w="108" w:type="dxa"/>
          </w:tblCellMar>
        </w:tblPrEx>
        <w:trPr>
          <w:gridAfter w:val="1"/>
          <w:wAfter w:w="360" w:type="dxa"/>
          <w:trHeight w:val="624" w:hRule="atLeast"/>
        </w:trPr>
        <w:tc>
          <w:tcPr>
            <w:tcW w:w="9983" w:type="dxa"/>
            <w:gridSpan w:val="7"/>
            <w:tcBorders>
              <w:top w:val="nil"/>
              <w:left w:val="single" w:color="auto" w:sz="4" w:space="0"/>
              <w:bottom w:val="nil"/>
              <w:right w:val="single" w:color="auto" w:sz="4" w:space="0"/>
            </w:tcBorders>
            <w:noWrap w:val="0"/>
            <w:vAlign w:val="center"/>
          </w:tcPr>
          <w:p>
            <w:pPr>
              <w:rPr>
                <w:rFonts w:hint="eastAsia" w:ascii="宋体" w:hAnsi="宋体" w:eastAsia="宋体" w:cs="宋体"/>
                <w:sz w:val="24"/>
              </w:rPr>
            </w:pPr>
          </w:p>
        </w:tc>
        <w:tc>
          <w:tcPr>
            <w:tcW w:w="10795" w:type="dxa"/>
            <w:gridSpan w:val="2"/>
            <w:tcBorders>
              <w:top w:val="nil"/>
              <w:left w:val="single" w:color="auto" w:sz="4" w:space="0"/>
              <w:bottom w:val="nil"/>
              <w:right w:val="nil"/>
            </w:tcBorders>
            <w:noWrap w:val="0"/>
            <w:vAlign w:val="top"/>
          </w:tcPr>
          <w:p>
            <w:pPr>
              <w:rPr>
                <w:rFonts w:hint="eastAsia" w:ascii="宋体" w:hAnsi="宋体" w:eastAsia="宋体" w:cs="宋体"/>
                <w:sz w:val="24"/>
              </w:rPr>
            </w:pPr>
          </w:p>
        </w:tc>
        <w:tc>
          <w:tcPr>
            <w:tcW w:w="10160" w:type="dxa"/>
            <w:tcBorders>
              <w:top w:val="nil"/>
              <w:left w:val="nil"/>
              <w:bottom w:val="nil"/>
              <w:right w:val="nil"/>
            </w:tcBorders>
            <w:noWrap w:val="0"/>
            <w:vAlign w:val="top"/>
          </w:tcPr>
          <w:p>
            <w:pPr>
              <w:rPr>
                <w:rFonts w:hint="eastAsia" w:ascii="宋体" w:hAnsi="宋体" w:eastAsia="宋体" w:cs="宋体"/>
                <w:sz w:val="24"/>
              </w:rPr>
            </w:pPr>
          </w:p>
        </w:tc>
        <w:tc>
          <w:tcPr>
            <w:tcW w:w="360" w:type="dxa"/>
            <w:vMerge w:val="continue"/>
            <w:tcBorders>
              <w:left w:val="single" w:color="auto" w:sz="4" w:space="0"/>
              <w:right w:val="single" w:color="000000" w:sz="4" w:space="0"/>
            </w:tcBorders>
            <w:noWrap w:val="0"/>
            <w:vAlign w:val="center"/>
          </w:tcPr>
          <w:p>
            <w:pPr>
              <w:rPr>
                <w:rFonts w:hint="eastAsia" w:ascii="宋体" w:hAnsi="宋体" w:eastAsia="宋体" w:cs="宋体"/>
                <w:sz w:val="24"/>
              </w:rPr>
            </w:pPr>
          </w:p>
        </w:tc>
      </w:tr>
      <w:tr>
        <w:tblPrEx>
          <w:tblCellMar>
            <w:top w:w="0" w:type="dxa"/>
            <w:left w:w="108" w:type="dxa"/>
            <w:bottom w:w="0" w:type="dxa"/>
            <w:right w:w="108" w:type="dxa"/>
          </w:tblCellMar>
        </w:tblPrEx>
        <w:trPr>
          <w:gridAfter w:val="1"/>
          <w:wAfter w:w="360" w:type="dxa"/>
          <w:trHeight w:val="624" w:hRule="atLeast"/>
        </w:trPr>
        <w:tc>
          <w:tcPr>
            <w:tcW w:w="9983" w:type="dxa"/>
            <w:gridSpan w:val="7"/>
            <w:tcBorders>
              <w:top w:val="nil"/>
              <w:left w:val="single" w:color="auto" w:sz="4" w:space="0"/>
              <w:bottom w:val="nil"/>
              <w:right w:val="single" w:color="auto" w:sz="4" w:space="0"/>
            </w:tcBorders>
            <w:noWrap w:val="0"/>
            <w:vAlign w:val="center"/>
          </w:tcPr>
          <w:p>
            <w:pPr>
              <w:rPr>
                <w:rFonts w:hint="eastAsia" w:ascii="宋体" w:hAnsi="宋体" w:eastAsia="宋体" w:cs="宋体"/>
                <w:sz w:val="24"/>
              </w:rPr>
            </w:pPr>
          </w:p>
        </w:tc>
        <w:tc>
          <w:tcPr>
            <w:tcW w:w="10795" w:type="dxa"/>
            <w:gridSpan w:val="2"/>
            <w:tcBorders>
              <w:top w:val="nil"/>
              <w:left w:val="single" w:color="auto" w:sz="4" w:space="0"/>
              <w:bottom w:val="nil"/>
              <w:right w:val="nil"/>
            </w:tcBorders>
            <w:noWrap w:val="0"/>
            <w:vAlign w:val="top"/>
          </w:tcPr>
          <w:p>
            <w:pPr>
              <w:rPr>
                <w:rFonts w:hint="eastAsia" w:ascii="宋体" w:hAnsi="宋体" w:eastAsia="宋体" w:cs="宋体"/>
                <w:sz w:val="24"/>
              </w:rPr>
            </w:pPr>
          </w:p>
        </w:tc>
        <w:tc>
          <w:tcPr>
            <w:tcW w:w="10160" w:type="dxa"/>
            <w:tcBorders>
              <w:top w:val="nil"/>
              <w:left w:val="nil"/>
              <w:bottom w:val="nil"/>
              <w:right w:val="nil"/>
            </w:tcBorders>
            <w:noWrap w:val="0"/>
            <w:vAlign w:val="top"/>
          </w:tcPr>
          <w:p>
            <w:pPr>
              <w:rPr>
                <w:rFonts w:hint="eastAsia" w:ascii="宋体" w:hAnsi="宋体" w:eastAsia="宋体" w:cs="宋体"/>
                <w:sz w:val="24"/>
              </w:rPr>
            </w:pPr>
          </w:p>
        </w:tc>
        <w:tc>
          <w:tcPr>
            <w:tcW w:w="360" w:type="dxa"/>
            <w:tcBorders>
              <w:left w:val="nil"/>
              <w:right w:val="single" w:color="auto" w:sz="4" w:space="0"/>
            </w:tcBorders>
            <w:noWrap w:val="0"/>
            <w:vAlign w:val="top"/>
          </w:tcPr>
          <w:p>
            <w:pPr>
              <w:rPr>
                <w:rFonts w:hint="eastAsia" w:ascii="宋体" w:hAnsi="宋体" w:eastAsia="宋体" w:cs="宋体"/>
                <w:sz w:val="24"/>
              </w:rPr>
            </w:pPr>
          </w:p>
        </w:tc>
      </w:tr>
      <w:tr>
        <w:tblPrEx>
          <w:tblCellMar>
            <w:top w:w="0" w:type="dxa"/>
            <w:left w:w="108" w:type="dxa"/>
            <w:bottom w:w="0" w:type="dxa"/>
            <w:right w:w="108" w:type="dxa"/>
          </w:tblCellMar>
        </w:tblPrEx>
        <w:trPr>
          <w:trHeight w:val="312" w:hRule="atLeast"/>
        </w:trPr>
        <w:tc>
          <w:tcPr>
            <w:tcW w:w="9983" w:type="dxa"/>
            <w:gridSpan w:val="7"/>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年  月   日</w:t>
            </w:r>
          </w:p>
        </w:tc>
        <w:tc>
          <w:tcPr>
            <w:tcW w:w="10795" w:type="dxa"/>
            <w:gridSpan w:val="2"/>
            <w:tcBorders>
              <w:top w:val="nil"/>
              <w:left w:val="single" w:color="auto" w:sz="4" w:space="0"/>
              <w:bottom w:val="nil"/>
              <w:right w:val="nil"/>
            </w:tcBorders>
            <w:noWrap w:val="0"/>
            <w:vAlign w:val="center"/>
          </w:tcPr>
          <w:p>
            <w:pPr>
              <w:rPr>
                <w:rFonts w:hint="eastAsia" w:ascii="宋体" w:hAnsi="宋体" w:eastAsia="宋体" w:cs="宋体"/>
                <w:sz w:val="24"/>
              </w:rPr>
            </w:pPr>
          </w:p>
        </w:tc>
        <w:tc>
          <w:tcPr>
            <w:tcW w:w="10160" w:type="dxa"/>
            <w:tcBorders>
              <w:top w:val="nil"/>
              <w:left w:val="nil"/>
              <w:bottom w:val="single" w:color="auto" w:sz="4" w:space="0"/>
              <w:right w:val="nil"/>
            </w:tcBorders>
            <w:noWrap w:val="0"/>
            <w:vAlign w:val="center"/>
          </w:tcPr>
          <w:p>
            <w:pPr>
              <w:rPr>
                <w:rFonts w:hint="eastAsia" w:ascii="宋体" w:hAnsi="宋体" w:eastAsia="宋体" w:cs="宋体"/>
                <w:sz w:val="24"/>
              </w:rPr>
            </w:pPr>
          </w:p>
        </w:tc>
        <w:tc>
          <w:tcPr>
            <w:tcW w:w="360" w:type="dxa"/>
            <w:tcBorders>
              <w:top w:val="nil"/>
              <w:left w:val="nil"/>
              <w:bottom w:val="single" w:color="auto" w:sz="4" w:space="0"/>
              <w:right w:val="nil"/>
            </w:tcBorders>
            <w:noWrap w:val="0"/>
            <w:vAlign w:val="center"/>
          </w:tcPr>
          <w:p>
            <w:pPr>
              <w:rPr>
                <w:rFonts w:hint="eastAsia" w:ascii="宋体" w:hAnsi="宋体" w:eastAsia="宋体" w:cs="宋体"/>
                <w:sz w:val="24"/>
              </w:rPr>
            </w:pPr>
          </w:p>
        </w:tc>
        <w:tc>
          <w:tcPr>
            <w:tcW w:w="360" w:type="dxa"/>
            <w:tcBorders>
              <w:left w:val="single" w:color="auto" w:sz="4" w:space="0"/>
              <w:right w:val="single" w:color="000000" w:sz="4" w:space="0"/>
            </w:tcBorders>
            <w:noWrap w:val="0"/>
            <w:vAlign w:val="center"/>
          </w:tcPr>
          <w:p>
            <w:pPr>
              <w:rPr>
                <w:rFonts w:hint="eastAsia" w:ascii="宋体" w:hAnsi="宋体" w:eastAsia="宋体" w:cs="宋体"/>
                <w:sz w:val="24"/>
              </w:rPr>
            </w:pPr>
          </w:p>
        </w:tc>
      </w:tr>
      <w:tr>
        <w:tblPrEx>
          <w:tblCellMar>
            <w:top w:w="0" w:type="dxa"/>
            <w:left w:w="108" w:type="dxa"/>
            <w:bottom w:w="0" w:type="dxa"/>
            <w:right w:w="108" w:type="dxa"/>
          </w:tblCellMar>
        </w:tblPrEx>
        <w:trPr>
          <w:gridAfter w:val="4"/>
          <w:wAfter w:w="18480" w:type="dxa"/>
          <w:trHeight w:val="285" w:hRule="atLeast"/>
        </w:trPr>
        <w:tc>
          <w:tcPr>
            <w:tcW w:w="9983" w:type="dxa"/>
            <w:gridSpan w:val="7"/>
            <w:tcBorders>
              <w:top w:val="single" w:color="auto" w:sz="4" w:space="0"/>
              <w:left w:val="single" w:color="auto" w:sz="4" w:space="0"/>
              <w:bottom w:val="nil"/>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建设单位签字：　</w:t>
            </w:r>
          </w:p>
          <w:p>
            <w:pPr>
              <w:rPr>
                <w:rFonts w:hint="eastAsia" w:ascii="宋体" w:hAnsi="宋体" w:eastAsia="宋体" w:cs="宋体"/>
                <w:sz w:val="24"/>
              </w:rPr>
            </w:pPr>
          </w:p>
        </w:tc>
        <w:tc>
          <w:tcPr>
            <w:tcW w:w="3195" w:type="dxa"/>
            <w:tcBorders>
              <w:left w:val="single" w:color="auto" w:sz="4" w:space="0"/>
              <w:right w:val="single" w:color="000000" w:sz="4" w:space="0"/>
            </w:tcBorders>
            <w:noWrap w:val="0"/>
            <w:vAlign w:val="center"/>
          </w:tcPr>
          <w:p>
            <w:pPr>
              <w:pStyle w:val="2"/>
              <w:rPr>
                <w:rFonts w:hint="eastAsia"/>
              </w:rPr>
            </w:pPr>
          </w:p>
          <w:p>
            <w:pPr>
              <w:rPr>
                <w:rFonts w:hint="eastAsia"/>
              </w:rPr>
            </w:pPr>
          </w:p>
        </w:tc>
      </w:tr>
      <w:tr>
        <w:tblPrEx>
          <w:tblCellMar>
            <w:top w:w="0" w:type="dxa"/>
            <w:left w:w="108" w:type="dxa"/>
            <w:bottom w:w="0" w:type="dxa"/>
            <w:right w:w="108" w:type="dxa"/>
          </w:tblCellMar>
        </w:tblPrEx>
        <w:trPr>
          <w:trHeight w:val="624" w:hRule="atLeast"/>
        </w:trPr>
        <w:tc>
          <w:tcPr>
            <w:tcW w:w="9983" w:type="dxa"/>
            <w:gridSpan w:val="7"/>
            <w:tcBorders>
              <w:top w:val="nil"/>
              <w:left w:val="single" w:color="auto" w:sz="4" w:space="0"/>
              <w:bottom w:val="nil"/>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　</w:t>
            </w:r>
          </w:p>
        </w:tc>
        <w:tc>
          <w:tcPr>
            <w:tcW w:w="10795" w:type="dxa"/>
            <w:gridSpan w:val="2"/>
            <w:tcBorders>
              <w:top w:val="nil"/>
              <w:left w:val="single" w:color="auto" w:sz="4" w:space="0"/>
              <w:bottom w:val="nil"/>
              <w:right w:val="nil"/>
            </w:tcBorders>
            <w:noWrap w:val="0"/>
            <w:vAlign w:val="center"/>
          </w:tcPr>
          <w:p>
            <w:pPr>
              <w:rPr>
                <w:rFonts w:hint="eastAsia" w:ascii="宋体" w:hAnsi="宋体" w:eastAsia="宋体" w:cs="宋体"/>
                <w:sz w:val="24"/>
              </w:rPr>
            </w:pPr>
          </w:p>
        </w:tc>
        <w:tc>
          <w:tcPr>
            <w:tcW w:w="10160" w:type="dxa"/>
            <w:tcBorders>
              <w:top w:val="nil"/>
              <w:left w:val="nil"/>
              <w:bottom w:val="nil"/>
              <w:right w:val="nil"/>
            </w:tcBorders>
            <w:noWrap w:val="0"/>
            <w:vAlign w:val="center"/>
          </w:tcPr>
          <w:p>
            <w:pPr>
              <w:rPr>
                <w:rFonts w:hint="eastAsia" w:ascii="宋体" w:hAnsi="宋体" w:eastAsia="宋体" w:cs="宋体"/>
                <w:sz w:val="24"/>
              </w:rPr>
            </w:pPr>
          </w:p>
        </w:tc>
        <w:tc>
          <w:tcPr>
            <w:tcW w:w="360" w:type="dxa"/>
            <w:tcBorders>
              <w:top w:val="nil"/>
              <w:left w:val="nil"/>
              <w:bottom w:val="nil"/>
              <w:right w:val="single" w:color="auto" w:sz="4" w:space="0"/>
            </w:tcBorders>
            <w:noWrap w:val="0"/>
            <w:vAlign w:val="center"/>
          </w:tcPr>
          <w:p>
            <w:pPr>
              <w:rPr>
                <w:rFonts w:hint="eastAsia" w:ascii="宋体" w:hAnsi="宋体" w:eastAsia="宋体" w:cs="宋体"/>
                <w:sz w:val="24"/>
              </w:rPr>
            </w:pPr>
          </w:p>
        </w:tc>
        <w:tc>
          <w:tcPr>
            <w:tcW w:w="360" w:type="dxa"/>
            <w:vMerge w:val="restart"/>
            <w:tcBorders>
              <w:left w:val="single" w:color="auto" w:sz="4" w:space="0"/>
              <w:right w:val="single" w:color="000000" w:sz="4" w:space="0"/>
            </w:tcBorders>
            <w:noWrap w:val="0"/>
            <w:vAlign w:val="center"/>
          </w:tcPr>
          <w:p>
            <w:pPr>
              <w:rPr>
                <w:rFonts w:hint="eastAsia" w:ascii="宋体" w:hAnsi="宋体" w:eastAsia="宋体" w:cs="宋体"/>
                <w:sz w:val="24"/>
              </w:rPr>
            </w:pPr>
          </w:p>
        </w:tc>
      </w:tr>
      <w:tr>
        <w:tblPrEx>
          <w:tblCellMar>
            <w:top w:w="0" w:type="dxa"/>
            <w:left w:w="108" w:type="dxa"/>
            <w:bottom w:w="0" w:type="dxa"/>
            <w:right w:w="108" w:type="dxa"/>
          </w:tblCellMar>
        </w:tblPrEx>
        <w:trPr>
          <w:trHeight w:val="624" w:hRule="atLeast"/>
        </w:trPr>
        <w:tc>
          <w:tcPr>
            <w:tcW w:w="9983" w:type="dxa"/>
            <w:gridSpan w:val="7"/>
            <w:tcBorders>
              <w:top w:val="nil"/>
              <w:left w:val="single" w:color="auto" w:sz="4" w:space="0"/>
              <w:right w:val="single" w:color="auto" w:sz="4" w:space="0"/>
            </w:tcBorders>
            <w:noWrap w:val="0"/>
            <w:vAlign w:val="center"/>
          </w:tcPr>
          <w:p>
            <w:pPr>
              <w:rPr>
                <w:rFonts w:hint="eastAsia" w:ascii="宋体" w:hAnsi="宋体" w:eastAsia="宋体" w:cs="宋体"/>
                <w:sz w:val="24"/>
              </w:rPr>
            </w:pPr>
          </w:p>
        </w:tc>
        <w:tc>
          <w:tcPr>
            <w:tcW w:w="10795" w:type="dxa"/>
            <w:gridSpan w:val="2"/>
            <w:tcBorders>
              <w:top w:val="nil"/>
              <w:left w:val="single" w:color="auto" w:sz="4" w:space="0"/>
              <w:bottom w:val="nil"/>
              <w:right w:val="nil"/>
            </w:tcBorders>
            <w:noWrap w:val="0"/>
            <w:vAlign w:val="center"/>
          </w:tcPr>
          <w:p>
            <w:pPr>
              <w:rPr>
                <w:rFonts w:hint="eastAsia" w:ascii="宋体" w:hAnsi="宋体" w:eastAsia="宋体" w:cs="宋体"/>
                <w:sz w:val="24"/>
              </w:rPr>
            </w:pPr>
          </w:p>
        </w:tc>
        <w:tc>
          <w:tcPr>
            <w:tcW w:w="10160" w:type="dxa"/>
            <w:tcBorders>
              <w:top w:val="nil"/>
              <w:left w:val="nil"/>
              <w:bottom w:val="nil"/>
              <w:right w:val="nil"/>
            </w:tcBorders>
            <w:noWrap w:val="0"/>
            <w:vAlign w:val="center"/>
          </w:tcPr>
          <w:p>
            <w:pPr>
              <w:rPr>
                <w:rFonts w:hint="eastAsia" w:ascii="宋体" w:hAnsi="宋体" w:eastAsia="宋体" w:cs="宋体"/>
                <w:sz w:val="24"/>
              </w:rPr>
            </w:pPr>
          </w:p>
        </w:tc>
        <w:tc>
          <w:tcPr>
            <w:tcW w:w="360" w:type="dxa"/>
            <w:tcBorders>
              <w:top w:val="nil"/>
              <w:left w:val="nil"/>
              <w:bottom w:val="nil"/>
              <w:right w:val="single" w:color="auto" w:sz="4" w:space="0"/>
            </w:tcBorders>
            <w:noWrap w:val="0"/>
            <w:vAlign w:val="center"/>
          </w:tcPr>
          <w:p>
            <w:pPr>
              <w:rPr>
                <w:rFonts w:hint="eastAsia" w:ascii="宋体" w:hAnsi="宋体" w:eastAsia="宋体" w:cs="宋体"/>
                <w:sz w:val="24"/>
              </w:rPr>
            </w:pPr>
          </w:p>
        </w:tc>
        <w:tc>
          <w:tcPr>
            <w:tcW w:w="360" w:type="dxa"/>
            <w:vMerge w:val="continue"/>
            <w:tcBorders>
              <w:left w:val="nil"/>
              <w:right w:val="single" w:color="auto" w:sz="4" w:space="0"/>
            </w:tcBorders>
            <w:noWrap w:val="0"/>
            <w:vAlign w:val="center"/>
          </w:tcPr>
          <w:p>
            <w:pPr>
              <w:rPr>
                <w:rFonts w:hint="eastAsia" w:ascii="宋体" w:hAnsi="宋体" w:eastAsia="宋体" w:cs="宋体"/>
                <w:sz w:val="24"/>
              </w:rPr>
            </w:pPr>
          </w:p>
        </w:tc>
      </w:tr>
      <w:tr>
        <w:tblPrEx>
          <w:tblCellMar>
            <w:top w:w="0" w:type="dxa"/>
            <w:left w:w="108" w:type="dxa"/>
            <w:bottom w:w="0" w:type="dxa"/>
            <w:right w:w="108" w:type="dxa"/>
          </w:tblCellMar>
        </w:tblPrEx>
        <w:trPr>
          <w:trHeight w:val="312" w:hRule="atLeast"/>
        </w:trPr>
        <w:tc>
          <w:tcPr>
            <w:tcW w:w="9983" w:type="dxa"/>
            <w:gridSpan w:val="7"/>
            <w:tcBorders>
              <w:left w:val="single" w:color="auto" w:sz="4" w:space="0"/>
              <w:right w:val="single" w:color="auto" w:sz="4" w:space="0"/>
            </w:tcBorders>
            <w:noWrap w:val="0"/>
            <w:vAlign w:val="center"/>
          </w:tcPr>
          <w:p>
            <w:pPr>
              <w:rPr>
                <w:rFonts w:hint="eastAsia" w:ascii="宋体" w:hAnsi="宋体" w:eastAsia="宋体" w:cs="宋体"/>
                <w:sz w:val="24"/>
              </w:rPr>
            </w:pPr>
          </w:p>
        </w:tc>
        <w:tc>
          <w:tcPr>
            <w:tcW w:w="10795" w:type="dxa"/>
            <w:gridSpan w:val="2"/>
            <w:tcBorders>
              <w:top w:val="nil"/>
              <w:left w:val="single" w:color="auto" w:sz="4" w:space="0"/>
              <w:bottom w:val="nil"/>
              <w:right w:val="nil"/>
            </w:tcBorders>
            <w:noWrap w:val="0"/>
            <w:vAlign w:val="center"/>
          </w:tcPr>
          <w:p>
            <w:pPr>
              <w:rPr>
                <w:rFonts w:hint="eastAsia" w:ascii="宋体" w:hAnsi="宋体" w:eastAsia="宋体" w:cs="宋体"/>
                <w:sz w:val="24"/>
              </w:rPr>
            </w:pPr>
          </w:p>
        </w:tc>
        <w:tc>
          <w:tcPr>
            <w:tcW w:w="10160" w:type="dxa"/>
            <w:tcBorders>
              <w:top w:val="nil"/>
              <w:left w:val="nil"/>
              <w:bottom w:val="nil"/>
              <w:right w:val="nil"/>
            </w:tcBorders>
            <w:noWrap w:val="0"/>
            <w:vAlign w:val="center"/>
          </w:tcPr>
          <w:p>
            <w:pPr>
              <w:rPr>
                <w:rFonts w:hint="eastAsia" w:ascii="宋体" w:hAnsi="宋体" w:eastAsia="宋体" w:cs="宋体"/>
                <w:sz w:val="24"/>
              </w:rPr>
            </w:pPr>
          </w:p>
        </w:tc>
        <w:tc>
          <w:tcPr>
            <w:tcW w:w="360" w:type="dxa"/>
            <w:tcBorders>
              <w:top w:val="nil"/>
              <w:left w:val="nil"/>
              <w:bottom w:val="nil"/>
              <w:right w:val="single" w:color="auto" w:sz="4" w:space="0"/>
            </w:tcBorders>
            <w:noWrap w:val="0"/>
            <w:vAlign w:val="center"/>
          </w:tcPr>
          <w:p>
            <w:pPr>
              <w:rPr>
                <w:rFonts w:hint="eastAsia" w:ascii="宋体" w:hAnsi="宋体" w:eastAsia="宋体" w:cs="宋体"/>
                <w:sz w:val="24"/>
              </w:rPr>
            </w:pPr>
          </w:p>
        </w:tc>
        <w:tc>
          <w:tcPr>
            <w:tcW w:w="360" w:type="dxa"/>
            <w:vMerge w:val="continue"/>
            <w:tcBorders>
              <w:left w:val="nil"/>
              <w:right w:val="single" w:color="auto" w:sz="4" w:space="0"/>
            </w:tcBorders>
            <w:noWrap w:val="0"/>
            <w:vAlign w:val="center"/>
          </w:tcPr>
          <w:p>
            <w:pPr>
              <w:rPr>
                <w:rFonts w:hint="eastAsia" w:ascii="宋体" w:hAnsi="宋体" w:eastAsia="宋体" w:cs="宋体"/>
                <w:sz w:val="24"/>
              </w:rPr>
            </w:pPr>
          </w:p>
        </w:tc>
      </w:tr>
      <w:tr>
        <w:tblPrEx>
          <w:tblCellMar>
            <w:top w:w="0" w:type="dxa"/>
            <w:left w:w="108" w:type="dxa"/>
            <w:bottom w:w="0" w:type="dxa"/>
            <w:right w:w="108" w:type="dxa"/>
          </w:tblCellMar>
        </w:tblPrEx>
        <w:trPr>
          <w:gridAfter w:val="5"/>
          <w:wAfter w:w="21675" w:type="dxa"/>
          <w:trHeight w:val="285" w:hRule="atLeast"/>
        </w:trPr>
        <w:tc>
          <w:tcPr>
            <w:tcW w:w="9983" w:type="dxa"/>
            <w:gridSpan w:val="7"/>
            <w:tcBorders>
              <w:top w:val="nil"/>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r>
              <w:rPr>
                <w:rFonts w:hint="eastAsia" w:ascii="宋体" w:hAnsi="宋体" w:eastAsia="宋体" w:cs="宋体"/>
                <w:sz w:val="24"/>
              </w:rPr>
              <w:t>　　　　年  月   日</w:t>
            </w:r>
          </w:p>
        </w:tc>
      </w:tr>
      <w:tr>
        <w:tblPrEx>
          <w:tblCellMar>
            <w:top w:w="0" w:type="dxa"/>
            <w:left w:w="108" w:type="dxa"/>
            <w:bottom w:w="0" w:type="dxa"/>
            <w:right w:w="108" w:type="dxa"/>
          </w:tblCellMar>
        </w:tblPrEx>
        <w:trPr>
          <w:gridAfter w:val="4"/>
          <w:wAfter w:w="18480" w:type="dxa"/>
          <w:trHeight w:val="285" w:hRule="atLeast"/>
        </w:trPr>
        <w:tc>
          <w:tcPr>
            <w:tcW w:w="9983" w:type="dxa"/>
            <w:gridSpan w:val="7"/>
            <w:tcBorders>
              <w:top w:val="single" w:color="auto" w:sz="4" w:space="0"/>
              <w:left w:val="nil"/>
              <w:bottom w:val="nil"/>
              <w:right w:val="nil"/>
            </w:tcBorders>
            <w:noWrap w:val="0"/>
            <w:vAlign w:val="top"/>
          </w:tcPr>
          <w:p>
            <w:pPr>
              <w:rPr>
                <w:rFonts w:hint="eastAsia" w:ascii="宋体" w:hAnsi="宋体" w:eastAsia="宋体" w:cs="宋体"/>
                <w:sz w:val="24"/>
              </w:rPr>
            </w:pPr>
            <w:r>
              <w:rPr>
                <w:rFonts w:hint="eastAsia" w:ascii="宋体" w:hAnsi="宋体" w:eastAsia="宋体" w:cs="宋体"/>
                <w:sz w:val="24"/>
              </w:rPr>
              <w:t>备注：1、本表满分100分，为月、季检查通用表，也可用于单次检查。　</w:t>
            </w:r>
          </w:p>
        </w:tc>
        <w:tc>
          <w:tcPr>
            <w:tcW w:w="3195" w:type="dxa"/>
            <w:tcBorders>
              <w:left w:val="nil"/>
              <w:right w:val="single" w:color="000000" w:sz="4" w:space="0"/>
            </w:tcBorders>
            <w:noWrap w:val="0"/>
            <w:vAlign w:val="center"/>
          </w:tcPr>
          <w:p>
            <w:pPr>
              <w:rPr>
                <w:rFonts w:hint="eastAsia" w:ascii="宋体" w:hAnsi="宋体" w:eastAsia="宋体" w:cs="宋体"/>
                <w:sz w:val="24"/>
              </w:rPr>
            </w:pPr>
          </w:p>
        </w:tc>
      </w:tr>
      <w:tr>
        <w:tblPrEx>
          <w:tblCellMar>
            <w:top w:w="0" w:type="dxa"/>
            <w:left w:w="108" w:type="dxa"/>
            <w:bottom w:w="0" w:type="dxa"/>
            <w:right w:w="108" w:type="dxa"/>
          </w:tblCellMar>
        </w:tblPrEx>
        <w:trPr>
          <w:trHeight w:val="624" w:hRule="atLeast"/>
        </w:trPr>
        <w:tc>
          <w:tcPr>
            <w:tcW w:w="9983" w:type="dxa"/>
            <w:gridSpan w:val="7"/>
            <w:tcBorders>
              <w:top w:val="nil"/>
              <w:left w:val="nil"/>
              <w:bottom w:val="nil"/>
              <w:right w:val="nil"/>
            </w:tcBorders>
            <w:noWrap w:val="0"/>
            <w:vAlign w:val="top"/>
          </w:tcPr>
          <w:p>
            <w:pPr>
              <w:ind w:left="1200" w:hanging="1200" w:hangingChars="500"/>
              <w:rPr>
                <w:rFonts w:hint="eastAsia" w:ascii="宋体" w:hAnsi="宋体" w:eastAsia="宋体" w:cs="宋体"/>
                <w:sz w:val="24"/>
              </w:rPr>
            </w:pPr>
            <w:r>
              <w:rPr>
                <w:rFonts w:hint="eastAsia" w:ascii="宋体" w:hAnsi="宋体" w:eastAsia="宋体" w:cs="宋体"/>
                <w:sz w:val="24"/>
              </w:rPr>
              <w:t xml:space="preserve">      2、《评分表》中“其他项目”的内容为本表中为列入内容，增加项目每项分值为0.5分，增加数量与分值之积不能超过设定分数。</w:t>
            </w:r>
          </w:p>
        </w:tc>
        <w:tc>
          <w:tcPr>
            <w:tcW w:w="10795" w:type="dxa"/>
            <w:gridSpan w:val="2"/>
            <w:tcBorders>
              <w:top w:val="nil"/>
              <w:left w:val="nil"/>
              <w:bottom w:val="nil"/>
              <w:right w:val="nil"/>
            </w:tcBorders>
            <w:noWrap w:val="0"/>
            <w:vAlign w:val="top"/>
          </w:tcPr>
          <w:p>
            <w:pPr>
              <w:rPr>
                <w:rFonts w:hint="eastAsia" w:ascii="宋体" w:hAnsi="宋体" w:eastAsia="宋体" w:cs="宋体"/>
                <w:sz w:val="24"/>
              </w:rPr>
            </w:pPr>
          </w:p>
        </w:tc>
        <w:tc>
          <w:tcPr>
            <w:tcW w:w="10160" w:type="dxa"/>
            <w:tcBorders>
              <w:top w:val="nil"/>
              <w:left w:val="nil"/>
              <w:bottom w:val="single" w:color="auto" w:sz="4" w:space="0"/>
              <w:right w:val="nil"/>
            </w:tcBorders>
            <w:noWrap w:val="0"/>
            <w:vAlign w:val="center"/>
          </w:tcPr>
          <w:p>
            <w:pPr>
              <w:rPr>
                <w:rFonts w:hint="eastAsia" w:ascii="宋体" w:hAnsi="宋体" w:eastAsia="宋体" w:cs="宋体"/>
                <w:sz w:val="24"/>
              </w:rPr>
            </w:pPr>
          </w:p>
        </w:tc>
        <w:tc>
          <w:tcPr>
            <w:tcW w:w="360" w:type="dxa"/>
            <w:tcBorders>
              <w:top w:val="nil"/>
              <w:left w:val="nil"/>
              <w:bottom w:val="single" w:color="auto" w:sz="4" w:space="0"/>
              <w:right w:val="nil"/>
            </w:tcBorders>
            <w:noWrap w:val="0"/>
            <w:vAlign w:val="center"/>
          </w:tcPr>
          <w:p>
            <w:pPr>
              <w:rPr>
                <w:rFonts w:hint="eastAsia" w:ascii="宋体" w:hAnsi="宋体" w:eastAsia="宋体" w:cs="宋体"/>
                <w:sz w:val="24"/>
              </w:rPr>
            </w:pPr>
          </w:p>
        </w:tc>
        <w:tc>
          <w:tcPr>
            <w:tcW w:w="360" w:type="dxa"/>
            <w:vMerge w:val="restart"/>
            <w:tcBorders>
              <w:left w:val="single" w:color="auto" w:sz="4" w:space="0"/>
              <w:right w:val="single" w:color="000000" w:sz="4" w:space="0"/>
            </w:tcBorders>
            <w:noWrap w:val="0"/>
            <w:vAlign w:val="center"/>
          </w:tcPr>
          <w:p>
            <w:pPr>
              <w:rPr>
                <w:rFonts w:hint="eastAsia" w:ascii="宋体" w:hAnsi="宋体" w:eastAsia="宋体" w:cs="宋体"/>
                <w:sz w:val="24"/>
              </w:rPr>
            </w:pPr>
          </w:p>
        </w:tc>
      </w:tr>
      <w:tr>
        <w:tblPrEx>
          <w:tblCellMar>
            <w:top w:w="0" w:type="dxa"/>
            <w:left w:w="108" w:type="dxa"/>
            <w:bottom w:w="0" w:type="dxa"/>
            <w:right w:w="108" w:type="dxa"/>
          </w:tblCellMar>
        </w:tblPrEx>
        <w:trPr>
          <w:trHeight w:val="624" w:hRule="atLeast"/>
        </w:trPr>
        <w:tc>
          <w:tcPr>
            <w:tcW w:w="9983" w:type="dxa"/>
            <w:gridSpan w:val="7"/>
            <w:tcBorders>
              <w:top w:val="nil"/>
              <w:left w:val="nil"/>
              <w:bottom w:val="nil"/>
              <w:right w:val="nil"/>
            </w:tcBorders>
            <w:noWrap w:val="0"/>
            <w:vAlign w:val="top"/>
          </w:tcPr>
          <w:p>
            <w:pPr>
              <w:rPr>
                <w:rFonts w:hint="eastAsia" w:ascii="宋体" w:hAnsi="宋体" w:eastAsia="宋体" w:cs="宋体"/>
                <w:sz w:val="24"/>
              </w:rPr>
            </w:pPr>
            <w:r>
              <w:rPr>
                <w:rFonts w:hint="eastAsia" w:ascii="宋体" w:hAnsi="宋体" w:eastAsia="宋体" w:cs="宋体"/>
                <w:sz w:val="24"/>
              </w:rPr>
              <w:t xml:space="preserve">      3、计算方法：本表采取缺项扣分的计分方式计算，凡不符合考核内容就全部扣除。</w:t>
            </w:r>
          </w:p>
        </w:tc>
        <w:tc>
          <w:tcPr>
            <w:tcW w:w="10795" w:type="dxa"/>
            <w:gridSpan w:val="2"/>
            <w:tcBorders>
              <w:top w:val="nil"/>
              <w:left w:val="nil"/>
              <w:bottom w:val="nil"/>
              <w:right w:val="nil"/>
            </w:tcBorders>
            <w:noWrap w:val="0"/>
            <w:vAlign w:val="top"/>
          </w:tcPr>
          <w:p>
            <w:pPr>
              <w:rPr>
                <w:rFonts w:hint="eastAsia" w:ascii="宋体" w:hAnsi="宋体" w:eastAsia="宋体" w:cs="宋体"/>
                <w:sz w:val="24"/>
              </w:rPr>
            </w:pPr>
          </w:p>
        </w:tc>
        <w:tc>
          <w:tcPr>
            <w:tcW w:w="10160" w:type="dxa"/>
            <w:tcBorders>
              <w:top w:val="nil"/>
              <w:left w:val="nil"/>
              <w:bottom w:val="single" w:color="auto" w:sz="4" w:space="0"/>
              <w:right w:val="nil"/>
            </w:tcBorders>
            <w:noWrap w:val="0"/>
            <w:vAlign w:val="center"/>
          </w:tcPr>
          <w:p>
            <w:pPr>
              <w:rPr>
                <w:rFonts w:hint="eastAsia" w:ascii="宋体" w:hAnsi="宋体" w:eastAsia="宋体" w:cs="宋体"/>
                <w:sz w:val="24"/>
              </w:rPr>
            </w:pPr>
          </w:p>
        </w:tc>
        <w:tc>
          <w:tcPr>
            <w:tcW w:w="360" w:type="dxa"/>
            <w:tcBorders>
              <w:top w:val="nil"/>
              <w:left w:val="nil"/>
              <w:bottom w:val="single" w:color="auto" w:sz="4" w:space="0"/>
              <w:right w:val="nil"/>
            </w:tcBorders>
            <w:noWrap w:val="0"/>
            <w:vAlign w:val="center"/>
          </w:tcPr>
          <w:p>
            <w:pPr>
              <w:rPr>
                <w:rFonts w:hint="eastAsia" w:ascii="宋体" w:hAnsi="宋体" w:eastAsia="宋体" w:cs="宋体"/>
                <w:sz w:val="24"/>
              </w:rPr>
            </w:pPr>
          </w:p>
        </w:tc>
        <w:tc>
          <w:tcPr>
            <w:tcW w:w="360" w:type="dxa"/>
            <w:vMerge w:val="continue"/>
            <w:tcBorders>
              <w:left w:val="nil"/>
              <w:right w:val="single" w:color="auto" w:sz="4" w:space="0"/>
            </w:tcBorders>
            <w:noWrap w:val="0"/>
            <w:vAlign w:val="center"/>
          </w:tcPr>
          <w:p>
            <w:pPr>
              <w:rPr>
                <w:rFonts w:hint="eastAsia" w:ascii="宋体" w:hAnsi="宋体" w:eastAsia="宋体" w:cs="宋体"/>
                <w:sz w:val="24"/>
              </w:rPr>
            </w:pPr>
          </w:p>
        </w:tc>
      </w:tr>
    </w:tbl>
    <w:p>
      <w:pPr>
        <w:jc w:val="center"/>
        <w:rPr>
          <w:rFonts w:hint="eastAsia" w:ascii="宋体" w:hAnsi="宋体" w:eastAsia="宋体" w:cs="宋体"/>
          <w:b/>
          <w:sz w:val="32"/>
          <w:szCs w:val="32"/>
        </w:rPr>
        <w:sectPr>
          <w:pgSz w:w="11906" w:h="16838"/>
          <w:pgMar w:top="1418" w:right="1134" w:bottom="1134" w:left="1134" w:header="720" w:footer="720" w:gutter="0"/>
          <w:cols w:space="720" w:num="1"/>
          <w:titlePg/>
          <w:docGrid w:linePitch="312" w:charSpace="0"/>
        </w:sectPr>
      </w:pPr>
    </w:p>
    <w:p>
      <w:pPr>
        <w:jc w:val="center"/>
        <w:rPr>
          <w:rFonts w:hint="eastAsia" w:ascii="宋体" w:hAnsi="宋体" w:eastAsia="宋体" w:cs="宋体"/>
          <w:b/>
          <w:sz w:val="32"/>
          <w:szCs w:val="32"/>
        </w:rPr>
      </w:pPr>
      <w:r>
        <w:rPr>
          <w:rFonts w:hint="eastAsia" w:ascii="宋体" w:hAnsi="宋体" w:eastAsia="宋体" w:cs="宋体"/>
          <w:b/>
          <w:sz w:val="32"/>
          <w:szCs w:val="32"/>
        </w:rPr>
        <w:t>检测工作整改通知单</w:t>
      </w:r>
    </w:p>
    <w:p>
      <w:pPr>
        <w:rPr>
          <w:rFonts w:hint="eastAsia" w:ascii="宋体" w:hAnsi="宋体" w:eastAsia="宋体" w:cs="宋体"/>
          <w:sz w:val="24"/>
        </w:rPr>
      </w:pPr>
      <w:r>
        <w:rPr>
          <w:rFonts w:hint="eastAsia" w:ascii="宋体" w:hAnsi="宋体" w:eastAsia="宋体" w:cs="宋体"/>
          <w:sz w:val="24"/>
        </w:rPr>
        <w:t>编号：                                                     检查时间：</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4320"/>
        <w:gridCol w:w="19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noWrap w:val="0"/>
            <w:vAlign w:val="top"/>
          </w:tcPr>
          <w:p>
            <w:pPr>
              <w:rPr>
                <w:rFonts w:hint="eastAsia" w:ascii="宋体" w:hAnsi="宋体" w:eastAsia="宋体" w:cs="宋体"/>
                <w:sz w:val="24"/>
                <w:szCs w:val="24"/>
              </w:rPr>
            </w:pPr>
            <w:r>
              <w:rPr>
                <w:rFonts w:hint="eastAsia" w:ascii="宋体" w:hAnsi="宋体" w:eastAsia="宋体" w:cs="宋体"/>
                <w:sz w:val="24"/>
                <w:szCs w:val="24"/>
              </w:rPr>
              <w:t>工程名称</w:t>
            </w:r>
          </w:p>
        </w:tc>
        <w:tc>
          <w:tcPr>
            <w:tcW w:w="4320" w:type="dxa"/>
            <w:noWrap w:val="0"/>
            <w:vAlign w:val="top"/>
          </w:tcPr>
          <w:p>
            <w:pPr>
              <w:rPr>
                <w:rFonts w:hint="eastAsia" w:ascii="宋体" w:hAnsi="宋体" w:eastAsia="宋体" w:cs="宋体"/>
                <w:sz w:val="24"/>
                <w:szCs w:val="24"/>
              </w:rPr>
            </w:pPr>
          </w:p>
        </w:tc>
        <w:tc>
          <w:tcPr>
            <w:tcW w:w="1980"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检测合同编号</w:t>
            </w:r>
          </w:p>
        </w:tc>
        <w:tc>
          <w:tcPr>
            <w:tcW w:w="2160"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noWrap w:val="0"/>
            <w:vAlign w:val="top"/>
          </w:tcPr>
          <w:p>
            <w:pPr>
              <w:rPr>
                <w:rFonts w:hint="eastAsia" w:ascii="宋体" w:hAnsi="宋体" w:eastAsia="宋体" w:cs="宋体"/>
                <w:sz w:val="24"/>
                <w:szCs w:val="24"/>
              </w:rPr>
            </w:pPr>
            <w:r>
              <w:rPr>
                <w:rFonts w:hint="eastAsia" w:ascii="宋体" w:hAnsi="宋体" w:eastAsia="宋体" w:cs="宋体"/>
                <w:sz w:val="24"/>
                <w:szCs w:val="24"/>
              </w:rPr>
              <w:t>检测单位</w:t>
            </w:r>
          </w:p>
        </w:tc>
        <w:tc>
          <w:tcPr>
            <w:tcW w:w="4320" w:type="dxa"/>
            <w:noWrap w:val="0"/>
            <w:vAlign w:val="top"/>
          </w:tcPr>
          <w:p>
            <w:pPr>
              <w:rPr>
                <w:rFonts w:hint="eastAsia" w:ascii="宋体" w:hAnsi="宋体" w:eastAsia="宋体" w:cs="宋体"/>
                <w:sz w:val="24"/>
                <w:szCs w:val="24"/>
              </w:rPr>
            </w:pPr>
          </w:p>
        </w:tc>
        <w:tc>
          <w:tcPr>
            <w:tcW w:w="1980" w:type="dxa"/>
            <w:noWrap w:val="0"/>
            <w:vAlign w:val="top"/>
          </w:tcPr>
          <w:p>
            <w:pPr>
              <w:rPr>
                <w:rFonts w:hint="eastAsia" w:ascii="宋体" w:hAnsi="宋体" w:eastAsia="宋体" w:cs="宋体"/>
                <w:sz w:val="24"/>
                <w:szCs w:val="24"/>
              </w:rPr>
            </w:pPr>
            <w:r>
              <w:rPr>
                <w:rFonts w:hint="eastAsia" w:ascii="宋体" w:hAnsi="宋体" w:eastAsia="宋体" w:cs="宋体"/>
                <w:sz w:val="24"/>
                <w:szCs w:val="24"/>
                <w:lang w:val="en-US" w:eastAsia="zh-CN"/>
              </w:rPr>
              <w:t>监理单位</w:t>
            </w:r>
          </w:p>
        </w:tc>
        <w:tc>
          <w:tcPr>
            <w:tcW w:w="2160" w:type="dxa"/>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gridSpan w:val="2"/>
            <w:noWrap w:val="0"/>
            <w:vAlign w:val="top"/>
          </w:tcPr>
          <w:p>
            <w:pPr>
              <w:rPr>
                <w:rFonts w:hint="eastAsia" w:ascii="宋体" w:hAnsi="宋体" w:eastAsia="宋体" w:cs="宋体"/>
                <w:sz w:val="24"/>
                <w:szCs w:val="24"/>
              </w:rPr>
            </w:pPr>
            <w:r>
              <w:rPr>
                <w:rFonts w:hint="eastAsia" w:ascii="宋体" w:hAnsi="宋体" w:eastAsia="宋体" w:cs="宋体"/>
                <w:sz w:val="24"/>
                <w:szCs w:val="24"/>
              </w:rPr>
              <w:t>建设单位</w:t>
            </w:r>
          </w:p>
        </w:tc>
        <w:tc>
          <w:tcPr>
            <w:tcW w:w="8460" w:type="dxa"/>
            <w:gridSpan w:val="3"/>
            <w:noWrap w:val="0"/>
            <w:vAlign w:val="top"/>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648"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存在问题</w:t>
            </w:r>
          </w:p>
        </w:tc>
        <w:tc>
          <w:tcPr>
            <w:tcW w:w="9180" w:type="dxa"/>
            <w:gridSpan w:val="4"/>
            <w:noWrap w:val="0"/>
            <w:vAlign w:val="top"/>
          </w:tcPr>
          <w:p>
            <w:pPr>
              <w:rPr>
                <w:rFonts w:hint="eastAsia" w:ascii="宋体" w:hAnsi="宋体" w:eastAsia="宋体" w:cs="宋体"/>
                <w:sz w:val="24"/>
                <w:szCs w:val="24"/>
              </w:rPr>
            </w:pPr>
            <w:r>
              <w:rPr>
                <w:rFonts w:hint="eastAsia" w:ascii="宋体" w:hAnsi="宋体" w:eastAsia="宋体" w:cs="宋体"/>
                <w:sz w:val="24"/>
                <w:szCs w:val="24"/>
              </w:rPr>
              <w:t>（不够可附页）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828" w:type="dxa"/>
            <w:gridSpan w:val="5"/>
            <w:noWrap w:val="0"/>
            <w:vAlign w:val="top"/>
          </w:tcPr>
          <w:p>
            <w:pPr>
              <w:rPr>
                <w:rFonts w:hint="eastAsia" w:ascii="宋体" w:hAnsi="宋体" w:eastAsia="宋体" w:cs="宋体"/>
                <w:sz w:val="24"/>
                <w:szCs w:val="24"/>
              </w:rPr>
            </w:pPr>
            <w:r>
              <w:rPr>
                <w:rFonts w:hint="eastAsia" w:ascii="宋体" w:hAnsi="宋体" w:eastAsia="宋体" w:cs="宋体"/>
                <w:sz w:val="24"/>
                <w:szCs w:val="24"/>
              </w:rPr>
              <w:t>检测</w:t>
            </w:r>
            <w:r>
              <w:rPr>
                <w:rFonts w:hint="eastAsia" w:ascii="宋体" w:hAnsi="宋体" w:eastAsia="宋体" w:cs="宋体"/>
                <w:sz w:val="24"/>
                <w:szCs w:val="24"/>
                <w:lang w:val="en-US" w:eastAsia="zh-CN"/>
              </w:rPr>
              <w:t>单位</w:t>
            </w:r>
            <w:r>
              <w:rPr>
                <w:rFonts w:hint="eastAsia" w:ascii="宋体" w:hAnsi="宋体" w:eastAsia="宋体" w:cs="宋体"/>
                <w:sz w:val="24"/>
                <w:szCs w:val="24"/>
              </w:rPr>
              <w:t>项目负责人签字：</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9828" w:type="dxa"/>
            <w:gridSpan w:val="5"/>
            <w:noWrap w:val="0"/>
            <w:vAlign w:val="top"/>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监理单位总监理工程师签字：</w:t>
            </w:r>
          </w:p>
          <w:p>
            <w:pPr>
              <w:pStyle w:val="2"/>
              <w:rPr>
                <w:rFonts w:hint="eastAsia"/>
                <w:sz w:val="24"/>
                <w:szCs w:val="24"/>
                <w:lang w:eastAsia="zh-CN"/>
              </w:rPr>
            </w:pPr>
          </w:p>
          <w:p>
            <w:pPr>
              <w:rPr>
                <w:rFonts w:hint="eastAsia"/>
                <w:sz w:val="24"/>
                <w:szCs w:val="24"/>
                <w:lang w:eastAsia="zh-CN"/>
              </w:rPr>
            </w:pPr>
          </w:p>
          <w:p>
            <w:pPr>
              <w:pStyle w:val="2"/>
              <w:wordWrap w:val="0"/>
              <w:jc w:val="right"/>
              <w:rPr>
                <w:rFonts w:hint="default" w:eastAsia="宋体"/>
                <w:sz w:val="24"/>
                <w:szCs w:val="24"/>
                <w:lang w:val="en-US" w:eastAsia="zh-CN"/>
              </w:rPr>
            </w:pPr>
            <w:r>
              <w:rPr>
                <w:rFonts w:hint="eastAsia" w:ascii="宋体" w:hAnsi="宋体" w:eastAsia="宋体" w:cs="宋体"/>
                <w:sz w:val="24"/>
                <w:szCs w:val="24"/>
              </w:rPr>
              <w:t xml:space="preserve"> 年   月   日</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9828" w:type="dxa"/>
            <w:gridSpan w:val="5"/>
            <w:noWrap w:val="0"/>
            <w:vAlign w:val="top"/>
          </w:tcPr>
          <w:p>
            <w:pPr>
              <w:rPr>
                <w:rFonts w:hint="eastAsia" w:ascii="宋体" w:hAnsi="宋体" w:eastAsia="宋体" w:cs="宋体"/>
                <w:sz w:val="24"/>
                <w:szCs w:val="24"/>
              </w:rPr>
            </w:pPr>
            <w:r>
              <w:rPr>
                <w:rFonts w:hint="eastAsia" w:ascii="宋体" w:hAnsi="宋体" w:eastAsia="宋体" w:cs="宋体"/>
                <w:sz w:val="24"/>
                <w:szCs w:val="24"/>
              </w:rPr>
              <w:t>建设单位东站建设管理部签字：</w:t>
            </w:r>
          </w:p>
          <w:p>
            <w:pPr>
              <w:rPr>
                <w:rFonts w:hint="eastAsia" w:ascii="宋体" w:hAnsi="宋体" w:eastAsia="宋体" w:cs="宋体"/>
                <w:sz w:val="24"/>
                <w:szCs w:val="24"/>
              </w:rPr>
            </w:pPr>
          </w:p>
          <w:p>
            <w:pPr>
              <w:ind w:firstLine="6600" w:firstLineChars="2750"/>
              <w:rPr>
                <w:rFonts w:hint="eastAsia" w:ascii="宋体" w:hAnsi="宋体" w:eastAsia="宋体" w:cs="宋体"/>
                <w:sz w:val="24"/>
                <w:szCs w:val="24"/>
              </w:rPr>
            </w:pPr>
            <w:r>
              <w:rPr>
                <w:rFonts w:hint="eastAsia" w:ascii="宋体" w:hAnsi="宋体" w:eastAsia="宋体" w:cs="宋体"/>
                <w:sz w:val="24"/>
                <w:szCs w:val="24"/>
              </w:rPr>
              <w:t>年   月   日</w:t>
            </w:r>
          </w:p>
        </w:tc>
      </w:tr>
    </w:tbl>
    <w:p>
      <w:pPr>
        <w:rPr>
          <w:rFonts w:hint="eastAsia" w:ascii="宋体" w:hAnsi="宋体" w:eastAsia="宋体" w:cs="宋体"/>
          <w:sz w:val="24"/>
        </w:rPr>
      </w:pPr>
      <w:r>
        <w:rPr>
          <w:rFonts w:hint="eastAsia" w:ascii="宋体" w:hAnsi="宋体" w:eastAsia="宋体" w:cs="宋体"/>
          <w:sz w:val="24"/>
        </w:rPr>
        <w:t>备注：1、此表根据《评分表》（见附表一）中出现问题要求整改。</w:t>
      </w:r>
    </w:p>
    <w:p>
      <w:pPr>
        <w:rPr>
          <w:rFonts w:hint="eastAsia" w:ascii="宋体" w:hAnsi="宋体" w:eastAsia="宋体" w:cs="宋体"/>
          <w:sz w:val="24"/>
        </w:rPr>
      </w:pPr>
      <w:r>
        <w:rPr>
          <w:rFonts w:hint="eastAsia" w:ascii="宋体" w:hAnsi="宋体" w:eastAsia="宋体" w:cs="宋体"/>
          <w:sz w:val="24"/>
        </w:rPr>
        <w:t xml:space="preserve">      2、发现问题，限期整改，东站建管部作为第一责任人负责监督。对于以上检查中存在的问题要求</w:t>
      </w:r>
      <w:r>
        <w:rPr>
          <w:rFonts w:hint="eastAsia" w:ascii="宋体" w:hAnsi="宋体" w:eastAsia="宋体" w:cs="宋体"/>
          <w:sz w:val="24"/>
          <w:u w:val="single"/>
        </w:rPr>
        <w:t xml:space="preserve">      年  月   日   </w:t>
      </w:r>
      <w:r>
        <w:rPr>
          <w:rFonts w:hint="eastAsia" w:ascii="宋体" w:hAnsi="宋体" w:eastAsia="宋体" w:cs="宋体"/>
          <w:sz w:val="24"/>
        </w:rPr>
        <w:t>前整改（或落实）完毕，东站建管部负责监督。</w:t>
      </w:r>
    </w:p>
    <w:p>
      <w:pPr>
        <w:rPr>
          <w:rFonts w:hint="eastAsia" w:ascii="宋体" w:hAnsi="宋体" w:eastAsia="宋体" w:cs="宋体"/>
          <w:sz w:val="24"/>
        </w:rPr>
      </w:pPr>
      <w:r>
        <w:rPr>
          <w:rFonts w:hint="eastAsia" w:ascii="宋体" w:hAnsi="宋体" w:eastAsia="宋体" w:cs="宋体"/>
          <w:sz w:val="24"/>
        </w:rPr>
        <w:t xml:space="preserve">     3、整改完毕后填写《检测工作整改回复单》（见附表三），要求检测单位</w:t>
      </w:r>
      <w:r>
        <w:rPr>
          <w:rFonts w:hint="eastAsia" w:ascii="宋体" w:hAnsi="宋体" w:eastAsia="宋体" w:cs="宋体"/>
          <w:sz w:val="24"/>
          <w:lang w:val="en-US" w:eastAsia="zh-CN"/>
        </w:rPr>
        <w:t>项目</w:t>
      </w:r>
      <w:r>
        <w:rPr>
          <w:rFonts w:hint="eastAsia" w:ascii="宋体" w:hAnsi="宋体" w:eastAsia="宋体" w:cs="宋体"/>
          <w:sz w:val="24"/>
        </w:rPr>
        <w:t>负责人在整改回复上签字并盖章，报东站建管部。</w:t>
      </w:r>
    </w:p>
    <w:p>
      <w:pPr>
        <w:rPr>
          <w:rFonts w:hint="eastAsia" w:ascii="宋体" w:hAnsi="宋体" w:eastAsia="宋体" w:cs="宋体"/>
          <w:sz w:val="24"/>
        </w:rPr>
      </w:pPr>
      <w:r>
        <w:rPr>
          <w:rFonts w:hint="eastAsia" w:ascii="宋体" w:hAnsi="宋体" w:eastAsia="宋体" w:cs="宋体"/>
          <w:sz w:val="24"/>
        </w:rPr>
        <w:t xml:space="preserve">     4、必要时，《检测工作整改回复单》（见附表三）要附有对相关责任人的处理意见（或处理结果）、相关音像、图片资料。</w:t>
      </w:r>
    </w:p>
    <w:p>
      <w:pPr>
        <w:rPr>
          <w:rFonts w:hint="eastAsia" w:ascii="宋体" w:hAnsi="宋体" w:eastAsia="宋体" w:cs="宋体"/>
          <w:sz w:val="24"/>
        </w:rPr>
      </w:pPr>
      <w:r>
        <w:rPr>
          <w:rFonts w:hint="eastAsia" w:ascii="宋体" w:hAnsi="宋体" w:eastAsia="宋体" w:cs="宋体"/>
          <w:sz w:val="24"/>
        </w:rPr>
        <w:t xml:space="preserve">     5、通知单一式</w:t>
      </w:r>
      <w:r>
        <w:rPr>
          <w:rFonts w:hint="eastAsia" w:ascii="宋体" w:hAnsi="宋体" w:eastAsia="宋体" w:cs="宋体"/>
          <w:sz w:val="24"/>
          <w:lang w:val="en-US" w:eastAsia="zh-CN"/>
        </w:rPr>
        <w:t>三</w:t>
      </w:r>
      <w:r>
        <w:rPr>
          <w:rFonts w:hint="eastAsia" w:ascii="宋体" w:hAnsi="宋体" w:eastAsia="宋体" w:cs="宋体"/>
          <w:sz w:val="24"/>
        </w:rPr>
        <w:t>份，</w:t>
      </w:r>
      <w:r>
        <w:rPr>
          <w:rFonts w:hint="eastAsia" w:ascii="宋体" w:hAnsi="宋体" w:eastAsia="宋体" w:cs="宋体"/>
          <w:sz w:val="24"/>
          <w:lang w:val="en-US" w:eastAsia="zh-CN"/>
        </w:rPr>
        <w:t>建设单位、监理单位</w:t>
      </w:r>
      <w:r>
        <w:rPr>
          <w:rFonts w:hint="eastAsia" w:ascii="宋体" w:hAnsi="宋体" w:eastAsia="宋体" w:cs="宋体"/>
          <w:sz w:val="24"/>
        </w:rPr>
        <w:t>及检测单位各一份。</w:t>
      </w:r>
    </w:p>
    <w:p>
      <w:pPr>
        <w:spacing w:line="540" w:lineRule="exact"/>
        <w:ind w:firstLine="420" w:firstLineChars="200"/>
        <w:rPr>
          <w:rFonts w:hint="eastAsia" w:ascii="宋体" w:hAnsi="宋体" w:eastAsia="宋体" w:cs="宋体"/>
          <w:sz w:val="21"/>
          <w:szCs w:val="21"/>
        </w:rPr>
        <w:sectPr>
          <w:pgSz w:w="11906" w:h="16838"/>
          <w:pgMar w:top="1418" w:right="1134" w:bottom="1134" w:left="1134" w:header="720" w:footer="720" w:gutter="0"/>
          <w:cols w:space="720" w:num="1"/>
          <w:titlePg/>
          <w:docGrid w:linePitch="312" w:charSpace="0"/>
        </w:sectPr>
      </w:pPr>
    </w:p>
    <w:p>
      <w:pPr>
        <w:jc w:val="center"/>
        <w:rPr>
          <w:rFonts w:hint="eastAsia" w:ascii="宋体" w:hAnsi="宋体" w:eastAsia="宋体" w:cs="宋体"/>
          <w:b/>
          <w:sz w:val="32"/>
          <w:szCs w:val="32"/>
        </w:rPr>
      </w:pPr>
      <w:r>
        <w:rPr>
          <w:rFonts w:hint="eastAsia" w:ascii="宋体" w:hAnsi="宋体" w:eastAsia="宋体" w:cs="宋体"/>
          <w:b/>
          <w:sz w:val="32"/>
          <w:szCs w:val="32"/>
        </w:rPr>
        <w:t>检测工作整改回复单</w:t>
      </w:r>
    </w:p>
    <w:p>
      <w:pPr>
        <w:rPr>
          <w:rFonts w:hint="eastAsia" w:ascii="宋体" w:hAnsi="宋体" w:eastAsia="宋体" w:cs="宋体"/>
          <w:sz w:val="24"/>
        </w:rPr>
      </w:pPr>
      <w:r>
        <w:rPr>
          <w:rFonts w:hint="eastAsia" w:ascii="宋体" w:hAnsi="宋体" w:eastAsia="宋体" w:cs="宋体"/>
          <w:sz w:val="24"/>
        </w:rPr>
        <w:t>编号：                                             检查时间：</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60"/>
        <w:gridCol w:w="3600"/>
        <w:gridCol w:w="1882"/>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48" w:type="dxa"/>
            <w:noWrap w:val="0"/>
            <w:vAlign w:val="center"/>
          </w:tcPr>
          <w:p>
            <w:pPr>
              <w:jc w:val="center"/>
              <w:rPr>
                <w:rFonts w:hint="eastAsia" w:ascii="宋体" w:hAnsi="宋体" w:eastAsia="宋体" w:cs="宋体"/>
                <w:sz w:val="24"/>
              </w:rPr>
            </w:pPr>
            <w:r>
              <w:rPr>
                <w:rFonts w:hint="eastAsia" w:ascii="宋体" w:hAnsi="宋体" w:eastAsia="宋体" w:cs="宋体"/>
                <w:sz w:val="24"/>
              </w:rPr>
              <w:t>工程名称</w:t>
            </w:r>
          </w:p>
        </w:tc>
        <w:tc>
          <w:tcPr>
            <w:tcW w:w="3960" w:type="dxa"/>
            <w:gridSpan w:val="2"/>
            <w:noWrap w:val="0"/>
            <w:vAlign w:val="center"/>
          </w:tcPr>
          <w:p>
            <w:pPr>
              <w:jc w:val="center"/>
              <w:rPr>
                <w:rFonts w:hint="eastAsia" w:ascii="宋体" w:hAnsi="宋体" w:eastAsia="宋体" w:cs="宋体"/>
                <w:sz w:val="24"/>
              </w:rPr>
            </w:pPr>
          </w:p>
        </w:tc>
        <w:tc>
          <w:tcPr>
            <w:tcW w:w="1882" w:type="dxa"/>
            <w:noWrap w:val="0"/>
            <w:vAlign w:val="center"/>
          </w:tcPr>
          <w:p>
            <w:pPr>
              <w:jc w:val="center"/>
              <w:rPr>
                <w:rFonts w:hint="eastAsia" w:ascii="宋体" w:hAnsi="宋体" w:eastAsia="宋体" w:cs="宋体"/>
                <w:sz w:val="24"/>
              </w:rPr>
            </w:pPr>
            <w:r>
              <w:rPr>
                <w:rFonts w:hint="eastAsia" w:ascii="宋体" w:hAnsi="宋体" w:eastAsia="宋体" w:cs="宋体"/>
                <w:sz w:val="24"/>
              </w:rPr>
              <w:t>检测合同编号</w:t>
            </w:r>
          </w:p>
        </w:tc>
        <w:tc>
          <w:tcPr>
            <w:tcW w:w="2464" w:type="dxa"/>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48" w:type="dxa"/>
            <w:noWrap w:val="0"/>
            <w:vAlign w:val="center"/>
          </w:tcPr>
          <w:p>
            <w:pPr>
              <w:jc w:val="center"/>
              <w:rPr>
                <w:rFonts w:hint="eastAsia" w:ascii="宋体" w:hAnsi="宋体" w:eastAsia="宋体" w:cs="宋体"/>
                <w:sz w:val="24"/>
              </w:rPr>
            </w:pPr>
            <w:r>
              <w:rPr>
                <w:rFonts w:hint="eastAsia" w:ascii="宋体" w:hAnsi="宋体" w:eastAsia="宋体" w:cs="宋体"/>
                <w:sz w:val="24"/>
              </w:rPr>
              <w:t>检测单位</w:t>
            </w:r>
          </w:p>
        </w:tc>
        <w:tc>
          <w:tcPr>
            <w:tcW w:w="3960" w:type="dxa"/>
            <w:gridSpan w:val="2"/>
            <w:noWrap w:val="0"/>
            <w:vAlign w:val="center"/>
          </w:tcPr>
          <w:p>
            <w:pPr>
              <w:jc w:val="center"/>
              <w:rPr>
                <w:rFonts w:hint="eastAsia" w:ascii="宋体" w:hAnsi="宋体" w:eastAsia="宋体" w:cs="宋体"/>
                <w:sz w:val="24"/>
              </w:rPr>
            </w:pPr>
          </w:p>
        </w:tc>
        <w:tc>
          <w:tcPr>
            <w:tcW w:w="1882" w:type="dxa"/>
            <w:noWrap w:val="0"/>
            <w:vAlign w:val="center"/>
          </w:tcPr>
          <w:p>
            <w:pPr>
              <w:jc w:val="center"/>
              <w:rPr>
                <w:rFonts w:hint="eastAsia" w:ascii="宋体" w:hAnsi="宋体" w:eastAsia="宋体" w:cs="宋体"/>
                <w:sz w:val="24"/>
              </w:rPr>
            </w:pPr>
            <w:r>
              <w:rPr>
                <w:rFonts w:hint="eastAsia" w:ascii="宋体" w:hAnsi="宋体" w:eastAsia="宋体" w:cs="宋体"/>
                <w:sz w:val="24"/>
                <w:lang w:val="en-US" w:eastAsia="zh-CN"/>
              </w:rPr>
              <w:t>监理单位</w:t>
            </w:r>
          </w:p>
        </w:tc>
        <w:tc>
          <w:tcPr>
            <w:tcW w:w="2464" w:type="dxa"/>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48" w:type="dxa"/>
            <w:noWrap w:val="0"/>
            <w:vAlign w:val="center"/>
          </w:tcPr>
          <w:p>
            <w:pPr>
              <w:jc w:val="center"/>
              <w:rPr>
                <w:rFonts w:hint="eastAsia" w:ascii="宋体" w:hAnsi="宋体" w:eastAsia="宋体" w:cs="宋体"/>
                <w:sz w:val="24"/>
              </w:rPr>
            </w:pPr>
            <w:r>
              <w:rPr>
                <w:rFonts w:hint="eastAsia" w:ascii="宋体" w:hAnsi="宋体" w:eastAsia="宋体" w:cs="宋体"/>
                <w:sz w:val="24"/>
              </w:rPr>
              <w:t>建设单位</w:t>
            </w:r>
          </w:p>
        </w:tc>
        <w:tc>
          <w:tcPr>
            <w:tcW w:w="3960" w:type="dxa"/>
            <w:gridSpan w:val="2"/>
            <w:noWrap w:val="0"/>
            <w:vAlign w:val="center"/>
          </w:tcPr>
          <w:p>
            <w:pPr>
              <w:jc w:val="center"/>
              <w:rPr>
                <w:rFonts w:hint="eastAsia" w:ascii="宋体" w:hAnsi="宋体" w:eastAsia="宋体" w:cs="宋体"/>
                <w:sz w:val="24"/>
              </w:rPr>
            </w:pPr>
          </w:p>
        </w:tc>
        <w:tc>
          <w:tcPr>
            <w:tcW w:w="1882" w:type="dxa"/>
            <w:noWrap w:val="0"/>
            <w:vAlign w:val="center"/>
          </w:tcPr>
          <w:p>
            <w:pPr>
              <w:jc w:val="center"/>
              <w:rPr>
                <w:rFonts w:hint="eastAsia" w:ascii="宋体" w:hAnsi="宋体" w:eastAsia="宋体" w:cs="宋体"/>
                <w:sz w:val="24"/>
              </w:rPr>
            </w:pPr>
          </w:p>
        </w:tc>
        <w:tc>
          <w:tcPr>
            <w:tcW w:w="2464" w:type="dxa"/>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trPr>
        <w:tc>
          <w:tcPr>
            <w:tcW w:w="9854" w:type="dxa"/>
            <w:gridSpan w:val="5"/>
            <w:noWrap w:val="0"/>
            <w:vAlign w:val="top"/>
          </w:tcPr>
          <w:p>
            <w:pPr>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w:t>
            </w:r>
          </w:p>
          <w:p>
            <w:pPr>
              <w:ind w:firstLine="480"/>
              <w:rPr>
                <w:rFonts w:hint="eastAsia" w:ascii="宋体" w:hAnsi="宋体" w:eastAsia="宋体" w:cs="宋体"/>
                <w:sz w:val="24"/>
              </w:rPr>
            </w:pPr>
            <w:r>
              <w:rPr>
                <w:rFonts w:hint="eastAsia" w:ascii="宋体" w:hAnsi="宋体" w:eastAsia="宋体" w:cs="宋体"/>
                <w:sz w:val="24"/>
              </w:rPr>
              <w:t>我方接到</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日通知单后，已按要求完成了</w:t>
            </w:r>
            <w:r>
              <w:rPr>
                <w:rFonts w:hint="eastAsia" w:ascii="宋体" w:hAnsi="宋体" w:eastAsia="宋体" w:cs="宋体"/>
                <w:sz w:val="24"/>
                <w:u w:val="single"/>
              </w:rPr>
              <w:t xml:space="preserve">              </w:t>
            </w:r>
            <w:r>
              <w:rPr>
                <w:rFonts w:hint="eastAsia" w:ascii="宋体" w:hAnsi="宋体" w:eastAsia="宋体" w:cs="宋体"/>
                <w:sz w:val="24"/>
              </w:rPr>
              <w:t>工作，特此回复，请予以复查。</w:t>
            </w:r>
          </w:p>
          <w:p>
            <w:pPr>
              <w:rPr>
                <w:rFonts w:hint="eastAsia" w:ascii="宋体" w:hAnsi="宋体" w:eastAsia="宋体" w:cs="宋体"/>
                <w:sz w:val="24"/>
              </w:rPr>
            </w:pPr>
            <w:r>
              <w:rPr>
                <w:rFonts w:hint="eastAsia" w:ascii="宋体" w:hAnsi="宋体" w:eastAsia="宋体" w:cs="宋体"/>
                <w:sz w:val="24"/>
              </w:rPr>
              <w:t>详细内容（不够可附页）：</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908"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检测单位（盖章）</w:t>
            </w:r>
          </w:p>
        </w:tc>
        <w:tc>
          <w:tcPr>
            <w:tcW w:w="3600" w:type="dxa"/>
            <w:noWrap w:val="0"/>
            <w:vAlign w:val="center"/>
          </w:tcPr>
          <w:p>
            <w:pPr>
              <w:jc w:val="center"/>
              <w:rPr>
                <w:rFonts w:hint="eastAsia" w:ascii="宋体" w:hAnsi="宋体" w:eastAsia="宋体" w:cs="宋体"/>
                <w:sz w:val="24"/>
              </w:rPr>
            </w:pPr>
          </w:p>
        </w:tc>
        <w:tc>
          <w:tcPr>
            <w:tcW w:w="1882" w:type="dxa"/>
            <w:noWrap w:val="0"/>
            <w:vAlign w:val="center"/>
          </w:tcPr>
          <w:p>
            <w:pPr>
              <w:jc w:val="center"/>
              <w:rPr>
                <w:rFonts w:hint="eastAsia" w:ascii="宋体" w:hAnsi="宋体" w:eastAsia="宋体" w:cs="宋体"/>
                <w:sz w:val="24"/>
              </w:rPr>
            </w:pPr>
            <w:r>
              <w:rPr>
                <w:rFonts w:hint="eastAsia" w:ascii="宋体" w:hAnsi="宋体" w:eastAsia="宋体" w:cs="宋体"/>
                <w:sz w:val="24"/>
                <w:lang w:val="en-US" w:eastAsia="zh-CN"/>
              </w:rPr>
              <w:t>项目</w:t>
            </w:r>
            <w:r>
              <w:rPr>
                <w:rFonts w:hint="eastAsia" w:ascii="宋体" w:hAnsi="宋体" w:eastAsia="宋体" w:cs="宋体"/>
                <w:sz w:val="24"/>
              </w:rPr>
              <w:t>负责人签字</w:t>
            </w:r>
          </w:p>
        </w:tc>
        <w:tc>
          <w:tcPr>
            <w:tcW w:w="2464" w:type="dxa"/>
            <w:noWrap w:val="0"/>
            <w:vAlign w:val="top"/>
          </w:tcPr>
          <w:p>
            <w:pP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9854" w:type="dxa"/>
            <w:gridSpan w:val="5"/>
            <w:noWrap w:val="0"/>
            <w:vAlign w:val="center"/>
          </w:tcPr>
          <w:p>
            <w:pPr>
              <w:rPr>
                <w:rFonts w:hint="eastAsia" w:ascii="宋体" w:hAnsi="宋体" w:eastAsia="宋体" w:cs="宋体"/>
                <w:sz w:val="24"/>
                <w:szCs w:val="22"/>
                <w:lang w:eastAsia="zh-CN"/>
              </w:rPr>
            </w:pPr>
            <w:r>
              <w:rPr>
                <w:rFonts w:hint="eastAsia" w:ascii="宋体" w:hAnsi="宋体" w:eastAsia="宋体" w:cs="宋体"/>
                <w:sz w:val="24"/>
                <w:szCs w:val="22"/>
                <w:lang w:eastAsia="zh-CN"/>
              </w:rPr>
              <w:t>监理单位总监理工程师签字：</w:t>
            </w:r>
          </w:p>
          <w:p>
            <w:pPr>
              <w:pStyle w:val="2"/>
              <w:rPr>
                <w:rFonts w:hint="eastAsia"/>
                <w:lang w:eastAsia="zh-CN"/>
              </w:rPr>
            </w:pPr>
          </w:p>
          <w:p>
            <w:pPr>
              <w:rPr>
                <w:rFonts w:hint="eastAsia"/>
                <w:lang w:eastAsia="zh-CN"/>
              </w:rPr>
            </w:pPr>
          </w:p>
          <w:p>
            <w:pPr>
              <w:jc w:val="right"/>
              <w:rPr>
                <w:rFonts w:hint="eastAsia" w:ascii="宋体" w:hAnsi="宋体" w:eastAsia="宋体" w:cs="宋体"/>
                <w:sz w:val="24"/>
                <w:szCs w:val="22"/>
              </w:rPr>
            </w:pPr>
          </w:p>
          <w:p>
            <w:pPr>
              <w:jc w:val="right"/>
              <w:rPr>
                <w:rFonts w:hint="eastAsia" w:ascii="宋体" w:hAnsi="宋体" w:eastAsia="宋体" w:cs="宋体"/>
                <w:sz w:val="24"/>
                <w:szCs w:val="22"/>
              </w:rPr>
            </w:pPr>
          </w:p>
          <w:p>
            <w:pPr>
              <w:jc w:val="right"/>
              <w:rPr>
                <w:rFonts w:hint="eastAsia" w:ascii="宋体" w:hAnsi="宋体" w:eastAsia="宋体" w:cs="宋体"/>
                <w:sz w:val="24"/>
                <w:szCs w:val="22"/>
              </w:rPr>
            </w:pPr>
          </w:p>
          <w:p>
            <w:pPr>
              <w:jc w:val="right"/>
              <w:rPr>
                <w:rFonts w:hint="eastAsia" w:ascii="宋体" w:hAnsi="宋体" w:eastAsia="宋体" w:cs="宋体"/>
                <w:sz w:val="24"/>
              </w:rPr>
            </w:pPr>
            <w:r>
              <w:rPr>
                <w:rFonts w:hint="eastAsia" w:ascii="宋体" w:hAnsi="宋体" w:eastAsia="宋体" w:cs="宋体"/>
                <w:sz w:val="24"/>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9854" w:type="dxa"/>
            <w:gridSpan w:val="5"/>
            <w:noWrap w:val="0"/>
            <w:vAlign w:val="top"/>
          </w:tcPr>
          <w:p>
            <w:pPr>
              <w:rPr>
                <w:rFonts w:hint="eastAsia" w:ascii="宋体" w:hAnsi="宋体" w:eastAsia="宋体" w:cs="宋体"/>
                <w:sz w:val="24"/>
              </w:rPr>
            </w:pPr>
            <w:r>
              <w:rPr>
                <w:rFonts w:hint="eastAsia" w:ascii="宋体" w:hAnsi="宋体" w:eastAsia="宋体" w:cs="宋体"/>
                <w:sz w:val="24"/>
              </w:rPr>
              <w:t>建设单位复查意见</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pStyle w:val="2"/>
              <w:rPr>
                <w:rFonts w:hint="eastAsia"/>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 xml:space="preserve">                                                                  年   月   日</w:t>
            </w:r>
          </w:p>
        </w:tc>
      </w:tr>
    </w:tbl>
    <w:p>
      <w:pPr>
        <w:rPr>
          <w:rFonts w:hint="eastAsia" w:ascii="宋体" w:hAnsi="宋体" w:eastAsia="宋体" w:cs="宋体"/>
          <w:sz w:val="24"/>
        </w:rPr>
      </w:pPr>
      <w:r>
        <w:rPr>
          <w:rFonts w:hint="eastAsia" w:ascii="宋体" w:hAnsi="宋体" w:eastAsia="宋体" w:cs="宋体"/>
          <w:sz w:val="24"/>
        </w:rPr>
        <w:t>备注：此表通知单一式</w:t>
      </w:r>
      <w:r>
        <w:rPr>
          <w:rFonts w:hint="eastAsia" w:ascii="宋体" w:hAnsi="宋体" w:eastAsia="宋体" w:cs="宋体"/>
          <w:sz w:val="24"/>
          <w:lang w:val="en-US" w:eastAsia="zh-CN"/>
        </w:rPr>
        <w:t>三</w:t>
      </w:r>
      <w:r>
        <w:rPr>
          <w:rFonts w:hint="eastAsia" w:ascii="宋体" w:hAnsi="宋体" w:eastAsia="宋体" w:cs="宋体"/>
          <w:sz w:val="24"/>
        </w:rPr>
        <w:t>份，</w:t>
      </w:r>
      <w:r>
        <w:rPr>
          <w:rFonts w:hint="eastAsia" w:ascii="宋体" w:hAnsi="宋体" w:eastAsia="宋体" w:cs="宋体"/>
          <w:sz w:val="24"/>
          <w:lang w:val="en-US" w:eastAsia="zh-CN"/>
        </w:rPr>
        <w:t>建设单位、</w:t>
      </w:r>
      <w:r>
        <w:rPr>
          <w:rFonts w:hint="eastAsia" w:ascii="宋体" w:hAnsi="宋体" w:eastAsia="宋体" w:cs="宋体"/>
          <w:sz w:val="24"/>
        </w:rPr>
        <w:t>监理单位</w:t>
      </w:r>
      <w:r>
        <w:rPr>
          <w:rFonts w:hint="eastAsia" w:ascii="宋体" w:hAnsi="宋体" w:eastAsia="宋体" w:cs="宋体"/>
          <w:sz w:val="24"/>
          <w:lang w:eastAsia="zh-CN"/>
        </w:rPr>
        <w:t>、</w:t>
      </w:r>
      <w:r>
        <w:rPr>
          <w:rFonts w:hint="eastAsia" w:ascii="宋体" w:hAnsi="宋体" w:eastAsia="宋体" w:cs="宋体"/>
          <w:sz w:val="24"/>
          <w:lang w:val="en-US" w:eastAsia="zh-CN"/>
        </w:rPr>
        <w:t>检测单位</w:t>
      </w:r>
      <w:r>
        <w:rPr>
          <w:rFonts w:hint="eastAsia" w:ascii="宋体" w:hAnsi="宋体" w:eastAsia="宋体" w:cs="宋体"/>
          <w:sz w:val="24"/>
        </w:rPr>
        <w:t>各一份。</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jc w:val="center"/>
        <w:rPr>
          <w:rFonts w:hint="eastAsia" w:ascii="宋体" w:hAnsi="宋体" w:eastAsia="宋体" w:cs="宋体"/>
          <w:b/>
          <w:sz w:val="44"/>
          <w:szCs w:val="44"/>
        </w:rPr>
      </w:pPr>
    </w:p>
    <w:p>
      <w:pPr>
        <w:jc w:val="center"/>
        <w:rPr>
          <w:rFonts w:hint="eastAsia" w:ascii="宋体" w:hAnsi="宋体" w:eastAsia="宋体" w:cs="宋体"/>
          <w:b/>
          <w:sz w:val="32"/>
          <w:szCs w:val="32"/>
        </w:rPr>
      </w:pPr>
      <w:r>
        <w:rPr>
          <w:rFonts w:hint="eastAsia" w:ascii="宋体" w:hAnsi="宋体" w:eastAsia="宋体" w:cs="宋体"/>
          <w:b/>
          <w:sz w:val="32"/>
          <w:szCs w:val="32"/>
        </w:rPr>
        <w:t>处罚通知书</w:t>
      </w:r>
    </w:p>
    <w:p>
      <w:pPr>
        <w:spacing w:line="600" w:lineRule="atLeast"/>
        <w:jc w:val="center"/>
        <w:rPr>
          <w:rFonts w:hint="eastAsia" w:ascii="宋体" w:hAnsi="宋体" w:eastAsia="宋体" w:cs="宋体"/>
          <w:b/>
          <w:sz w:val="44"/>
          <w:szCs w:val="44"/>
        </w:rPr>
      </w:pPr>
    </w:p>
    <w:p>
      <w:pPr>
        <w:spacing w:line="600" w:lineRule="atLeast"/>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p>
      <w:pPr>
        <w:spacing w:line="600" w:lineRule="atLeas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按照《XX第三方检测合同》文件精神，根据</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日现场检查情况：</w:t>
      </w:r>
      <w:r>
        <w:rPr>
          <w:rFonts w:hint="eastAsia" w:ascii="宋体" w:hAnsi="宋体" w:eastAsia="宋体" w:cs="宋体"/>
          <w:sz w:val="24"/>
          <w:szCs w:val="24"/>
          <w:u w:val="single"/>
        </w:rPr>
        <w:t xml:space="preserve">                      </w:t>
      </w:r>
      <w:r>
        <w:rPr>
          <w:rFonts w:hint="eastAsia" w:ascii="宋体" w:hAnsi="宋体" w:eastAsia="宋体" w:cs="宋体"/>
          <w:sz w:val="24"/>
          <w:szCs w:val="24"/>
        </w:rPr>
        <w:t>贵司</w:t>
      </w:r>
      <w:r>
        <w:rPr>
          <w:rFonts w:hint="eastAsia" w:ascii="宋体" w:hAnsi="宋体" w:eastAsia="宋体" w:cs="宋体"/>
          <w:sz w:val="24"/>
          <w:szCs w:val="24"/>
          <w:u w:val="single"/>
        </w:rPr>
        <w:t xml:space="preserve">                     </w:t>
      </w:r>
      <w:r>
        <w:rPr>
          <w:rFonts w:hint="eastAsia" w:ascii="宋体" w:hAnsi="宋体" w:eastAsia="宋体" w:cs="宋体"/>
          <w:sz w:val="24"/>
          <w:szCs w:val="24"/>
        </w:rPr>
        <w:t>已违反本办法规定，决定给予</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）的处罚。</w:t>
      </w:r>
    </w:p>
    <w:p>
      <w:pPr>
        <w:spacing w:line="600" w:lineRule="atLeast"/>
        <w:rPr>
          <w:rFonts w:hint="eastAsia" w:ascii="宋体" w:hAnsi="宋体" w:eastAsia="宋体" w:cs="宋体"/>
          <w:sz w:val="24"/>
          <w:szCs w:val="24"/>
        </w:rPr>
      </w:pPr>
    </w:p>
    <w:p>
      <w:pPr>
        <w:spacing w:line="600" w:lineRule="atLeast"/>
        <w:rPr>
          <w:rFonts w:hint="eastAsia" w:ascii="宋体" w:hAnsi="宋体" w:eastAsia="宋体" w:cs="宋体"/>
          <w:sz w:val="24"/>
          <w:szCs w:val="24"/>
        </w:rPr>
      </w:pPr>
    </w:p>
    <w:p>
      <w:pPr>
        <w:spacing w:line="600" w:lineRule="atLeast"/>
        <w:ind w:firstLine="2760" w:firstLineChars="1150"/>
        <w:rPr>
          <w:rFonts w:hint="eastAsia" w:ascii="宋体" w:hAnsi="宋体" w:eastAsia="宋体" w:cs="宋体"/>
          <w:sz w:val="24"/>
          <w:szCs w:val="24"/>
          <w:u w:val="single"/>
        </w:rPr>
      </w:pPr>
      <w:r>
        <w:rPr>
          <w:rFonts w:hint="eastAsia" w:ascii="宋体" w:hAnsi="宋体" w:eastAsia="宋体" w:cs="宋体"/>
          <w:sz w:val="24"/>
          <w:szCs w:val="24"/>
        </w:rPr>
        <w:t>被告知单位签字：（检测单位项目负责人）</w:t>
      </w:r>
      <w:r>
        <w:rPr>
          <w:rFonts w:hint="eastAsia" w:ascii="宋体" w:hAnsi="宋体" w:eastAsia="宋体" w:cs="宋体"/>
          <w:sz w:val="24"/>
          <w:szCs w:val="24"/>
          <w:u w:val="single"/>
        </w:rPr>
        <w:t xml:space="preserve">             </w:t>
      </w:r>
    </w:p>
    <w:p>
      <w:pPr>
        <w:spacing w:line="600" w:lineRule="atLeast"/>
        <w:ind w:firstLine="2760" w:firstLineChars="1150"/>
        <w:rPr>
          <w:rFonts w:hint="eastAsia" w:ascii="宋体" w:hAnsi="宋体" w:eastAsia="宋体" w:cs="宋体"/>
          <w:sz w:val="24"/>
          <w:szCs w:val="24"/>
        </w:rPr>
      </w:pPr>
    </w:p>
    <w:p>
      <w:pPr>
        <w:spacing w:line="600" w:lineRule="atLeast"/>
        <w:ind w:firstLine="2760" w:firstLineChars="1150"/>
        <w:rPr>
          <w:rFonts w:hint="eastAsia" w:ascii="宋体" w:hAnsi="宋体" w:eastAsia="宋体" w:cs="宋体"/>
          <w:sz w:val="24"/>
          <w:szCs w:val="24"/>
        </w:rPr>
      </w:pPr>
      <w:r>
        <w:rPr>
          <w:rFonts w:hint="eastAsia" w:ascii="宋体" w:hAnsi="宋体" w:eastAsia="宋体" w:cs="宋体"/>
          <w:sz w:val="24"/>
          <w:szCs w:val="24"/>
          <w:lang w:val="en-US" w:eastAsia="zh-CN"/>
        </w:rPr>
        <w:t>建设单位</w:t>
      </w:r>
      <w:r>
        <w:rPr>
          <w:rFonts w:hint="eastAsia" w:ascii="宋体" w:hAnsi="宋体" w:eastAsia="宋体" w:cs="宋体"/>
          <w:sz w:val="24"/>
          <w:szCs w:val="24"/>
        </w:rPr>
        <w:t>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600" w:lineRule="atLeast"/>
        <w:ind w:firstLine="2760" w:firstLineChars="1150"/>
        <w:rPr>
          <w:rFonts w:hint="eastAsia" w:ascii="宋体" w:hAnsi="宋体" w:eastAsia="宋体" w:cs="宋体"/>
          <w:sz w:val="24"/>
          <w:szCs w:val="24"/>
        </w:rPr>
      </w:pPr>
      <w:r>
        <w:rPr>
          <w:rFonts w:hint="eastAsia" w:ascii="宋体" w:hAnsi="宋体" w:eastAsia="宋体" w:cs="宋体"/>
          <w:sz w:val="24"/>
          <w:szCs w:val="24"/>
        </w:rPr>
        <w:t xml:space="preserve">                 </w:t>
      </w:r>
    </w:p>
    <w:p>
      <w:pPr>
        <w:ind w:firstLine="2760" w:firstLineChars="1150"/>
        <w:rPr>
          <w:rFonts w:hint="eastAsia" w:ascii="宋体" w:hAnsi="宋体" w:eastAsia="宋体" w:cs="宋体"/>
          <w:sz w:val="24"/>
          <w:szCs w:val="24"/>
        </w:rPr>
      </w:pPr>
    </w:p>
    <w:p>
      <w:pPr>
        <w:ind w:firstLine="2760" w:firstLineChars="1150"/>
        <w:jc w:val="right"/>
        <w:rPr>
          <w:rFonts w:hint="eastAsia" w:ascii="宋体" w:hAnsi="宋体" w:eastAsia="宋体" w:cs="宋体"/>
          <w:sz w:val="24"/>
          <w:szCs w:val="24"/>
        </w:rPr>
      </w:pPr>
      <w:r>
        <w:rPr>
          <w:rFonts w:hint="eastAsia" w:ascii="宋体" w:hAnsi="宋体" w:eastAsia="宋体" w:cs="宋体"/>
          <w:sz w:val="24"/>
          <w:szCs w:val="24"/>
        </w:rPr>
        <w:t xml:space="preserve">               年     月    日</w:t>
      </w:r>
    </w:p>
    <w:p>
      <w:pPr>
        <w:spacing w:line="580" w:lineRule="exact"/>
        <w:ind w:firstLine="480" w:firstLineChars="200"/>
        <w:rPr>
          <w:rFonts w:hint="eastAsia" w:ascii="宋体" w:hAnsi="宋体" w:eastAsia="宋体" w:cs="宋体"/>
          <w:sz w:val="24"/>
          <w:szCs w:val="24"/>
        </w:rPr>
      </w:pPr>
    </w:p>
    <w:p>
      <w:pPr>
        <w:spacing w:line="580" w:lineRule="exact"/>
        <w:ind w:firstLine="480" w:firstLineChars="200"/>
        <w:rPr>
          <w:rFonts w:hint="default"/>
          <w:lang w:val="en-US" w:eastAsia="zh-CN"/>
        </w:rPr>
      </w:pPr>
      <w:r>
        <w:rPr>
          <w:rFonts w:hint="eastAsia" w:ascii="宋体" w:hAnsi="宋体" w:eastAsia="宋体" w:cs="宋体"/>
          <w:sz w:val="24"/>
          <w:szCs w:val="24"/>
        </w:rPr>
        <w:t>注：本处罚通知书一式三份，</w:t>
      </w:r>
      <w:r>
        <w:rPr>
          <w:rFonts w:hint="eastAsia" w:ascii="宋体" w:hAnsi="宋体" w:eastAsia="宋体" w:cs="宋体"/>
          <w:sz w:val="24"/>
          <w:szCs w:val="24"/>
          <w:lang w:val="en-US" w:eastAsia="zh-CN"/>
        </w:rPr>
        <w:t>建设单位、监理单位、检测单位</w:t>
      </w:r>
      <w:r>
        <w:rPr>
          <w:rFonts w:hint="eastAsia" w:ascii="宋体" w:hAnsi="宋体" w:eastAsia="宋体" w:cs="宋体"/>
          <w:sz w:val="24"/>
          <w:szCs w:val="24"/>
        </w:rPr>
        <w:t>各一份</w:t>
      </w:r>
    </w:p>
    <w:sectPr>
      <w:pgSz w:w="11906" w:h="16838"/>
      <w:pgMar w:top="1440" w:right="1803" w:bottom="1440" w:left="1803"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Heavy">
    <w:altName w:val="黑体"/>
    <w:panose1 w:val="00000000000000000000"/>
    <w:charset w:val="8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1ACAB0"/>
    <w:multiLevelType w:val="singleLevel"/>
    <w:tmpl w:val="BC1ACAB0"/>
    <w:lvl w:ilvl="0" w:tentative="0">
      <w:start w:val="1"/>
      <w:numFmt w:val="decimal"/>
      <w:suff w:val="nothing"/>
      <w:lvlText w:val="%1、"/>
      <w:lvlJc w:val="left"/>
      <w:pPr>
        <w:ind w:left="240" w:leftChars="0" w:firstLine="0" w:firstLineChars="0"/>
      </w:pPr>
    </w:lvl>
  </w:abstractNum>
  <w:abstractNum w:abstractNumId="1">
    <w:nsid w:val="347752B8"/>
    <w:multiLevelType w:val="singleLevel"/>
    <w:tmpl w:val="347752B8"/>
    <w:lvl w:ilvl="0" w:tentative="0">
      <w:start w:val="1"/>
      <w:numFmt w:val="decimal"/>
      <w:suff w:val="space"/>
      <w:lvlText w:val="(%1)"/>
      <w:lvlJc w:val="left"/>
      <w:rPr>
        <w:rFonts w:cs="Times New Roman"/>
      </w:rPr>
    </w:lvl>
  </w:abstractNum>
  <w:abstractNum w:abstractNumId="2">
    <w:nsid w:val="5469FCAA"/>
    <w:multiLevelType w:val="singleLevel"/>
    <w:tmpl w:val="5469FCAA"/>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NotTrackMoves/>
  <w:trackRevisions w:val="1"/>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1NDhiZGFlYjRmMzNjMTlmNDUwMzIxZTkwODliYWQifQ=="/>
  </w:docVars>
  <w:rsids>
    <w:rsidRoot w:val="70F65CA1"/>
    <w:rsid w:val="000118F7"/>
    <w:rsid w:val="00014692"/>
    <w:rsid w:val="00024FC6"/>
    <w:rsid w:val="000B1799"/>
    <w:rsid w:val="0010269C"/>
    <w:rsid w:val="00132064"/>
    <w:rsid w:val="00156358"/>
    <w:rsid w:val="0016215E"/>
    <w:rsid w:val="00163203"/>
    <w:rsid w:val="00186144"/>
    <w:rsid w:val="001879C2"/>
    <w:rsid w:val="001B6A95"/>
    <w:rsid w:val="001C526D"/>
    <w:rsid w:val="001E4A01"/>
    <w:rsid w:val="00200BE2"/>
    <w:rsid w:val="002B2469"/>
    <w:rsid w:val="002B5EA9"/>
    <w:rsid w:val="002D7964"/>
    <w:rsid w:val="002F2D02"/>
    <w:rsid w:val="00312573"/>
    <w:rsid w:val="003309F5"/>
    <w:rsid w:val="0037659A"/>
    <w:rsid w:val="003873FB"/>
    <w:rsid w:val="003C27E0"/>
    <w:rsid w:val="00404398"/>
    <w:rsid w:val="00497386"/>
    <w:rsid w:val="004A066B"/>
    <w:rsid w:val="004C26FC"/>
    <w:rsid w:val="004D0F87"/>
    <w:rsid w:val="00507163"/>
    <w:rsid w:val="00550405"/>
    <w:rsid w:val="005B4E5E"/>
    <w:rsid w:val="00611596"/>
    <w:rsid w:val="00671A1C"/>
    <w:rsid w:val="00681D24"/>
    <w:rsid w:val="0069473B"/>
    <w:rsid w:val="006A1E08"/>
    <w:rsid w:val="006D0E4D"/>
    <w:rsid w:val="006D585B"/>
    <w:rsid w:val="006E61BA"/>
    <w:rsid w:val="006F0218"/>
    <w:rsid w:val="00701AB4"/>
    <w:rsid w:val="00725F66"/>
    <w:rsid w:val="00732879"/>
    <w:rsid w:val="0076074E"/>
    <w:rsid w:val="007A562A"/>
    <w:rsid w:val="007A66CC"/>
    <w:rsid w:val="007B5F4A"/>
    <w:rsid w:val="007C5E04"/>
    <w:rsid w:val="0081128F"/>
    <w:rsid w:val="008162A3"/>
    <w:rsid w:val="00817FE1"/>
    <w:rsid w:val="00865EC2"/>
    <w:rsid w:val="008855C5"/>
    <w:rsid w:val="008A6C18"/>
    <w:rsid w:val="009127AF"/>
    <w:rsid w:val="00920290"/>
    <w:rsid w:val="009B7817"/>
    <w:rsid w:val="00A02B02"/>
    <w:rsid w:val="00A250FC"/>
    <w:rsid w:val="00A2613F"/>
    <w:rsid w:val="00AA3CB8"/>
    <w:rsid w:val="00AE5307"/>
    <w:rsid w:val="00BA3D9B"/>
    <w:rsid w:val="00C42C2E"/>
    <w:rsid w:val="00C5773E"/>
    <w:rsid w:val="00CB38D6"/>
    <w:rsid w:val="00D25D1E"/>
    <w:rsid w:val="00D46844"/>
    <w:rsid w:val="00D757F0"/>
    <w:rsid w:val="00DB5C33"/>
    <w:rsid w:val="00DC210F"/>
    <w:rsid w:val="00DC546B"/>
    <w:rsid w:val="00DF0938"/>
    <w:rsid w:val="00E13A29"/>
    <w:rsid w:val="00E34290"/>
    <w:rsid w:val="00E357C0"/>
    <w:rsid w:val="00E4519C"/>
    <w:rsid w:val="00E57301"/>
    <w:rsid w:val="00E65B45"/>
    <w:rsid w:val="00E876AC"/>
    <w:rsid w:val="00EA6679"/>
    <w:rsid w:val="00F20E13"/>
    <w:rsid w:val="00F43461"/>
    <w:rsid w:val="00F51AD4"/>
    <w:rsid w:val="00F7736B"/>
    <w:rsid w:val="00F86E8B"/>
    <w:rsid w:val="00FA52C1"/>
    <w:rsid w:val="00FA5EFB"/>
    <w:rsid w:val="00FB1AD4"/>
    <w:rsid w:val="012C4063"/>
    <w:rsid w:val="01EA7DFC"/>
    <w:rsid w:val="02163C5C"/>
    <w:rsid w:val="022033EF"/>
    <w:rsid w:val="02681921"/>
    <w:rsid w:val="027B0A3C"/>
    <w:rsid w:val="02D76FBF"/>
    <w:rsid w:val="03B36A52"/>
    <w:rsid w:val="044806BD"/>
    <w:rsid w:val="0460618E"/>
    <w:rsid w:val="04A723F5"/>
    <w:rsid w:val="04CD134A"/>
    <w:rsid w:val="059266C0"/>
    <w:rsid w:val="05E23566"/>
    <w:rsid w:val="06221639"/>
    <w:rsid w:val="066819ED"/>
    <w:rsid w:val="06B805C0"/>
    <w:rsid w:val="07575F8E"/>
    <w:rsid w:val="076363DC"/>
    <w:rsid w:val="076A2143"/>
    <w:rsid w:val="07AD372A"/>
    <w:rsid w:val="07FE014C"/>
    <w:rsid w:val="08976EDA"/>
    <w:rsid w:val="08C07359"/>
    <w:rsid w:val="093B628D"/>
    <w:rsid w:val="09900779"/>
    <w:rsid w:val="0A5341FC"/>
    <w:rsid w:val="0A93530D"/>
    <w:rsid w:val="0ADC27FC"/>
    <w:rsid w:val="0B207E4A"/>
    <w:rsid w:val="0B9D675D"/>
    <w:rsid w:val="0BF73C60"/>
    <w:rsid w:val="0C1F71FD"/>
    <w:rsid w:val="0C363C43"/>
    <w:rsid w:val="0CF75CA2"/>
    <w:rsid w:val="0FB12AE4"/>
    <w:rsid w:val="0FEF33AB"/>
    <w:rsid w:val="114309A8"/>
    <w:rsid w:val="119C33C2"/>
    <w:rsid w:val="125B1B4F"/>
    <w:rsid w:val="12E91166"/>
    <w:rsid w:val="13826E0C"/>
    <w:rsid w:val="13DD038F"/>
    <w:rsid w:val="146C601E"/>
    <w:rsid w:val="15725420"/>
    <w:rsid w:val="15983253"/>
    <w:rsid w:val="161B19E7"/>
    <w:rsid w:val="16A32821"/>
    <w:rsid w:val="16C56E1E"/>
    <w:rsid w:val="17253B91"/>
    <w:rsid w:val="19362E8E"/>
    <w:rsid w:val="19657603"/>
    <w:rsid w:val="19CD2A6F"/>
    <w:rsid w:val="19E20770"/>
    <w:rsid w:val="1A15626E"/>
    <w:rsid w:val="1A4624FC"/>
    <w:rsid w:val="1C724F66"/>
    <w:rsid w:val="1DD1129F"/>
    <w:rsid w:val="1EBE575E"/>
    <w:rsid w:val="1F0B2E69"/>
    <w:rsid w:val="1F215D19"/>
    <w:rsid w:val="1FC51431"/>
    <w:rsid w:val="20B766BE"/>
    <w:rsid w:val="210030A6"/>
    <w:rsid w:val="213358C1"/>
    <w:rsid w:val="21463365"/>
    <w:rsid w:val="22BE656B"/>
    <w:rsid w:val="22ED673E"/>
    <w:rsid w:val="233026BF"/>
    <w:rsid w:val="234631A1"/>
    <w:rsid w:val="23F60F6B"/>
    <w:rsid w:val="251D05A5"/>
    <w:rsid w:val="25651955"/>
    <w:rsid w:val="25D63E3D"/>
    <w:rsid w:val="26732C98"/>
    <w:rsid w:val="28FC508C"/>
    <w:rsid w:val="29B972DE"/>
    <w:rsid w:val="2B026EF7"/>
    <w:rsid w:val="2B0715DF"/>
    <w:rsid w:val="2B1E718D"/>
    <w:rsid w:val="2BD9060C"/>
    <w:rsid w:val="2C450BB1"/>
    <w:rsid w:val="2C4B6941"/>
    <w:rsid w:val="2C88635A"/>
    <w:rsid w:val="2C9562C3"/>
    <w:rsid w:val="2CB02A1A"/>
    <w:rsid w:val="2CC04747"/>
    <w:rsid w:val="2CC354FA"/>
    <w:rsid w:val="2D2C28C8"/>
    <w:rsid w:val="2D2F79E3"/>
    <w:rsid w:val="2D53526F"/>
    <w:rsid w:val="2DD323C1"/>
    <w:rsid w:val="2DDA06D1"/>
    <w:rsid w:val="2E8275C2"/>
    <w:rsid w:val="2FE54342"/>
    <w:rsid w:val="2FF36454"/>
    <w:rsid w:val="306F1935"/>
    <w:rsid w:val="31385F2C"/>
    <w:rsid w:val="32072512"/>
    <w:rsid w:val="32362A1C"/>
    <w:rsid w:val="32A24C4E"/>
    <w:rsid w:val="32A93CE3"/>
    <w:rsid w:val="32DD2913"/>
    <w:rsid w:val="33B5774C"/>
    <w:rsid w:val="34CC212C"/>
    <w:rsid w:val="34EF2973"/>
    <w:rsid w:val="355E5F2C"/>
    <w:rsid w:val="36473E3A"/>
    <w:rsid w:val="383D6A7C"/>
    <w:rsid w:val="38517A5C"/>
    <w:rsid w:val="38624603"/>
    <w:rsid w:val="38A91F32"/>
    <w:rsid w:val="38AC2A48"/>
    <w:rsid w:val="3A632F10"/>
    <w:rsid w:val="3A6D2870"/>
    <w:rsid w:val="3AF13244"/>
    <w:rsid w:val="3B163A8F"/>
    <w:rsid w:val="3B290710"/>
    <w:rsid w:val="3C1D12F4"/>
    <w:rsid w:val="3D373AA6"/>
    <w:rsid w:val="3ECE1840"/>
    <w:rsid w:val="3F024F80"/>
    <w:rsid w:val="3F1E6351"/>
    <w:rsid w:val="3F20464D"/>
    <w:rsid w:val="3FAC493C"/>
    <w:rsid w:val="3FD13958"/>
    <w:rsid w:val="40427D00"/>
    <w:rsid w:val="40C2549F"/>
    <w:rsid w:val="40C26B3A"/>
    <w:rsid w:val="40C821B9"/>
    <w:rsid w:val="41E524DF"/>
    <w:rsid w:val="41EB473D"/>
    <w:rsid w:val="426D2657"/>
    <w:rsid w:val="42AE6F75"/>
    <w:rsid w:val="43E41A9C"/>
    <w:rsid w:val="440C2225"/>
    <w:rsid w:val="447B0876"/>
    <w:rsid w:val="450E1071"/>
    <w:rsid w:val="472E50A7"/>
    <w:rsid w:val="4747679D"/>
    <w:rsid w:val="47563208"/>
    <w:rsid w:val="47CB4D90"/>
    <w:rsid w:val="4817153A"/>
    <w:rsid w:val="49460C20"/>
    <w:rsid w:val="494A5FE8"/>
    <w:rsid w:val="495B5FB6"/>
    <w:rsid w:val="49C21781"/>
    <w:rsid w:val="4A294C5F"/>
    <w:rsid w:val="4AF265B3"/>
    <w:rsid w:val="4AFD25B2"/>
    <w:rsid w:val="4B1A543B"/>
    <w:rsid w:val="4B79079D"/>
    <w:rsid w:val="4B933641"/>
    <w:rsid w:val="4B9F0058"/>
    <w:rsid w:val="4C8F6E6E"/>
    <w:rsid w:val="4E55280E"/>
    <w:rsid w:val="4E5A49CA"/>
    <w:rsid w:val="4E701567"/>
    <w:rsid w:val="4EEC5595"/>
    <w:rsid w:val="4F3B1489"/>
    <w:rsid w:val="4F5B738C"/>
    <w:rsid w:val="501141E3"/>
    <w:rsid w:val="510C3DE3"/>
    <w:rsid w:val="514477E6"/>
    <w:rsid w:val="519A3F06"/>
    <w:rsid w:val="51D22216"/>
    <w:rsid w:val="52AA1236"/>
    <w:rsid w:val="52EC25FF"/>
    <w:rsid w:val="53CB76D5"/>
    <w:rsid w:val="555E0317"/>
    <w:rsid w:val="560F07A0"/>
    <w:rsid w:val="56CD238F"/>
    <w:rsid w:val="57C222E0"/>
    <w:rsid w:val="586C029A"/>
    <w:rsid w:val="58CA4575"/>
    <w:rsid w:val="59A01808"/>
    <w:rsid w:val="5AA24CF6"/>
    <w:rsid w:val="5B7B240F"/>
    <w:rsid w:val="5C510E29"/>
    <w:rsid w:val="5C976150"/>
    <w:rsid w:val="5D282D09"/>
    <w:rsid w:val="5D8F6D0B"/>
    <w:rsid w:val="5E8C61CA"/>
    <w:rsid w:val="5FF254EC"/>
    <w:rsid w:val="600D042E"/>
    <w:rsid w:val="60757CDA"/>
    <w:rsid w:val="613E472A"/>
    <w:rsid w:val="61593364"/>
    <w:rsid w:val="61796F67"/>
    <w:rsid w:val="61AF060E"/>
    <w:rsid w:val="626E3396"/>
    <w:rsid w:val="62777A1D"/>
    <w:rsid w:val="63596D98"/>
    <w:rsid w:val="636504B5"/>
    <w:rsid w:val="63FE19C1"/>
    <w:rsid w:val="64E83043"/>
    <w:rsid w:val="64EB74F7"/>
    <w:rsid w:val="65382DD6"/>
    <w:rsid w:val="65715C88"/>
    <w:rsid w:val="657C50E8"/>
    <w:rsid w:val="65A07DFA"/>
    <w:rsid w:val="66253FE0"/>
    <w:rsid w:val="66FA31CB"/>
    <w:rsid w:val="67695B21"/>
    <w:rsid w:val="67DD4B2A"/>
    <w:rsid w:val="6814259D"/>
    <w:rsid w:val="682C3A9C"/>
    <w:rsid w:val="684D2D7B"/>
    <w:rsid w:val="68EE3303"/>
    <w:rsid w:val="68EE500D"/>
    <w:rsid w:val="6923232F"/>
    <w:rsid w:val="698A122A"/>
    <w:rsid w:val="69970AA7"/>
    <w:rsid w:val="6A4A2CB5"/>
    <w:rsid w:val="6A7D7026"/>
    <w:rsid w:val="6B8D3C0F"/>
    <w:rsid w:val="6BA84B56"/>
    <w:rsid w:val="6C9922DD"/>
    <w:rsid w:val="6CC305DB"/>
    <w:rsid w:val="6CD63ADF"/>
    <w:rsid w:val="6D7D405C"/>
    <w:rsid w:val="6E3F7179"/>
    <w:rsid w:val="6E8148D5"/>
    <w:rsid w:val="6EF7517E"/>
    <w:rsid w:val="6FFA3066"/>
    <w:rsid w:val="70CF582E"/>
    <w:rsid w:val="70F65CA1"/>
    <w:rsid w:val="713D310F"/>
    <w:rsid w:val="71533A5C"/>
    <w:rsid w:val="71D94B92"/>
    <w:rsid w:val="72050661"/>
    <w:rsid w:val="753A7075"/>
    <w:rsid w:val="75485E91"/>
    <w:rsid w:val="75576BAD"/>
    <w:rsid w:val="760109AE"/>
    <w:rsid w:val="76963848"/>
    <w:rsid w:val="76AE49CC"/>
    <w:rsid w:val="770D2606"/>
    <w:rsid w:val="772E7C7A"/>
    <w:rsid w:val="777615A5"/>
    <w:rsid w:val="77C46028"/>
    <w:rsid w:val="79637AB7"/>
    <w:rsid w:val="79F04553"/>
    <w:rsid w:val="79F27371"/>
    <w:rsid w:val="7A0A38C1"/>
    <w:rsid w:val="7A7DFBB9"/>
    <w:rsid w:val="7B7F1559"/>
    <w:rsid w:val="7BF10789"/>
    <w:rsid w:val="7D5F6225"/>
    <w:rsid w:val="7DE34B83"/>
    <w:rsid w:val="7E193D25"/>
    <w:rsid w:val="7EC160D0"/>
    <w:rsid w:val="7EF028CD"/>
    <w:rsid w:val="7F725985"/>
    <w:rsid w:val="BFEF3B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name="heading 2" w:locked="1"/>
    <w:lsdException w:qFormat="1" w:uiPriority="9"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semiHidden="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1"/>
    <w:pPr>
      <w:ind w:left="141"/>
      <w:outlineLvl w:val="1"/>
    </w:pPr>
    <w:rPr>
      <w:rFonts w:ascii="思源黑体 Heavy" w:hAnsi="思源黑体 Heavy" w:eastAsia="思源黑体 Heavy"/>
      <w:b/>
      <w:bCs/>
      <w:sz w:val="21"/>
      <w:szCs w:val="21"/>
    </w:rPr>
  </w:style>
  <w:style w:type="paragraph" w:styleId="4">
    <w:name w:val="heading 3"/>
    <w:basedOn w:val="1"/>
    <w:next w:val="1"/>
    <w:unhideWhenUsed/>
    <w:qFormat/>
    <w:locked/>
    <w:uiPriority w:val="9"/>
    <w:pPr>
      <w:keepNext/>
      <w:keepLines/>
      <w:spacing w:before="260" w:after="260" w:line="416" w:lineRule="auto"/>
      <w:outlineLvl w:val="2"/>
    </w:pPr>
    <w:rPr>
      <w:b/>
      <w:bCs/>
      <w:sz w:val="32"/>
      <w:szCs w:val="32"/>
    </w:rPr>
  </w:style>
  <w:style w:type="paragraph" w:styleId="5">
    <w:name w:val="heading 4"/>
    <w:basedOn w:val="1"/>
    <w:next w:val="1"/>
    <w:unhideWhenUsed/>
    <w:qFormat/>
    <w:locked/>
    <w:uiPriority w:val="9"/>
    <w:pPr>
      <w:keepNext/>
      <w:keepLines/>
      <w:spacing w:before="200" w:after="200" w:line="360" w:lineRule="auto"/>
      <w:jc w:val="left"/>
      <w:outlineLvl w:val="3"/>
    </w:pPr>
    <w:rPr>
      <w:rFonts w:asciiTheme="majorHAnsi" w:hAnsiTheme="majorHAnsi" w:eastAsiaTheme="majorEastAsia" w:cstheme="majorBidi"/>
      <w:b/>
      <w:bCs/>
      <w:color w:val="000000"/>
      <w:sz w:val="28"/>
      <w:szCs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unhideWhenUsed/>
    <w:qFormat/>
    <w:uiPriority w:val="99"/>
    <w:pPr>
      <w:jc w:val="left"/>
    </w:pPr>
  </w:style>
  <w:style w:type="paragraph" w:styleId="7">
    <w:name w:val="Balloon Text"/>
    <w:basedOn w:val="1"/>
    <w:link w:val="19"/>
    <w:unhideWhenUsed/>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页眉 字符"/>
    <w:link w:val="9"/>
    <w:semiHidden/>
    <w:qFormat/>
    <w:uiPriority w:val="99"/>
    <w:rPr>
      <w:sz w:val="18"/>
      <w:szCs w:val="18"/>
    </w:rPr>
  </w:style>
  <w:style w:type="character" w:customStyle="1" w:styleId="18">
    <w:name w:val="页脚 字符"/>
    <w:link w:val="8"/>
    <w:semiHidden/>
    <w:qFormat/>
    <w:uiPriority w:val="99"/>
    <w:rPr>
      <w:sz w:val="18"/>
      <w:szCs w:val="18"/>
    </w:rPr>
  </w:style>
  <w:style w:type="character" w:customStyle="1" w:styleId="19">
    <w:name w:val="批注框文本 字符"/>
    <w:link w:val="7"/>
    <w:semiHidden/>
    <w:qFormat/>
    <w:uiPriority w:val="99"/>
    <w:rPr>
      <w:kern w:val="2"/>
      <w:sz w:val="18"/>
      <w:szCs w:val="18"/>
    </w:rPr>
  </w:style>
  <w:style w:type="paragraph" w:customStyle="1" w:styleId="20">
    <w:name w:val="List Paragraph"/>
    <w:basedOn w:val="1"/>
    <w:qFormat/>
    <w:uiPriority w:val="99"/>
    <w:pPr>
      <w:ind w:firstLine="420" w:firstLineChars="200"/>
    </w:pPr>
  </w:style>
  <w:style w:type="paragraph" w:customStyle="1" w:styleId="21">
    <w:name w:val="List Paragraph1"/>
    <w:basedOn w:val="1"/>
    <w:qFormat/>
    <w:uiPriority w:val="99"/>
    <w:pPr>
      <w:ind w:firstLine="420" w:firstLineChars="200"/>
    </w:pPr>
  </w:style>
  <w:style w:type="character" w:customStyle="1" w:styleId="22">
    <w:name w:val="NormalCharacter"/>
    <w:semiHidden/>
    <w:qFormat/>
    <w:uiPriority w:val="0"/>
  </w:style>
  <w:style w:type="paragraph" w:customStyle="1" w:styleId="2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table" w:customStyle="1" w:styleId="2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15590</Words>
  <Characters>16059</Characters>
  <Lines>22</Lines>
  <Paragraphs>6</Paragraphs>
  <TotalTime>12</TotalTime>
  <ScaleCrop>false</ScaleCrop>
  <LinksUpToDate>false</LinksUpToDate>
  <CharactersWithSpaces>17966</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2019-09-06T06:55:00Z</dcterms:created>
  <dc:creator>高晶</dc:creator>
  <cp:lastModifiedBy>张灵静</cp:lastModifiedBy>
  <cp:lastPrinted>2021-04-14T06:10:00Z</cp:lastPrinted>
  <dcterms:modified xsi:type="dcterms:W3CDTF">2022-05-26T08:32:51Z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721E53E7FF254C1382AEC68617068BED</vt:lpwstr>
  </property>
</Properties>
</file>