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仿宋_GBK" w:hAnsi="方正仿宋_GBK" w:eastAsia="方正仿宋_GBK" w:cs="方正仿宋_GBK"/>
          <w:b/>
          <w:bCs/>
          <w:color w:val="auto"/>
          <w:sz w:val="36"/>
          <w:szCs w:val="36"/>
          <w:highlight w:val="none"/>
        </w:rPr>
      </w:pPr>
      <w:r>
        <w:rPr>
          <w:rFonts w:hint="eastAsia" w:ascii="方正仿宋_GBK" w:hAnsi="方正仿宋_GBK" w:eastAsia="方正仿宋_GBK" w:cs="方正仿宋_GBK"/>
          <w:color w:val="auto"/>
          <w:sz w:val="32"/>
          <w:szCs w:val="32"/>
          <w:highlight w:val="none"/>
        </w:rPr>
        <w:t xml:space="preserve">  </w:t>
      </w:r>
    </w:p>
    <w:p>
      <w:pPr>
        <w:jc w:val="center"/>
        <w:rPr>
          <w:rFonts w:hint="eastAsia" w:ascii="方正小标宋_GBK" w:hAnsi="方正小标宋_GBK" w:eastAsia="方正小标宋_GBK" w:cs="方正小标宋_GBK"/>
          <w:b/>
          <w:bCs/>
          <w:sz w:val="32"/>
          <w:szCs w:val="32"/>
        </w:rPr>
      </w:pPr>
      <w:r>
        <w:rPr>
          <w:rFonts w:hint="eastAsia" w:ascii="方正小标宋_GBK" w:hAnsi="方正小标宋_GBK" w:eastAsia="方正小标宋_GBK" w:cs="方正小标宋_GBK"/>
          <w:b/>
          <w:bCs/>
          <w:sz w:val="32"/>
          <w:szCs w:val="32"/>
        </w:rPr>
        <w:t>重庆通邑物业管理有限公司</w:t>
      </w:r>
    </w:p>
    <w:p>
      <w:pPr>
        <w:ind w:right="0" w:rightChars="0"/>
        <w:jc w:val="center"/>
        <w:rPr>
          <w:rFonts w:hint="eastAsia" w:ascii="方正小标宋_GBK" w:hAnsi="方正小标宋_GBK" w:eastAsia="方正小标宋_GBK" w:cs="方正小标宋_GBK"/>
          <w:b/>
          <w:bCs/>
          <w:sz w:val="32"/>
          <w:szCs w:val="32"/>
        </w:rPr>
      </w:pPr>
      <w:r>
        <w:rPr>
          <w:rFonts w:hint="eastAsia" w:ascii="方正小标宋_GBK" w:hAnsi="方正小标宋_GBK" w:eastAsia="方正小标宋_GBK" w:cs="方正小标宋_GBK"/>
          <w:b/>
          <w:bCs/>
          <w:sz w:val="32"/>
          <w:szCs w:val="32"/>
        </w:rPr>
        <w:t xml:space="preserve"> </w:t>
      </w:r>
      <w:r>
        <w:rPr>
          <w:rFonts w:hint="eastAsia" w:ascii="方正小标宋_GBK" w:hAnsi="方正小标宋_GBK" w:eastAsia="方正小标宋_GBK" w:cs="方正小标宋_GBK"/>
          <w:b/>
          <w:bCs/>
          <w:sz w:val="32"/>
          <w:szCs w:val="32"/>
          <w:u w:val="none"/>
        </w:rPr>
        <w:t>轨道2号线轨行区</w:t>
      </w:r>
      <w:r>
        <w:rPr>
          <w:rFonts w:hint="eastAsia" w:ascii="方正小标宋_GBK" w:hAnsi="方正小标宋_GBK" w:eastAsia="方正小标宋_GBK" w:cs="方正小标宋_GBK"/>
          <w:b/>
          <w:bCs/>
          <w:sz w:val="32"/>
          <w:szCs w:val="32"/>
          <w:u w:val="none"/>
          <w:lang w:eastAsia="zh-CN"/>
        </w:rPr>
        <w:t>、</w:t>
      </w:r>
      <w:r>
        <w:rPr>
          <w:rFonts w:hint="eastAsia" w:ascii="方正小标宋_GBK" w:hAnsi="方正小标宋_GBK" w:eastAsia="方正小标宋_GBK" w:cs="方正小标宋_GBK"/>
          <w:b/>
          <w:bCs/>
          <w:sz w:val="32"/>
          <w:szCs w:val="32"/>
          <w:u w:val="none"/>
        </w:rPr>
        <w:t>沟渠池井清掏冲洗及抽排</w:t>
      </w:r>
      <w:r>
        <w:rPr>
          <w:rFonts w:hint="eastAsia" w:ascii="方正小标宋_GBK" w:hAnsi="方正小标宋_GBK" w:eastAsia="方正小标宋_GBK" w:cs="方正小标宋_GBK"/>
          <w:b/>
          <w:bCs/>
          <w:sz w:val="32"/>
          <w:szCs w:val="32"/>
          <w:u w:val="none"/>
          <w:lang w:eastAsia="zh-CN"/>
        </w:rPr>
        <w:t>服务</w:t>
      </w:r>
      <w:r>
        <w:rPr>
          <w:rFonts w:hint="eastAsia" w:ascii="方正小标宋_GBK" w:hAnsi="方正小标宋_GBK" w:eastAsia="方正小标宋_GBK" w:cs="方正小标宋_GBK"/>
          <w:b/>
          <w:bCs/>
          <w:sz w:val="32"/>
          <w:szCs w:val="32"/>
        </w:rPr>
        <w:t>项目</w:t>
      </w:r>
    </w:p>
    <w:p>
      <w:pPr>
        <w:ind w:right="0" w:rightChars="0"/>
        <w:jc w:val="center"/>
        <w:rPr>
          <w:rFonts w:hint="eastAsia" w:ascii="方正小标宋_GBK" w:hAnsi="方正小标宋_GBK" w:eastAsia="方正小标宋_GBK" w:cs="方正小标宋_GBK"/>
          <w:b/>
          <w:bCs/>
          <w:sz w:val="32"/>
          <w:szCs w:val="32"/>
        </w:rPr>
      </w:pPr>
      <w:r>
        <w:rPr>
          <w:rFonts w:hint="eastAsia" w:ascii="方正小标宋_GBK" w:hAnsi="方正小标宋_GBK" w:eastAsia="方正小标宋_GBK" w:cs="方正小标宋_GBK"/>
          <w:b/>
          <w:bCs/>
          <w:sz w:val="32"/>
          <w:szCs w:val="32"/>
        </w:rPr>
        <w:t>比选邀请函</w:t>
      </w:r>
    </w:p>
    <w:p>
      <w:pPr>
        <w:rPr>
          <w:rFonts w:hint="eastAsia" w:ascii="方正仿宋_GBK" w:hAnsi="方正仿宋_GBK" w:eastAsia="方正仿宋_GBK" w:cs="方正仿宋_GBK"/>
          <w:color w:val="auto"/>
          <w:sz w:val="28"/>
          <w:szCs w:val="28"/>
          <w:highlight w:val="none"/>
          <w:u w:val="single"/>
        </w:rPr>
      </w:pPr>
    </w:p>
    <w:p>
      <w:pPr>
        <w:jc w:val="lef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z w:val="28"/>
          <w:szCs w:val="28"/>
        </w:rPr>
        <w:t xml:space="preserve">我司拟开展 </w:t>
      </w:r>
      <w:r>
        <w:rPr>
          <w:rFonts w:hint="eastAsia" w:ascii="方正仿宋_GBK" w:hAnsi="方正仿宋_GBK" w:eastAsia="方正仿宋_GBK" w:cs="方正仿宋_GBK"/>
          <w:color w:val="auto"/>
          <w:sz w:val="28"/>
          <w:szCs w:val="28"/>
          <w:highlight w:val="none"/>
          <w:u w:val="single"/>
        </w:rPr>
        <w:t>轨道2号线</w:t>
      </w:r>
      <w:r>
        <w:rPr>
          <w:rFonts w:hint="eastAsia" w:ascii="方正仿宋_GBK" w:hAnsi="方正仿宋_GBK" w:eastAsia="方正仿宋_GBK" w:cs="方正仿宋_GBK"/>
          <w:color w:val="auto"/>
          <w:sz w:val="28"/>
          <w:szCs w:val="28"/>
          <w:highlight w:val="none"/>
          <w:u w:val="single"/>
          <w:lang w:eastAsia="zh-CN"/>
        </w:rPr>
        <w:t>轨行区、沟渠池井</w:t>
      </w:r>
      <w:r>
        <w:rPr>
          <w:rFonts w:hint="eastAsia" w:ascii="方正仿宋_GBK" w:hAnsi="方正仿宋_GBK" w:eastAsia="方正仿宋_GBK" w:cs="方正仿宋_GBK"/>
          <w:color w:val="auto"/>
          <w:sz w:val="28"/>
          <w:szCs w:val="28"/>
          <w:highlight w:val="none"/>
          <w:u w:val="single"/>
        </w:rPr>
        <w:t>清掏冲洗及抽排</w:t>
      </w:r>
      <w:r>
        <w:rPr>
          <w:rFonts w:hint="eastAsia" w:ascii="方正仿宋_GBK" w:hAnsi="方正仿宋_GBK" w:eastAsia="方正仿宋_GBK" w:cs="方正仿宋_GBK"/>
          <w:color w:val="auto"/>
          <w:sz w:val="28"/>
          <w:szCs w:val="28"/>
          <w:u w:val="single"/>
          <w:lang w:eastAsia="zh-CN"/>
        </w:rPr>
        <w:t>服务比选</w:t>
      </w:r>
      <w:r>
        <w:rPr>
          <w:rFonts w:hint="eastAsia" w:ascii="方正仿宋_GBK" w:hAnsi="方正仿宋_GBK" w:eastAsia="方正仿宋_GBK" w:cs="方正仿宋_GBK"/>
          <w:color w:val="auto"/>
          <w:sz w:val="28"/>
          <w:szCs w:val="28"/>
        </w:rPr>
        <w:t xml:space="preserve"> 工作，本次</w:t>
      </w:r>
      <w:r>
        <w:rPr>
          <w:rFonts w:hint="eastAsia" w:ascii="方正仿宋_GBK" w:hAnsi="方正仿宋_GBK" w:eastAsia="方正仿宋_GBK" w:cs="方正仿宋_GBK"/>
          <w:color w:val="auto"/>
          <w:sz w:val="28"/>
          <w:szCs w:val="28"/>
          <w:lang w:val="en-US" w:eastAsia="zh-CN"/>
        </w:rPr>
        <w:t>外包服务供应商</w:t>
      </w:r>
      <w:r>
        <w:rPr>
          <w:rFonts w:hint="eastAsia" w:ascii="方正仿宋_GBK" w:hAnsi="方正仿宋_GBK" w:eastAsia="方正仿宋_GBK" w:cs="方正仿宋_GBK"/>
          <w:color w:val="auto"/>
          <w:sz w:val="28"/>
          <w:szCs w:val="28"/>
        </w:rPr>
        <w:t>的确定将采用</w:t>
      </w:r>
      <w:r>
        <w:rPr>
          <w:rFonts w:hint="eastAsia" w:ascii="方正仿宋_GBK" w:hAnsi="方正仿宋_GBK" w:eastAsia="方正仿宋_GBK" w:cs="方正仿宋_GBK"/>
          <w:color w:val="auto"/>
          <w:sz w:val="28"/>
          <w:szCs w:val="28"/>
          <w:lang w:val="en-US" w:eastAsia="zh-CN"/>
        </w:rPr>
        <w:t>竞争性</w:t>
      </w:r>
      <w:r>
        <w:rPr>
          <w:rFonts w:hint="eastAsia" w:ascii="方正仿宋_GBK" w:hAnsi="方正仿宋_GBK" w:eastAsia="方正仿宋_GBK" w:cs="方正仿宋_GBK"/>
          <w:color w:val="auto"/>
          <w:sz w:val="28"/>
          <w:szCs w:val="28"/>
        </w:rPr>
        <w:t>比选</w:t>
      </w:r>
      <w:r>
        <w:rPr>
          <w:rFonts w:hint="eastAsia" w:ascii="方正仿宋_GBK" w:hAnsi="方正仿宋_GBK" w:eastAsia="方正仿宋_GBK" w:cs="方正仿宋_GBK"/>
          <w:color w:val="auto"/>
          <w:sz w:val="28"/>
          <w:szCs w:val="28"/>
          <w:lang w:val="en-US" w:eastAsia="zh-CN"/>
        </w:rPr>
        <w:t>的</w:t>
      </w:r>
      <w:r>
        <w:rPr>
          <w:rFonts w:hint="eastAsia" w:ascii="方正仿宋_GBK" w:hAnsi="方正仿宋_GBK" w:eastAsia="方正仿宋_GBK" w:cs="方正仿宋_GBK"/>
          <w:color w:val="auto"/>
          <w:sz w:val="28"/>
          <w:szCs w:val="28"/>
        </w:rPr>
        <w:t>方式进行。具体项目情况如下：</w:t>
      </w:r>
    </w:p>
    <w:tbl>
      <w:tblPr>
        <w:tblStyle w:val="11"/>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9"/>
        <w:gridCol w:w="6"/>
        <w:gridCol w:w="1275"/>
        <w:gridCol w:w="5921"/>
        <w:gridCol w:w="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464" w:type="dxa"/>
            <w:gridSpan w:val="5"/>
            <w:vAlign w:val="center"/>
          </w:tcPr>
          <w:p>
            <w:pPr>
              <w:rPr>
                <w:rFonts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bCs/>
                <w:color w:val="auto"/>
                <w:sz w:val="24"/>
                <w:highlight w:val="none"/>
              </w:rPr>
              <w:t xml:space="preserve">一、项目概况 </w:t>
            </w:r>
          </w:p>
          <w:p>
            <w:pPr>
              <w:rPr>
                <w:rFonts w:ascii="方正仿宋_GBK" w:hAnsi="方正仿宋_GBK" w:eastAsia="方正仿宋_GBK" w:cs="方正仿宋_GBK"/>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exact"/>
        </w:trPr>
        <w:tc>
          <w:tcPr>
            <w:tcW w:w="2229" w:type="dxa"/>
            <w:vAlign w:val="center"/>
          </w:tcPr>
          <w:p>
            <w:pPr>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项目名称</w:t>
            </w:r>
          </w:p>
        </w:tc>
        <w:tc>
          <w:tcPr>
            <w:tcW w:w="7235" w:type="dxa"/>
            <w:gridSpan w:val="4"/>
            <w:vAlign w:val="center"/>
          </w:tcPr>
          <w:p>
            <w:pP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轨道</w:t>
            </w:r>
            <w:r>
              <w:rPr>
                <w:rFonts w:hint="eastAsia" w:ascii="方正仿宋_GBK" w:hAnsi="方正仿宋_GBK" w:eastAsia="方正仿宋_GBK" w:cs="方正仿宋_GBK"/>
                <w:color w:val="auto"/>
                <w:sz w:val="24"/>
                <w:highlight w:val="none"/>
                <w:lang w:val="en-US" w:eastAsia="zh-CN"/>
              </w:rPr>
              <w:t>2</w:t>
            </w:r>
            <w:r>
              <w:rPr>
                <w:rFonts w:hint="eastAsia" w:ascii="方正仿宋_GBK" w:hAnsi="方正仿宋_GBK" w:eastAsia="方正仿宋_GBK" w:cs="方正仿宋_GBK"/>
                <w:color w:val="auto"/>
                <w:sz w:val="24"/>
                <w:highlight w:val="none"/>
              </w:rPr>
              <w:t>号线</w:t>
            </w:r>
            <w:r>
              <w:rPr>
                <w:rFonts w:hint="eastAsia" w:ascii="方正仿宋_GBK" w:hAnsi="方正仿宋_GBK" w:eastAsia="方正仿宋_GBK" w:cs="方正仿宋_GBK"/>
                <w:color w:val="auto"/>
                <w:sz w:val="24"/>
                <w:highlight w:val="none"/>
                <w:lang w:eastAsia="zh-CN"/>
              </w:rPr>
              <w:t>轨行区、沟渠池井</w:t>
            </w:r>
            <w:r>
              <w:rPr>
                <w:rFonts w:hint="eastAsia" w:ascii="方正仿宋_GBK" w:hAnsi="方正仿宋_GBK" w:eastAsia="方正仿宋_GBK" w:cs="方正仿宋_GBK"/>
                <w:color w:val="auto"/>
                <w:sz w:val="24"/>
                <w:highlight w:val="none"/>
              </w:rPr>
              <w:t>清掏冲洗及抽排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7" w:hRule="exact"/>
        </w:trPr>
        <w:tc>
          <w:tcPr>
            <w:tcW w:w="2229" w:type="dxa"/>
            <w:vAlign w:val="center"/>
          </w:tcPr>
          <w:p>
            <w:pPr>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项目投资</w:t>
            </w:r>
          </w:p>
        </w:tc>
        <w:tc>
          <w:tcPr>
            <w:tcW w:w="7235" w:type="dxa"/>
            <w:gridSpan w:val="4"/>
            <w:vAlign w:val="center"/>
          </w:tcPr>
          <w:p>
            <w:pPr>
              <w:rPr>
                <w:rFonts w:ascii="方正仿宋_GBK" w:hAnsi="方正仿宋_GBK" w:eastAsia="方正仿宋_GBK" w:cs="方正仿宋_GBK"/>
                <w:color w:val="auto"/>
                <w:sz w:val="24"/>
                <w:highlight w:val="none"/>
              </w:rPr>
            </w:pPr>
            <w:r>
              <w:rPr>
                <w:rFonts w:hint="eastAsia" w:ascii="Times New Roman" w:hAnsi="Times New Roman" w:eastAsia="方正仿宋_GBK" w:cstheme="minorBidi"/>
                <w:color w:val="auto"/>
                <w:kern w:val="0"/>
                <w:sz w:val="24"/>
                <w:szCs w:val="24"/>
                <w:highlight w:val="none"/>
                <w:lang w:val="en-US" w:eastAsia="zh-CN"/>
              </w:rPr>
              <w:t>本次招标项目合同不含税最高限价</w:t>
            </w:r>
            <w:r>
              <w:rPr>
                <w:rFonts w:hint="eastAsia" w:ascii="Times New Roman" w:hAnsi="Times New Roman" w:eastAsia="方正仿宋_GBK"/>
                <w:color w:val="auto"/>
                <w:kern w:val="0"/>
                <w:sz w:val="24"/>
                <w:highlight w:val="none"/>
              </w:rPr>
              <w:t>：</w:t>
            </w:r>
            <w:r>
              <w:rPr>
                <w:rFonts w:hint="eastAsia" w:ascii="方正仿宋_GBK" w:hAnsi="方正仿宋_GBK" w:eastAsia="方正仿宋_GBK" w:cs="方正仿宋_GBK"/>
                <w:color w:val="auto"/>
                <w:sz w:val="24"/>
                <w:highlight w:val="none"/>
                <w:u w:val="single"/>
              </w:rPr>
              <w:t>431000</w:t>
            </w:r>
            <w:r>
              <w:rPr>
                <w:rFonts w:hint="eastAsia" w:ascii="方正仿宋_GBK" w:hAnsi="方正仿宋_GBK" w:eastAsia="方正仿宋_GBK" w:cs="方正仿宋_GBK"/>
                <w:color w:val="auto"/>
                <w:sz w:val="24"/>
                <w:highlight w:val="none"/>
                <w:u w:val="single"/>
                <w:lang w:val="en-US" w:eastAsia="zh-CN"/>
              </w:rPr>
              <w:t>.00</w:t>
            </w:r>
            <w:r>
              <w:rPr>
                <w:rFonts w:hint="eastAsia" w:ascii="方正仿宋_GBK" w:hAnsi="方正仿宋_GBK" w:eastAsia="方正仿宋_GBK" w:cs="方正仿宋_GBK"/>
                <w:color w:val="auto"/>
                <w:sz w:val="24"/>
                <w:highlight w:val="none"/>
                <w:u w:val="single"/>
              </w:rPr>
              <w:t xml:space="preserve"> </w:t>
            </w:r>
            <w:r>
              <w:rPr>
                <w:rFonts w:hint="default" w:ascii="Times New Roman" w:hAnsi="Times New Roman" w:eastAsia="方正仿宋_GBK"/>
                <w:color w:val="auto"/>
                <w:kern w:val="0"/>
                <w:sz w:val="24"/>
                <w:highlight w:val="none"/>
              </w:rPr>
              <w:t>（</w:t>
            </w:r>
            <w:r>
              <w:rPr>
                <w:rFonts w:hint="eastAsia" w:ascii="Times New Roman" w:hAnsi="Times New Roman" w:eastAsia="方正仿宋_GBK"/>
                <w:color w:val="auto"/>
                <w:kern w:val="0"/>
                <w:sz w:val="24"/>
                <w:highlight w:val="none"/>
                <w:lang w:eastAsia="zh-CN"/>
              </w:rPr>
              <w:t>需出具增值税专用发票</w:t>
            </w:r>
            <w:r>
              <w:rPr>
                <w:rFonts w:hint="default" w:ascii="Times New Roman" w:hAnsi="Times New Roman" w:eastAsia="方正仿宋_GBK"/>
                <w:color w:val="auto"/>
                <w:kern w:val="0"/>
                <w:sz w:val="24"/>
                <w:highlight w:val="none"/>
              </w:rPr>
              <w:t>）</w:t>
            </w:r>
            <w:r>
              <w:rPr>
                <w:rFonts w:hint="eastAsia" w:ascii="Times New Roman" w:hAnsi="Times New Roman" w:eastAsia="方正仿宋_GBK"/>
                <w:color w:val="auto"/>
                <w:kern w:val="0"/>
                <w:sz w:val="24"/>
                <w:highlight w:val="none"/>
              </w:rPr>
              <w:t>，</w:t>
            </w:r>
            <w:r>
              <w:rPr>
                <w:rFonts w:hint="eastAsia" w:ascii="Times New Roman" w:hAnsi="Times New Roman" w:eastAsia="方正仿宋_GBK"/>
                <w:color w:val="auto"/>
                <w:kern w:val="0"/>
                <w:sz w:val="24"/>
                <w:highlight w:val="none"/>
                <w:lang w:eastAsia="zh-CN"/>
              </w:rPr>
              <w:t>单项</w:t>
            </w:r>
            <w:r>
              <w:rPr>
                <w:rFonts w:hint="eastAsia" w:ascii="Times New Roman" w:hAnsi="Times New Roman" w:eastAsia="方正仿宋_GBK"/>
                <w:color w:val="auto"/>
                <w:kern w:val="0"/>
                <w:sz w:val="24"/>
                <w:highlight w:val="none"/>
                <w:lang w:val="en-US" w:eastAsia="zh-CN"/>
              </w:rPr>
              <w:t>服务</w:t>
            </w:r>
            <w:r>
              <w:rPr>
                <w:rFonts w:hint="eastAsia" w:ascii="Times New Roman" w:hAnsi="Times New Roman" w:eastAsia="方正仿宋_GBK"/>
                <w:color w:val="auto"/>
                <w:kern w:val="0"/>
                <w:sz w:val="24"/>
                <w:highlight w:val="none"/>
                <w:lang w:eastAsia="zh-CN"/>
              </w:rPr>
              <w:t>最高</w:t>
            </w:r>
            <w:r>
              <w:rPr>
                <w:rFonts w:hint="eastAsia" w:ascii="Times New Roman" w:hAnsi="Times New Roman" w:eastAsia="方正仿宋_GBK"/>
                <w:color w:val="auto"/>
                <w:kern w:val="0"/>
                <w:sz w:val="24"/>
                <w:highlight w:val="none"/>
                <w:lang w:val="en-US" w:eastAsia="zh-CN"/>
              </w:rPr>
              <w:t>限价</w:t>
            </w:r>
            <w:r>
              <w:rPr>
                <w:rFonts w:hint="eastAsia" w:ascii="Times New Roman" w:hAnsi="Times New Roman" w:eastAsia="方正仿宋_GBK"/>
                <w:color w:val="auto"/>
                <w:kern w:val="0"/>
                <w:sz w:val="24"/>
                <w:highlight w:val="none"/>
                <w:lang w:eastAsia="zh-CN"/>
              </w:rPr>
              <w:t>见附件</w:t>
            </w:r>
            <w:r>
              <w:rPr>
                <w:rFonts w:hint="eastAsia" w:ascii="Times New Roman" w:hAnsi="Times New Roman" w:eastAsia="方正仿宋_GBK"/>
                <w:color w:val="auto"/>
                <w:kern w:val="0"/>
                <w:sz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1" w:hRule="exact"/>
        </w:trPr>
        <w:tc>
          <w:tcPr>
            <w:tcW w:w="2229" w:type="dxa"/>
            <w:vAlign w:val="center"/>
          </w:tcPr>
          <w:p>
            <w:pPr>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项目具体概况</w:t>
            </w:r>
          </w:p>
        </w:tc>
        <w:tc>
          <w:tcPr>
            <w:tcW w:w="7235" w:type="dxa"/>
            <w:gridSpan w:val="4"/>
            <w:vAlign w:val="center"/>
          </w:tcPr>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 xml:space="preserve">      </w:t>
            </w:r>
            <w:r>
              <w:rPr>
                <w:rFonts w:hint="eastAsia" w:ascii="方正仿宋_GBK" w:hAnsi="方正仿宋_GBK" w:eastAsia="方正仿宋_GBK" w:cs="方正仿宋_GBK"/>
                <w:color w:val="auto"/>
                <w:sz w:val="24"/>
                <w:highlight w:val="none"/>
                <w:lang w:eastAsia="zh-CN"/>
              </w:rPr>
              <w:t>轨道</w:t>
            </w:r>
            <w:r>
              <w:rPr>
                <w:rFonts w:hint="eastAsia" w:ascii="方正仿宋_GBK" w:hAnsi="方正仿宋_GBK" w:eastAsia="方正仿宋_GBK" w:cs="方正仿宋_GBK"/>
                <w:color w:val="auto"/>
                <w:sz w:val="24"/>
                <w:highlight w:val="none"/>
              </w:rPr>
              <w:t>2 号线沿线区间隧道（上下行，含辅助线、出入段线）内水沟、隧道底面及底面以上1米范围隧道壁、高架区段（道岔桥）的冲洗；沿线隧道及高架道岔桥排水沟、排水暗沟、排水管、落水管等排水设施的清掏、疏通、清掏物的清扫、人工转运（转运距离平均约1公里）；区间隧道排水设施清掏物通过装袋后，需10t的渣车二次转运至符合规定的渣场处理；排水暗沟及暗管疏通；区间轨行区路基段清洁卫生及杂草清除；区间雨棚及防抛网清洁卫生；区间边坡挡墙清洁卫生及杂草清除；区间垃圾二次转运及处置。</w:t>
            </w:r>
          </w:p>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 xml:space="preserve">     </w:t>
            </w:r>
            <w:r>
              <w:rPr>
                <w:rFonts w:hint="eastAsia" w:ascii="方正仿宋_GBK" w:hAnsi="方正仿宋_GBK" w:eastAsia="方正仿宋_GBK" w:cs="方正仿宋_GBK"/>
                <w:color w:val="auto"/>
                <w:sz w:val="24"/>
                <w:highlight w:val="none"/>
                <w:lang w:eastAsia="zh-CN"/>
              </w:rPr>
              <w:t>轨道</w:t>
            </w:r>
            <w:r>
              <w:rPr>
                <w:rFonts w:hint="eastAsia" w:ascii="方正仿宋_GBK" w:hAnsi="方正仿宋_GBK" w:eastAsia="方正仿宋_GBK" w:cs="方正仿宋_GBK"/>
                <w:color w:val="auto"/>
                <w:sz w:val="24"/>
                <w:highlight w:val="none"/>
              </w:rPr>
              <w:t>2 号线 24 座车站较场口站至大江站所属车站、变电所包括但不限于：污水池、生化池清掏；未接入市政管网的生化池临时抽排；集水坑清掏；车站泵房清掏。包含但不限于揭板、清掏、疏通、检查、维护及清掏物外运至符合规定的渣场处理、弃倒及盖板复原等；乙方每月应对沿线车站、变电所生化池、污水池气体浓度检测一次，当月末前将数据报运营对口部门；所有的人员、机具、车辆运输、二次转运、污水处理等均由乙方自行组织予以实施，施工中必须做好防毒安全措施，人员下池必须检测沼气浓度，乙方在施工中应加强通风、防毒，防止人员中毒，按时、按量、按要求完成清掏、疏通、检查等工作。</w:t>
            </w:r>
          </w:p>
          <w:p>
            <w:pPr>
              <w:spacing w:line="440" w:lineRule="exact"/>
              <w:ind w:firstLine="720" w:firstLineChars="300"/>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体量及暂定频率请详见附件。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229" w:type="dxa"/>
            <w:vAlign w:val="center"/>
          </w:tcPr>
          <w:p>
            <w:pPr>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lang w:eastAsia="zh-CN"/>
              </w:rPr>
              <w:t>服务期</w:t>
            </w:r>
          </w:p>
        </w:tc>
        <w:tc>
          <w:tcPr>
            <w:tcW w:w="7235" w:type="dxa"/>
            <w:gridSpan w:val="4"/>
            <w:vAlign w:val="center"/>
          </w:tcPr>
          <w:p>
            <w:pP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229" w:type="dxa"/>
            <w:vAlign w:val="center"/>
          </w:tcPr>
          <w:p>
            <w:pPr>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预计</w:t>
            </w:r>
            <w:r>
              <w:rPr>
                <w:rFonts w:hint="eastAsia" w:ascii="方正仿宋_GBK" w:hAnsi="方正仿宋_GBK" w:eastAsia="方正仿宋_GBK" w:cs="方正仿宋_GBK"/>
                <w:b/>
                <w:bCs/>
                <w:color w:val="auto"/>
                <w:sz w:val="24"/>
                <w:highlight w:val="none"/>
                <w:lang w:eastAsia="zh-CN"/>
              </w:rPr>
              <w:t>服务开始</w:t>
            </w:r>
            <w:r>
              <w:rPr>
                <w:rFonts w:hint="eastAsia" w:ascii="方正仿宋_GBK" w:hAnsi="方正仿宋_GBK" w:eastAsia="方正仿宋_GBK" w:cs="方正仿宋_GBK"/>
                <w:b/>
                <w:bCs/>
                <w:color w:val="auto"/>
                <w:sz w:val="24"/>
                <w:highlight w:val="none"/>
              </w:rPr>
              <w:t>时间</w:t>
            </w:r>
          </w:p>
        </w:tc>
        <w:tc>
          <w:tcPr>
            <w:tcW w:w="7235" w:type="dxa"/>
            <w:gridSpan w:val="4"/>
            <w:vAlign w:val="center"/>
          </w:tcPr>
          <w:p>
            <w:pP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以甲方通知为准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464" w:type="dxa"/>
            <w:gridSpan w:val="5"/>
            <w:vAlign w:val="center"/>
          </w:tcPr>
          <w:p>
            <w:pP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二、比选被邀请人须知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235" w:type="dxa"/>
            <w:gridSpan w:val="2"/>
            <w:vAlign w:val="center"/>
          </w:tcPr>
          <w:p>
            <w:pP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比选作业要求</w:t>
            </w:r>
          </w:p>
        </w:tc>
        <w:tc>
          <w:tcPr>
            <w:tcW w:w="7229" w:type="dxa"/>
            <w:gridSpan w:val="3"/>
            <w:vAlign w:val="center"/>
          </w:tcPr>
          <w:p>
            <w:pPr>
              <w:spacing w:line="440" w:lineRule="exact"/>
              <w:ind w:firstLine="0" w:firstLineChars="0"/>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1、单次单站至少保证1人在作业现场作为安全卡控，不参与</w:t>
            </w:r>
            <w:r>
              <w:rPr>
                <w:rFonts w:hint="eastAsia" w:ascii="方正仿宋_GBK" w:hAnsi="方正仿宋_GBK" w:eastAsia="方正仿宋_GBK" w:cs="方正仿宋_GBK"/>
                <w:color w:val="auto"/>
                <w:sz w:val="24"/>
                <w:highlight w:val="none"/>
                <w:lang w:eastAsia="zh-CN"/>
              </w:rPr>
              <w:t>清掏冲洗抽排</w:t>
            </w:r>
            <w:r>
              <w:rPr>
                <w:rFonts w:hint="eastAsia" w:ascii="方正仿宋_GBK" w:hAnsi="方正仿宋_GBK" w:eastAsia="方正仿宋_GBK" w:cs="方正仿宋_GBK"/>
                <w:color w:val="auto"/>
                <w:sz w:val="24"/>
                <w:highlight w:val="none"/>
              </w:rPr>
              <w:t>作业，现场实际施工人员不得低于3人</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施工人员必须购买意外伤害险等</w:t>
            </w:r>
            <w:r>
              <w:rPr>
                <w:rFonts w:hint="eastAsia" w:ascii="方正仿宋_GBK" w:hAnsi="方正仿宋_GBK" w:eastAsia="方正仿宋_GBK" w:cs="方正仿宋_GBK"/>
                <w:color w:val="auto"/>
                <w:sz w:val="24"/>
                <w:highlight w:val="none"/>
              </w:rPr>
              <w:t>。</w:t>
            </w:r>
          </w:p>
          <w:p>
            <w:pPr>
              <w:spacing w:line="440" w:lineRule="exact"/>
              <w:ind w:firstLine="0"/>
              <w:rPr>
                <w:rFonts w:ascii="方正仿宋_GBK" w:hAnsi="方正仿宋_GBK" w:eastAsia="方正仿宋_GBK" w:cs="方正仿宋_GBK"/>
                <w:color w:val="auto"/>
                <w:sz w:val="24"/>
                <w:highlight w:val="none"/>
              </w:rPr>
            </w:pPr>
            <w:r>
              <w:rPr>
                <w:rFonts w:ascii="方正仿宋_GBK" w:hAnsi="方正仿宋_GBK" w:eastAsia="方正仿宋_GBK" w:cs="方正仿宋_GBK"/>
                <w:color w:val="auto"/>
                <w:sz w:val="24"/>
                <w:highlight w:val="none"/>
              </w:rPr>
              <w:t>2</w:t>
            </w:r>
            <w:r>
              <w:rPr>
                <w:rFonts w:hint="eastAsia" w:ascii="方正仿宋_GBK" w:hAnsi="方正仿宋_GBK" w:eastAsia="方正仿宋_GBK" w:cs="方正仿宋_GBK"/>
                <w:color w:val="auto"/>
                <w:sz w:val="24"/>
                <w:highlight w:val="none"/>
              </w:rPr>
              <w:t>、乙方负责</w:t>
            </w:r>
            <w:r>
              <w:rPr>
                <w:rFonts w:hint="eastAsia" w:ascii="方正仿宋_GBK" w:hAnsi="方正仿宋_GBK" w:eastAsia="方正仿宋_GBK" w:cs="方正仿宋_GBK"/>
                <w:color w:val="auto"/>
                <w:sz w:val="24"/>
                <w:highlight w:val="none"/>
                <w:lang w:eastAsia="zh-CN"/>
              </w:rPr>
              <w:t>清掏冲洗抽排</w:t>
            </w:r>
            <w:r>
              <w:rPr>
                <w:rFonts w:hint="eastAsia" w:ascii="方正仿宋_GBK" w:hAnsi="方正仿宋_GBK" w:eastAsia="方正仿宋_GBK" w:cs="方正仿宋_GBK"/>
                <w:color w:val="auto"/>
                <w:sz w:val="24"/>
                <w:highlight w:val="none"/>
              </w:rPr>
              <w:t>工作的质量、安全、文明服务施工，承担全部</w:t>
            </w:r>
            <w:r>
              <w:rPr>
                <w:rFonts w:hint="eastAsia" w:ascii="方正仿宋_GBK" w:hAnsi="方正仿宋_GBK" w:eastAsia="方正仿宋_GBK" w:cs="方正仿宋_GBK"/>
                <w:color w:val="auto"/>
                <w:sz w:val="24"/>
                <w:highlight w:val="none"/>
                <w:lang w:eastAsia="zh-CN"/>
              </w:rPr>
              <w:t>清掏冲洗抽排</w:t>
            </w:r>
            <w:r>
              <w:rPr>
                <w:rFonts w:hint="eastAsia" w:ascii="方正仿宋_GBK" w:hAnsi="方正仿宋_GBK" w:eastAsia="方正仿宋_GBK" w:cs="方正仿宋_GBK"/>
                <w:color w:val="auto"/>
                <w:sz w:val="24"/>
                <w:highlight w:val="none"/>
              </w:rPr>
              <w:t>工作质量、安全、文明服务责任，在作业中非甲方原因所造成的一切安全事故、人员伤亡事故及不良的社会影响，甲方不承担任何责任。</w:t>
            </w:r>
          </w:p>
          <w:p>
            <w:pPr>
              <w:spacing w:line="440" w:lineRule="exact"/>
              <w:ind w:firstLine="0"/>
              <w:rPr>
                <w:rFonts w:ascii="方正仿宋_GBK" w:hAnsi="方正仿宋_GBK" w:eastAsia="方正仿宋_GBK" w:cs="方正仿宋_GBK"/>
                <w:color w:val="auto"/>
                <w:sz w:val="24"/>
                <w:highlight w:val="none"/>
              </w:rPr>
            </w:pPr>
            <w:r>
              <w:rPr>
                <w:rFonts w:ascii="方正仿宋_GBK" w:hAnsi="方正仿宋_GBK" w:eastAsia="方正仿宋_GBK" w:cs="方正仿宋_GBK"/>
                <w:color w:val="auto"/>
                <w:sz w:val="24"/>
                <w:highlight w:val="none"/>
              </w:rPr>
              <w:t>3</w:t>
            </w:r>
            <w:r>
              <w:rPr>
                <w:rFonts w:hint="eastAsia" w:ascii="方正仿宋_GBK" w:hAnsi="方正仿宋_GBK" w:eastAsia="方正仿宋_GBK" w:cs="方正仿宋_GBK"/>
                <w:color w:val="auto"/>
                <w:sz w:val="24"/>
                <w:highlight w:val="none"/>
              </w:rPr>
              <w:t>、乙方必须承诺使用环保产品，不使用国家法律法规明令禁止的物品。每年向甲方提供清洁、消杀用品环保证明，列明使用的清洁剂清单及品牌，以避免因作业中使用清洁剂对环境造成的影响，如因使用清洁剂对环境造成影响的，由乙方承担一切责任。</w:t>
            </w:r>
          </w:p>
          <w:p>
            <w:pPr>
              <w:spacing w:line="440" w:lineRule="exact"/>
              <w:ind w:firstLine="0"/>
              <w:rPr>
                <w:rFonts w:ascii="方正仿宋_GBK" w:hAnsi="方正仿宋_GBK" w:eastAsia="方正仿宋_GBK" w:cs="方正仿宋_GBK"/>
                <w:color w:val="auto"/>
                <w:sz w:val="24"/>
                <w:highlight w:val="none"/>
              </w:rPr>
            </w:pPr>
            <w:r>
              <w:rPr>
                <w:rFonts w:ascii="方正仿宋_GBK" w:hAnsi="方正仿宋_GBK" w:eastAsia="方正仿宋_GBK" w:cs="方正仿宋_GBK"/>
                <w:color w:val="auto"/>
                <w:sz w:val="24"/>
                <w:highlight w:val="none"/>
              </w:rPr>
              <w:t>4</w:t>
            </w:r>
            <w:r>
              <w:rPr>
                <w:rFonts w:hint="eastAsia" w:ascii="方正仿宋_GBK" w:hAnsi="方正仿宋_GBK" w:eastAsia="方正仿宋_GBK" w:cs="方正仿宋_GBK"/>
                <w:color w:val="auto"/>
                <w:sz w:val="24"/>
                <w:highlight w:val="none"/>
              </w:rPr>
              <w:t>、乙方需做好</w:t>
            </w:r>
            <w:r>
              <w:rPr>
                <w:rFonts w:hint="eastAsia" w:ascii="方正仿宋_GBK" w:hAnsi="方正仿宋_GBK" w:eastAsia="方正仿宋_GBK" w:cs="方正仿宋_GBK"/>
                <w:color w:val="auto"/>
                <w:sz w:val="24"/>
                <w:highlight w:val="none"/>
                <w:lang w:eastAsia="zh-CN"/>
              </w:rPr>
              <w:t>清掏冲洗抽排</w:t>
            </w:r>
            <w:r>
              <w:rPr>
                <w:rFonts w:hint="eastAsia" w:ascii="方正仿宋_GBK" w:hAnsi="方正仿宋_GBK" w:eastAsia="方正仿宋_GBK" w:cs="方正仿宋_GBK"/>
                <w:color w:val="auto"/>
                <w:sz w:val="24"/>
                <w:highlight w:val="none"/>
              </w:rPr>
              <w:t>服务所产生的废品、垃圾处理工作，做到分类处理。及时按照规定将垃圾自行处理。因</w:t>
            </w:r>
            <w:r>
              <w:rPr>
                <w:rFonts w:hint="eastAsia" w:ascii="方正仿宋_GBK" w:hAnsi="方正仿宋_GBK" w:eastAsia="方正仿宋_GBK" w:cs="方正仿宋_GBK"/>
                <w:color w:val="auto"/>
                <w:sz w:val="24"/>
                <w:highlight w:val="none"/>
                <w:lang w:eastAsia="zh-CN"/>
              </w:rPr>
              <w:t>清掏冲洗抽排</w:t>
            </w:r>
            <w:r>
              <w:rPr>
                <w:rFonts w:hint="eastAsia" w:ascii="方正仿宋_GBK" w:hAnsi="方正仿宋_GBK" w:eastAsia="方正仿宋_GBK" w:cs="方正仿宋_GBK"/>
                <w:color w:val="auto"/>
                <w:sz w:val="24"/>
                <w:highlight w:val="none"/>
              </w:rPr>
              <w:t>服务所造成的合同约定范围外区域二次污染的，需自行清理。</w:t>
            </w:r>
          </w:p>
          <w:p>
            <w:pPr>
              <w:spacing w:line="440" w:lineRule="exact"/>
              <w:ind w:firstLine="0"/>
              <w:rPr>
                <w:rFonts w:ascii="方正仿宋_GBK" w:hAnsi="方正仿宋_GBK" w:eastAsia="方正仿宋_GBK" w:cs="方正仿宋_GBK"/>
                <w:color w:val="auto"/>
                <w:sz w:val="24"/>
                <w:highlight w:val="none"/>
              </w:rPr>
            </w:pPr>
            <w:r>
              <w:rPr>
                <w:rFonts w:ascii="方正仿宋_GBK" w:hAnsi="方正仿宋_GBK" w:eastAsia="方正仿宋_GBK" w:cs="方正仿宋_GBK"/>
                <w:color w:val="auto"/>
                <w:sz w:val="24"/>
                <w:highlight w:val="none"/>
              </w:rPr>
              <w:t>5</w:t>
            </w:r>
            <w:r>
              <w:rPr>
                <w:rFonts w:hint="eastAsia" w:ascii="方正仿宋_GBK" w:hAnsi="方正仿宋_GBK" w:eastAsia="方正仿宋_GBK" w:cs="方正仿宋_GBK"/>
                <w:color w:val="auto"/>
                <w:sz w:val="24"/>
                <w:highlight w:val="none"/>
              </w:rPr>
              <w:t>、乙方需做好噪音、异味、交通等控制措施，防止因使用工具不当或操作方法不对导致噪音、异味、交通拥堵等的产生，并对由此而引起投诉负全责。</w:t>
            </w:r>
          </w:p>
          <w:p>
            <w:pPr>
              <w:spacing w:line="440" w:lineRule="exact"/>
              <w:ind w:firstLine="0"/>
              <w:rPr>
                <w:rFonts w:ascii="方正仿宋_GBK" w:hAnsi="方正仿宋_GBK" w:eastAsia="方正仿宋_GBK" w:cs="方正仿宋_GBK"/>
                <w:color w:val="auto"/>
                <w:sz w:val="24"/>
                <w:highlight w:val="none"/>
              </w:rPr>
            </w:pPr>
            <w:r>
              <w:rPr>
                <w:rFonts w:ascii="方正仿宋_GBK" w:hAnsi="方正仿宋_GBK" w:eastAsia="方正仿宋_GBK" w:cs="方正仿宋_GBK"/>
                <w:color w:val="auto"/>
                <w:sz w:val="24"/>
                <w:highlight w:val="none"/>
              </w:rPr>
              <w:t>6</w:t>
            </w:r>
            <w:r>
              <w:rPr>
                <w:rFonts w:hint="eastAsia" w:ascii="方正仿宋_GBK" w:hAnsi="方正仿宋_GBK" w:eastAsia="方正仿宋_GBK" w:cs="方正仿宋_GBK"/>
                <w:color w:val="auto"/>
                <w:sz w:val="24"/>
                <w:highlight w:val="none"/>
              </w:rPr>
              <w:t>、乙方清洁机械设备必须保证完好并取得国家质量、环保、安全认证，并定期进行安全检测，能够满足</w:t>
            </w:r>
            <w:r>
              <w:rPr>
                <w:rFonts w:hint="eastAsia" w:ascii="方正仿宋_GBK" w:hAnsi="方正仿宋_GBK" w:eastAsia="方正仿宋_GBK" w:cs="方正仿宋_GBK"/>
                <w:color w:val="auto"/>
                <w:sz w:val="24"/>
                <w:highlight w:val="none"/>
                <w:lang w:eastAsia="zh-CN"/>
              </w:rPr>
              <w:t>清掏冲洗抽排</w:t>
            </w:r>
            <w:r>
              <w:rPr>
                <w:rFonts w:hint="eastAsia" w:ascii="方正仿宋_GBK" w:hAnsi="方正仿宋_GBK" w:eastAsia="方正仿宋_GBK" w:cs="方正仿宋_GBK"/>
                <w:color w:val="auto"/>
                <w:sz w:val="24"/>
                <w:highlight w:val="none"/>
              </w:rPr>
              <w:t>工作的正常需要。乙方负有对自有设备的保管责任。</w:t>
            </w:r>
          </w:p>
          <w:p>
            <w:pPr>
              <w:spacing w:line="440" w:lineRule="exact"/>
              <w:ind w:firstLine="0"/>
              <w:rPr>
                <w:rFonts w:ascii="方正仿宋_GBK" w:hAnsi="方正仿宋_GBK" w:eastAsia="方正仿宋_GBK" w:cs="方正仿宋_GBK"/>
                <w:color w:val="auto"/>
                <w:sz w:val="24"/>
                <w:highlight w:val="none"/>
              </w:rPr>
            </w:pPr>
            <w:r>
              <w:rPr>
                <w:rFonts w:ascii="方正仿宋_GBK" w:hAnsi="方正仿宋_GBK" w:eastAsia="方正仿宋_GBK" w:cs="方正仿宋_GBK"/>
                <w:color w:val="auto"/>
                <w:sz w:val="24"/>
                <w:highlight w:val="none"/>
              </w:rPr>
              <w:t>7</w:t>
            </w:r>
            <w:r>
              <w:rPr>
                <w:rFonts w:hint="eastAsia" w:ascii="方正仿宋_GBK" w:hAnsi="方正仿宋_GBK" w:eastAsia="方正仿宋_GBK" w:cs="方正仿宋_GBK"/>
                <w:color w:val="auto"/>
                <w:sz w:val="24"/>
                <w:highlight w:val="none"/>
              </w:rPr>
              <w:t>、乙方人员在工作现场作业时因违规操作、失职失责等行为所造成的一切意外人身伤害，由乙方单位负全部责任。</w:t>
            </w:r>
          </w:p>
          <w:p>
            <w:pPr>
              <w:spacing w:line="440" w:lineRule="exact"/>
              <w:ind w:firstLine="0"/>
              <w:rPr>
                <w:rFonts w:ascii="方正仿宋_GBK" w:hAnsi="方正仿宋_GBK" w:eastAsia="方正仿宋_GBK" w:cs="方正仿宋_GBK"/>
                <w:color w:val="auto"/>
                <w:sz w:val="24"/>
                <w:highlight w:val="none"/>
              </w:rPr>
            </w:pPr>
            <w:r>
              <w:rPr>
                <w:rFonts w:ascii="方正仿宋_GBK" w:hAnsi="方正仿宋_GBK" w:eastAsia="方正仿宋_GBK" w:cs="方正仿宋_GBK"/>
                <w:color w:val="auto"/>
                <w:sz w:val="24"/>
                <w:highlight w:val="none"/>
              </w:rPr>
              <w:t>8</w:t>
            </w:r>
            <w:r>
              <w:rPr>
                <w:rFonts w:hint="eastAsia" w:ascii="方正仿宋_GBK" w:hAnsi="方正仿宋_GBK" w:eastAsia="方正仿宋_GBK" w:cs="方正仿宋_GBK"/>
                <w:color w:val="auto"/>
                <w:sz w:val="24"/>
                <w:highlight w:val="none"/>
              </w:rPr>
              <w:t>、乙方人员的一切安全责任由乙方承担，甲方因此而遭受牵连，乙方必须赔偿甲方一切名誉及经济损失。</w:t>
            </w:r>
          </w:p>
          <w:p>
            <w:pPr>
              <w:spacing w:line="440" w:lineRule="exact"/>
              <w:ind w:firstLine="0"/>
              <w:rPr>
                <w:rFonts w:ascii="方正仿宋_GBK" w:hAnsi="方正仿宋_GBK" w:eastAsia="方正仿宋_GBK" w:cs="方正仿宋_GBK"/>
                <w:color w:val="auto"/>
                <w:sz w:val="24"/>
                <w:highlight w:val="none"/>
              </w:rPr>
            </w:pPr>
            <w:r>
              <w:rPr>
                <w:rFonts w:ascii="方正仿宋_GBK" w:hAnsi="方正仿宋_GBK" w:eastAsia="方正仿宋_GBK" w:cs="方正仿宋_GBK"/>
                <w:color w:val="auto"/>
                <w:sz w:val="24"/>
                <w:highlight w:val="none"/>
              </w:rPr>
              <w:t>9</w:t>
            </w:r>
            <w:r>
              <w:rPr>
                <w:rFonts w:hint="eastAsia" w:ascii="方正仿宋_GBK" w:hAnsi="方正仿宋_GBK" w:eastAsia="方正仿宋_GBK" w:cs="方正仿宋_GBK"/>
                <w:color w:val="auto"/>
                <w:sz w:val="24"/>
                <w:highlight w:val="none"/>
              </w:rPr>
              <w:t>、因乙方工作失职而造成治安及刑事案件或被新闻媒体曝光，引起社会负面影响,经查证属实，视为乙方违约，并应向甲方交纳相应违约金。</w:t>
            </w:r>
          </w:p>
          <w:p>
            <w:pPr>
              <w:spacing w:line="440" w:lineRule="exact"/>
              <w:ind w:firstLine="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1</w:t>
            </w:r>
            <w:r>
              <w:rPr>
                <w:rFonts w:ascii="方正仿宋_GBK" w:hAnsi="方正仿宋_GBK" w:eastAsia="方正仿宋_GBK" w:cs="方正仿宋_GBK"/>
                <w:color w:val="auto"/>
                <w:sz w:val="24"/>
                <w:highlight w:val="none"/>
              </w:rPr>
              <w:t>0</w:t>
            </w:r>
            <w:r>
              <w:rPr>
                <w:rFonts w:hint="eastAsia" w:ascii="方正仿宋_GBK" w:hAnsi="方正仿宋_GBK" w:eastAsia="方正仿宋_GBK" w:cs="方正仿宋_GBK"/>
                <w:color w:val="auto"/>
                <w:sz w:val="24"/>
                <w:highlight w:val="none"/>
              </w:rPr>
              <w:t>、乙方对现场情况进行自行勘测，施工过程中需要的机器设备、现场沟通等均自行负责。</w:t>
            </w:r>
          </w:p>
          <w:p>
            <w:pPr>
              <w:spacing w:line="440" w:lineRule="exact"/>
              <w:ind w:firstLine="0"/>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lang w:val="en-US" w:eastAsia="zh-CN"/>
              </w:rPr>
              <w:t>11、服务标准以轨道运营方验收确认为准。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235" w:type="dxa"/>
            <w:gridSpan w:val="2"/>
            <w:vAlign w:val="center"/>
          </w:tcPr>
          <w:p>
            <w:pPr>
              <w:rPr>
                <w:rFonts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bCs/>
                <w:color w:val="auto"/>
                <w:sz w:val="24"/>
                <w:highlight w:val="none"/>
              </w:rPr>
              <w:t>比选被邀请人</w:t>
            </w:r>
          </w:p>
          <w:p>
            <w:pP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资格要求</w:t>
            </w:r>
          </w:p>
        </w:tc>
        <w:tc>
          <w:tcPr>
            <w:tcW w:w="7229" w:type="dxa"/>
            <w:gridSpan w:val="3"/>
            <w:vAlign w:val="center"/>
          </w:tcPr>
          <w:p>
            <w:pPr>
              <w:spacing w:line="360" w:lineRule="auto"/>
              <w:ind w:firstLine="0" w:firstLineChars="0"/>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1、比选人应具有独立的法人资格，持有合法有效的《企业法人营业执照》，注册资本金不低于人民币：300万元（含）；</w:t>
            </w:r>
          </w:p>
          <w:p>
            <w:pPr>
              <w:spacing w:line="360" w:lineRule="auto"/>
              <w:ind w:firstLine="0" w:firstLineChars="0"/>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lang w:val="en-US" w:eastAsia="zh-CN"/>
              </w:rPr>
              <w:t>2、</w:t>
            </w:r>
            <w:r>
              <w:rPr>
                <w:rFonts w:hint="eastAsia" w:ascii="方正仿宋_GBK" w:hAnsi="方正仿宋_GBK" w:eastAsia="方正仿宋_GBK" w:cs="方正仿宋_GBK"/>
                <w:color w:val="auto"/>
                <w:sz w:val="24"/>
                <w:highlight w:val="none"/>
              </w:rPr>
              <w:t>投标人须具备市级及以上相关行业协会认定的清洁行业或清洗行业相关服务资质；</w:t>
            </w:r>
          </w:p>
          <w:p>
            <w:pPr>
              <w:spacing w:line="360" w:lineRule="auto"/>
              <w:ind w:firstLine="0" w:firstLineChars="0"/>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lang w:val="en-US" w:eastAsia="zh-CN"/>
              </w:rPr>
              <w:t>3、</w:t>
            </w:r>
            <w:r>
              <w:rPr>
                <w:rFonts w:hint="eastAsia" w:ascii="方正仿宋_GBK" w:hAnsi="方正仿宋_GBK" w:eastAsia="方正仿宋_GBK" w:cs="方正仿宋_GBK"/>
                <w:color w:val="auto"/>
                <w:sz w:val="24"/>
                <w:highlight w:val="none"/>
              </w:rPr>
              <w:t>投标人须具备国家级行业协会或机构颁发的高空服务业企业安全资质或高空清洗悬吊作业企业安全生产证书或高空外墙清洗服务企业资质或高空外墙清洁资质等级证书；</w:t>
            </w:r>
          </w:p>
          <w:p>
            <w:pPr>
              <w:spacing w:line="360" w:lineRule="auto"/>
              <w:ind w:firstLine="0" w:firstLineChars="0"/>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lang w:val="en-US" w:eastAsia="zh-CN"/>
              </w:rPr>
              <w:t>4、</w:t>
            </w:r>
            <w:r>
              <w:rPr>
                <w:rFonts w:hint="eastAsia" w:ascii="方正仿宋_GBK" w:hAnsi="方正仿宋_GBK" w:eastAsia="方正仿宋_GBK" w:cs="方正仿宋_GBK"/>
                <w:color w:val="auto"/>
                <w:sz w:val="24"/>
                <w:highlight w:val="none"/>
              </w:rPr>
              <w:t>具备省（直辖市）级以上部门或行业协会颁发的《城市粪便污水处理经营服务资质认定》三级及以上证书和《城市生活垃圾经营性清扫、收集服务许可证》；</w:t>
            </w:r>
          </w:p>
          <w:p>
            <w:pPr>
              <w:spacing w:line="360" w:lineRule="auto"/>
              <w:ind w:firstLine="0" w:firstLineChars="0"/>
              <w:rPr>
                <w:rFonts w:hint="eastAsia" w:ascii="方正仿宋_GBK" w:hAnsi="方正仿宋_GBK" w:eastAsia="方正仿宋_GBK" w:cs="方正仿宋_GBK"/>
                <w:color w:val="auto"/>
                <w:sz w:val="24"/>
                <w:highlight w:val="none"/>
                <w:lang w:eastAsia="zh-CN"/>
              </w:rPr>
            </w:pPr>
            <w:r>
              <w:rPr>
                <w:rFonts w:hint="eastAsia" w:ascii="方正仿宋_GBK" w:hAnsi="方正仿宋_GBK" w:eastAsia="方正仿宋_GBK" w:cs="方正仿宋_GBK"/>
                <w:color w:val="auto"/>
                <w:sz w:val="24"/>
                <w:highlight w:val="none"/>
                <w:lang w:val="en-US" w:eastAsia="zh-CN"/>
              </w:rPr>
              <w:t>5、</w:t>
            </w:r>
            <w:r>
              <w:rPr>
                <w:rFonts w:hint="eastAsia" w:ascii="方正仿宋_GBK" w:hAnsi="方正仿宋_GBK" w:eastAsia="方正仿宋_GBK" w:cs="方正仿宋_GBK"/>
                <w:color w:val="auto"/>
                <w:sz w:val="24"/>
                <w:highlight w:val="none"/>
              </w:rPr>
              <w:t>具备良好的商业信誉，无不良的诉讼记录，比选人须自行承诺无不良诉讼情况。（格式自拟）</w:t>
            </w:r>
          </w:p>
          <w:p>
            <w:pPr>
              <w:spacing w:line="360" w:lineRule="auto"/>
              <w:ind w:firstLine="0" w:firstLineChars="0"/>
              <w:rPr>
                <w:rFonts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 w:val="24"/>
                <w:highlight w:val="none"/>
                <w:lang w:val="en-US" w:eastAsia="zh-CN"/>
              </w:rPr>
              <w:t>6、投标</w:t>
            </w:r>
            <w:r>
              <w:rPr>
                <w:rFonts w:hint="eastAsia" w:ascii="方正仿宋_GBK" w:hAnsi="方正仿宋_GBK" w:eastAsia="方正仿宋_GBK" w:cs="方正仿宋_GBK"/>
                <w:color w:val="auto"/>
                <w:sz w:val="24"/>
                <w:highlight w:val="none"/>
              </w:rPr>
              <w:t>保证金缴纳凭据。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0" w:hRule="exact"/>
        </w:trPr>
        <w:tc>
          <w:tcPr>
            <w:tcW w:w="2235" w:type="dxa"/>
            <w:gridSpan w:val="2"/>
            <w:vAlign w:val="center"/>
          </w:tcPr>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比选邀请函文件领取和递交时间、地点及比选文件份数</w:t>
            </w:r>
          </w:p>
        </w:tc>
        <w:tc>
          <w:tcPr>
            <w:tcW w:w="7229" w:type="dxa"/>
            <w:gridSpan w:val="3"/>
            <w:vAlign w:val="center"/>
          </w:tcPr>
          <w:p>
            <w:pPr>
              <w:keepNext w:val="0"/>
              <w:keepLines w:val="0"/>
              <w:suppressLineNumbers w:val="0"/>
              <w:spacing w:before="0" w:beforeAutospacing="0" w:after="0" w:afterAutospacing="0" w:line="440" w:lineRule="exact"/>
              <w:ind w:left="480" w:right="0" w:hanging="480" w:hangingChars="200"/>
              <w:rPr>
                <w:rFonts w:hint="eastAsia" w:ascii="方正仿宋_GBK" w:hAnsi="方正仿宋_GBK" w:eastAsia="方正仿宋_GBK" w:cs="方正仿宋_GBK"/>
                <w:color w:val="auto"/>
                <w:sz w:val="24"/>
                <w:highlight w:val="none"/>
                <w:lang w:eastAsia="zh-CN"/>
              </w:rPr>
            </w:pPr>
            <w:r>
              <w:rPr>
                <w:rFonts w:hint="eastAsia" w:ascii="方正仿宋_GBK" w:hAnsi="方正仿宋_GBK" w:eastAsia="方正仿宋_GBK" w:cs="方正仿宋_GBK"/>
                <w:color w:val="auto"/>
                <w:sz w:val="24"/>
                <w:highlight w:val="none"/>
              </w:rPr>
              <w:t>1、领取文件时间：</w:t>
            </w:r>
            <w:r>
              <w:rPr>
                <w:rFonts w:hint="eastAsia" w:ascii="方正仿宋_GBK" w:hAnsi="方正仿宋_GBK" w:eastAsia="方正仿宋_GBK" w:cs="方正仿宋_GBK"/>
                <w:color w:val="auto"/>
                <w:sz w:val="24"/>
                <w:highlight w:val="none"/>
                <w:lang w:eastAsia="zh-CN"/>
              </w:rPr>
              <w:t>见官网</w:t>
            </w:r>
          </w:p>
          <w:p>
            <w:pPr>
              <w:keepNext w:val="0"/>
              <w:keepLines w:val="0"/>
              <w:suppressLineNumbers w:val="0"/>
              <w:spacing w:before="0" w:beforeAutospacing="0" w:after="0" w:afterAutospacing="0" w:line="440" w:lineRule="exact"/>
              <w:ind w:left="0" w:right="0"/>
              <w:rPr>
                <w:rFonts w:hint="default"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2、递交文件时间：于2021年</w:t>
            </w:r>
            <w:r>
              <w:rPr>
                <w:rFonts w:hint="eastAsia" w:ascii="方正仿宋_GBK" w:hAnsi="方正仿宋_GBK" w:eastAsia="方正仿宋_GBK" w:cs="方正仿宋_GBK"/>
                <w:color w:val="auto"/>
                <w:sz w:val="24"/>
                <w:highlight w:val="none"/>
                <w:lang w:val="en-US" w:eastAsia="zh-CN"/>
              </w:rPr>
              <w:t>12</w:t>
            </w:r>
            <w:r>
              <w:rPr>
                <w:rFonts w:hint="eastAsia" w:ascii="方正仿宋_GBK" w:hAnsi="方正仿宋_GBK" w:eastAsia="方正仿宋_GBK" w:cs="方正仿宋_GBK"/>
                <w:color w:val="auto"/>
                <w:sz w:val="24"/>
                <w:highlight w:val="none"/>
              </w:rPr>
              <w:t>月</w:t>
            </w:r>
            <w:r>
              <w:rPr>
                <w:rFonts w:hint="eastAsia" w:ascii="方正仿宋_GBK" w:hAnsi="方正仿宋_GBK" w:eastAsia="方正仿宋_GBK" w:cs="方正仿宋_GBK"/>
                <w:color w:val="auto"/>
                <w:sz w:val="24"/>
                <w:highlight w:val="none"/>
                <w:lang w:val="en-US" w:eastAsia="zh-CN"/>
              </w:rPr>
              <w:t>31</w:t>
            </w:r>
            <w:r>
              <w:rPr>
                <w:rFonts w:hint="eastAsia" w:ascii="方正仿宋_GBK" w:hAnsi="方正仿宋_GBK" w:eastAsia="方正仿宋_GBK" w:cs="方正仿宋_GBK"/>
                <w:color w:val="auto"/>
                <w:sz w:val="24"/>
                <w:highlight w:val="none"/>
              </w:rPr>
              <w:t>日</w:t>
            </w:r>
            <w:r>
              <w:rPr>
                <w:rFonts w:hint="eastAsia" w:ascii="方正仿宋_GBK" w:hAnsi="方正仿宋_GBK" w:eastAsia="方正仿宋_GBK" w:cs="方正仿宋_GBK"/>
                <w:color w:val="auto"/>
                <w:sz w:val="24"/>
                <w:highlight w:val="none"/>
                <w:lang w:val="en-US" w:eastAsia="zh-CN"/>
              </w:rPr>
              <w:t>11</w:t>
            </w:r>
            <w:r>
              <w:rPr>
                <w:rFonts w:hint="eastAsia" w:ascii="方正仿宋_GBK" w:hAnsi="方正仿宋_GBK" w:eastAsia="方正仿宋_GBK" w:cs="方正仿宋_GBK"/>
                <w:color w:val="auto"/>
                <w:sz w:val="24"/>
                <w:highlight w:val="none"/>
              </w:rPr>
              <w:t>时</w:t>
            </w:r>
            <w:r>
              <w:rPr>
                <w:rFonts w:hint="eastAsia" w:ascii="方正仿宋_GBK" w:hAnsi="方正仿宋_GBK" w:eastAsia="方正仿宋_GBK" w:cs="方正仿宋_GBK"/>
                <w:color w:val="auto"/>
                <w:sz w:val="24"/>
                <w:highlight w:val="none"/>
                <w:lang w:val="en-US" w:eastAsia="zh-CN"/>
              </w:rPr>
              <w:t>00</w:t>
            </w:r>
            <w:r>
              <w:rPr>
                <w:rFonts w:hint="eastAsia" w:ascii="方正仿宋_GBK" w:hAnsi="方正仿宋_GBK" w:eastAsia="方正仿宋_GBK" w:cs="方正仿宋_GBK"/>
                <w:color w:val="auto"/>
                <w:sz w:val="24"/>
                <w:highlight w:val="none"/>
              </w:rPr>
              <w:t xml:space="preserve">分截止。        </w:t>
            </w:r>
          </w:p>
          <w:p>
            <w:pPr>
              <w:keepNext w:val="0"/>
              <w:keepLines w:val="0"/>
              <w:suppressLineNumbers w:val="0"/>
              <w:spacing w:before="0" w:beforeAutospacing="0" w:after="0" w:afterAutospacing="0" w:line="440" w:lineRule="exact"/>
              <w:ind w:left="480" w:right="0" w:hanging="480" w:hangingChars="200"/>
              <w:rPr>
                <w:rFonts w:hint="default"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3、递交文件地点：重庆市南岸区腾龙大道58号附25号通邑公司物管部。</w:t>
            </w:r>
          </w:p>
          <w:p>
            <w:pPr>
              <w:keepNext w:val="0"/>
              <w:keepLines w:val="0"/>
              <w:suppressLineNumbers w:val="0"/>
              <w:spacing w:before="0" w:beforeAutospacing="0" w:after="0" w:afterAutospacing="0" w:line="440" w:lineRule="exact"/>
              <w:ind w:left="0" w:right="0"/>
              <w:rPr>
                <w:rFonts w:hint="default"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4、比选时间：于2021年</w:t>
            </w:r>
            <w:r>
              <w:rPr>
                <w:rFonts w:hint="eastAsia" w:ascii="方正仿宋_GBK" w:hAnsi="方正仿宋_GBK" w:eastAsia="方正仿宋_GBK" w:cs="方正仿宋_GBK"/>
                <w:color w:val="auto"/>
                <w:sz w:val="24"/>
                <w:highlight w:val="none"/>
                <w:lang w:val="en-US" w:eastAsia="zh-CN"/>
              </w:rPr>
              <w:t>12</w:t>
            </w:r>
            <w:r>
              <w:rPr>
                <w:rFonts w:hint="eastAsia" w:ascii="方正仿宋_GBK" w:hAnsi="方正仿宋_GBK" w:eastAsia="方正仿宋_GBK" w:cs="方正仿宋_GBK"/>
                <w:color w:val="auto"/>
                <w:sz w:val="24"/>
                <w:highlight w:val="none"/>
              </w:rPr>
              <w:t>月</w:t>
            </w:r>
            <w:r>
              <w:rPr>
                <w:rFonts w:hint="eastAsia" w:ascii="方正仿宋_GBK" w:hAnsi="方正仿宋_GBK" w:eastAsia="方正仿宋_GBK" w:cs="方正仿宋_GBK"/>
                <w:color w:val="auto"/>
                <w:sz w:val="24"/>
                <w:highlight w:val="none"/>
                <w:lang w:val="en-US" w:eastAsia="zh-CN"/>
              </w:rPr>
              <w:t>31</w:t>
            </w:r>
            <w:r>
              <w:rPr>
                <w:rFonts w:hint="eastAsia" w:ascii="方正仿宋_GBK" w:hAnsi="方正仿宋_GBK" w:eastAsia="方正仿宋_GBK" w:cs="方正仿宋_GBK"/>
                <w:color w:val="auto"/>
                <w:sz w:val="24"/>
                <w:highlight w:val="none"/>
              </w:rPr>
              <w:t>日</w:t>
            </w:r>
            <w:r>
              <w:rPr>
                <w:rFonts w:hint="eastAsia" w:ascii="方正仿宋_GBK" w:hAnsi="方正仿宋_GBK" w:eastAsia="方正仿宋_GBK" w:cs="方正仿宋_GBK"/>
                <w:color w:val="auto"/>
                <w:sz w:val="24"/>
                <w:highlight w:val="none"/>
                <w:lang w:val="en-US" w:eastAsia="zh-CN"/>
              </w:rPr>
              <w:t>11</w:t>
            </w:r>
            <w:r>
              <w:rPr>
                <w:rFonts w:hint="eastAsia" w:ascii="方正仿宋_GBK" w:hAnsi="方正仿宋_GBK" w:eastAsia="方正仿宋_GBK" w:cs="方正仿宋_GBK"/>
                <w:color w:val="auto"/>
                <w:sz w:val="24"/>
                <w:highlight w:val="none"/>
              </w:rPr>
              <w:t>时</w:t>
            </w:r>
            <w:r>
              <w:rPr>
                <w:rFonts w:hint="eastAsia" w:ascii="方正仿宋_GBK" w:hAnsi="方正仿宋_GBK" w:eastAsia="方正仿宋_GBK" w:cs="方正仿宋_GBK"/>
                <w:color w:val="auto"/>
                <w:sz w:val="24"/>
                <w:highlight w:val="none"/>
                <w:lang w:val="en-US" w:eastAsia="zh-CN"/>
              </w:rPr>
              <w:t>00</w:t>
            </w:r>
            <w:r>
              <w:rPr>
                <w:rFonts w:hint="eastAsia" w:ascii="方正仿宋_GBK" w:hAnsi="方正仿宋_GBK" w:eastAsia="方正仿宋_GBK" w:cs="方正仿宋_GBK"/>
                <w:color w:val="auto"/>
                <w:sz w:val="24"/>
                <w:highlight w:val="none"/>
              </w:rPr>
              <w:t>分。</w:t>
            </w:r>
          </w:p>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5、比选文件份数：</w:t>
            </w:r>
            <w:r>
              <w:rPr>
                <w:rFonts w:hint="eastAsia" w:ascii="方正仿宋_GBK" w:hAnsi="方正仿宋_GBK" w:eastAsia="方正仿宋_GBK" w:cs="方正仿宋_GBK"/>
                <w:color w:val="auto"/>
                <w:sz w:val="24"/>
                <w:highlight w:val="none"/>
                <w:lang w:val="en-US" w:eastAsia="zh-CN"/>
              </w:rPr>
              <w:t>纸质文件</w:t>
            </w:r>
            <w:r>
              <w:rPr>
                <w:rFonts w:hint="eastAsia" w:ascii="方正仿宋_GBK" w:hAnsi="方正仿宋_GBK" w:eastAsia="方正仿宋_GBK" w:cs="方正仿宋_GBK"/>
                <w:color w:val="auto"/>
                <w:sz w:val="24"/>
                <w:highlight w:val="none"/>
              </w:rPr>
              <w:t>正本</w:t>
            </w:r>
            <w:r>
              <w:rPr>
                <w:rFonts w:hint="eastAsia" w:ascii="方正仿宋_GBK" w:hAnsi="方正仿宋_GBK" w:eastAsia="方正仿宋_GBK" w:cs="方正仿宋_GBK"/>
                <w:color w:val="auto"/>
                <w:sz w:val="24"/>
                <w:highlight w:val="none"/>
                <w:lang w:val="en-US" w:eastAsia="zh-CN"/>
              </w:rPr>
              <w:t>1</w:t>
            </w:r>
            <w:r>
              <w:rPr>
                <w:rFonts w:hint="eastAsia" w:ascii="方正仿宋_GBK" w:hAnsi="方正仿宋_GBK" w:eastAsia="方正仿宋_GBK" w:cs="方正仿宋_GBK"/>
                <w:color w:val="auto"/>
                <w:sz w:val="24"/>
                <w:highlight w:val="none"/>
              </w:rPr>
              <w:t>份，副本</w:t>
            </w:r>
            <w:r>
              <w:rPr>
                <w:rFonts w:hint="eastAsia" w:ascii="方正仿宋_GBK" w:hAnsi="方正仿宋_GBK" w:eastAsia="方正仿宋_GBK" w:cs="方正仿宋_GBK"/>
                <w:color w:val="auto"/>
                <w:sz w:val="24"/>
                <w:highlight w:val="none"/>
                <w:lang w:val="en-US" w:eastAsia="zh-CN"/>
              </w:rPr>
              <w:t>1</w:t>
            </w:r>
            <w:r>
              <w:rPr>
                <w:rFonts w:hint="eastAsia" w:ascii="方正仿宋_GBK" w:hAnsi="方正仿宋_GBK" w:eastAsia="方正仿宋_GBK" w:cs="方正仿宋_GBK"/>
                <w:color w:val="auto"/>
                <w:sz w:val="24"/>
                <w:highlight w:val="none"/>
              </w:rPr>
              <w:t>份</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提供盖章版文件扫描件1份（以U盘形式装入投标文件袋）</w:t>
            </w:r>
            <w:r>
              <w:rPr>
                <w:rFonts w:hint="eastAsia" w:ascii="方正仿宋_GBK" w:hAnsi="方正仿宋_GBK" w:eastAsia="方正仿宋_GBK" w:cs="方正仿宋_GBK"/>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1" w:hRule="exact"/>
        </w:trPr>
        <w:tc>
          <w:tcPr>
            <w:tcW w:w="2235" w:type="dxa"/>
            <w:gridSpan w:val="2"/>
            <w:vMerge w:val="restart"/>
            <w:vAlign w:val="center"/>
          </w:tcPr>
          <w:p>
            <w:pPr>
              <w:spacing w:line="440" w:lineRule="exact"/>
              <w:jc w:val="center"/>
              <w:rPr>
                <w:rFonts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bCs/>
                <w:color w:val="auto"/>
                <w:sz w:val="24"/>
                <w:highlight w:val="none"/>
              </w:rPr>
              <w:t>限价及</w:t>
            </w:r>
          </w:p>
          <w:p>
            <w:pPr>
              <w:spacing w:line="440" w:lineRule="exact"/>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报价要求</w:t>
            </w:r>
          </w:p>
        </w:tc>
        <w:tc>
          <w:tcPr>
            <w:tcW w:w="7229" w:type="dxa"/>
            <w:gridSpan w:val="3"/>
            <w:vAlign w:val="center"/>
          </w:tcPr>
          <w:p>
            <w:pPr>
              <w:spacing w:line="440" w:lineRule="exact"/>
              <w:ind w:firstLine="560"/>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限价：</w:t>
            </w:r>
            <w:r>
              <w:rPr>
                <w:rFonts w:hint="eastAsia" w:ascii="Times New Roman" w:hAnsi="Times New Roman" w:eastAsia="方正仿宋_GBK" w:cstheme="minorBidi"/>
                <w:color w:val="auto"/>
                <w:kern w:val="0"/>
                <w:sz w:val="24"/>
                <w:szCs w:val="24"/>
                <w:highlight w:val="none"/>
                <w:lang w:val="en-US" w:eastAsia="zh-CN"/>
              </w:rPr>
              <w:t>本次招标项目合同不含税最高限价</w:t>
            </w:r>
            <w:r>
              <w:rPr>
                <w:rFonts w:hint="eastAsia" w:ascii="方正仿宋_GBK" w:hAnsi="方正仿宋_GBK" w:eastAsia="方正仿宋_GBK" w:cs="方正仿宋_GBK"/>
                <w:color w:val="auto"/>
                <w:sz w:val="24"/>
                <w:highlight w:val="none"/>
                <w:u w:val="single"/>
              </w:rPr>
              <w:t>431000</w:t>
            </w:r>
            <w:r>
              <w:rPr>
                <w:rFonts w:hint="eastAsia" w:ascii="方正仿宋_GBK" w:hAnsi="方正仿宋_GBK" w:eastAsia="方正仿宋_GBK" w:cs="方正仿宋_GBK"/>
                <w:color w:val="auto"/>
                <w:sz w:val="24"/>
                <w:highlight w:val="none"/>
                <w:u w:val="single"/>
                <w:lang w:val="en-US" w:eastAsia="zh-CN"/>
              </w:rPr>
              <w:t>.00</w:t>
            </w:r>
            <w:r>
              <w:rPr>
                <w:rFonts w:hint="eastAsia" w:ascii="方正仿宋_GBK" w:hAnsi="方正仿宋_GBK" w:eastAsia="方正仿宋_GBK" w:cs="方正仿宋_GBK"/>
                <w:color w:val="auto"/>
                <w:sz w:val="24"/>
                <w:highlight w:val="none"/>
                <w:u w:val="single"/>
              </w:rPr>
              <w:t xml:space="preserve"> </w:t>
            </w:r>
            <w:r>
              <w:rPr>
                <w:rFonts w:hint="eastAsia" w:ascii="方正仿宋_GBK" w:hAnsi="方正仿宋_GBK" w:eastAsia="方正仿宋_GBK" w:cs="方正仿宋_GBK"/>
                <w:color w:val="auto"/>
                <w:sz w:val="24"/>
                <w:highlight w:val="none"/>
              </w:rPr>
              <w:t>元</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rPr>
              <w:t>需出具增值税专用发票），本次报价以不含税价为一次性最终报价，不再议价。请比选被邀请人根据自身情况自主报价，报价超过该限价的视为自愿放弃资格。如出现报价金额相同情况，则需现场第二次报价，直至价格出现差异为止。</w:t>
            </w:r>
          </w:p>
          <w:p>
            <w:pPr>
              <w:spacing w:line="440" w:lineRule="exact"/>
              <w:rPr>
                <w:rFonts w:ascii="方正仿宋_GBK" w:hAnsi="方正仿宋_GBK" w:eastAsia="方正仿宋_GBK" w:cs="方正仿宋_GBK"/>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5" w:hRule="exact"/>
        </w:trPr>
        <w:tc>
          <w:tcPr>
            <w:tcW w:w="2235" w:type="dxa"/>
            <w:gridSpan w:val="2"/>
            <w:vMerge w:val="continue"/>
            <w:vAlign w:val="center"/>
          </w:tcPr>
          <w:p>
            <w:pPr>
              <w:spacing w:line="440" w:lineRule="exact"/>
              <w:jc w:val="center"/>
              <w:rPr>
                <w:rFonts w:ascii="方正仿宋_GBK" w:hAnsi="方正仿宋_GBK" w:eastAsia="方正仿宋_GBK" w:cs="方正仿宋_GBK"/>
                <w:color w:val="auto"/>
                <w:sz w:val="24"/>
                <w:highlight w:val="none"/>
              </w:rPr>
            </w:pPr>
          </w:p>
        </w:tc>
        <w:tc>
          <w:tcPr>
            <w:tcW w:w="7229" w:type="dxa"/>
            <w:gridSpan w:val="3"/>
            <w:vAlign w:val="center"/>
          </w:tcPr>
          <w:p>
            <w:pPr>
              <w:spacing w:line="440" w:lineRule="exact"/>
              <w:ind w:firstLine="560"/>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比选报价要求：本次比选报价为包干固定总价，包含但不限于人工费、材料费、机械费、企业管理费、利润、风险费用、检测费、措施费、安全文明施工费、</w:t>
            </w:r>
            <w:r>
              <w:rPr>
                <w:rFonts w:hint="eastAsia" w:ascii="方正仿宋_GBK" w:hAnsi="方正仿宋_GBK" w:eastAsia="方正仿宋_GBK" w:cs="方正仿宋_GBK"/>
                <w:color w:val="auto"/>
                <w:sz w:val="24"/>
                <w:highlight w:val="none"/>
                <w:lang w:eastAsia="zh-CN"/>
              </w:rPr>
              <w:t>应急作业补偿费</w:t>
            </w:r>
            <w:r>
              <w:rPr>
                <w:rFonts w:hint="eastAsia" w:ascii="方正仿宋_GBK" w:hAnsi="方正仿宋_GBK" w:eastAsia="方正仿宋_GBK" w:cs="方正仿宋_GBK"/>
                <w:color w:val="auto"/>
                <w:sz w:val="24"/>
                <w:highlight w:val="none"/>
              </w:rPr>
              <w:t>、水电费、垃圾清运费弃渣费、规费、税金以及本工程验收、材料涨价、不可预计未列出的风险等所有费用。结算时不论清掏现场实际现状条件是否与报价相符结算总价均不作任何调整</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乙方违约除外）</w:t>
            </w:r>
            <w:r>
              <w:rPr>
                <w:rFonts w:hint="eastAsia" w:ascii="方正仿宋_GBK" w:hAnsi="方正仿宋_GBK" w:eastAsia="方正仿宋_GBK" w:cs="方正仿宋_GBK"/>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9" w:hRule="exact"/>
        </w:trPr>
        <w:tc>
          <w:tcPr>
            <w:tcW w:w="2235" w:type="dxa"/>
            <w:gridSpan w:val="2"/>
            <w:vAlign w:val="center"/>
          </w:tcPr>
          <w:p>
            <w:pPr>
              <w:spacing w:line="440" w:lineRule="exact"/>
              <w:jc w:val="center"/>
              <w:rPr>
                <w:rFonts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bCs/>
                <w:color w:val="auto"/>
                <w:sz w:val="24"/>
                <w:highlight w:val="none"/>
                <w:lang w:val="en-US" w:eastAsia="zh-CN"/>
              </w:rPr>
              <w:t>投标</w:t>
            </w:r>
            <w:r>
              <w:rPr>
                <w:rFonts w:ascii="方正仿宋_GBK" w:hAnsi="方正仿宋_GBK" w:eastAsia="方正仿宋_GBK" w:cs="方正仿宋_GBK"/>
                <w:b/>
                <w:bCs/>
                <w:color w:val="auto"/>
                <w:sz w:val="24"/>
                <w:highlight w:val="none"/>
              </w:rPr>
              <w:t>保证金</w:t>
            </w:r>
          </w:p>
        </w:tc>
        <w:tc>
          <w:tcPr>
            <w:tcW w:w="7229" w:type="dxa"/>
            <w:gridSpan w:val="3"/>
            <w:vAlign w:val="center"/>
          </w:tcPr>
          <w:p>
            <w:pPr>
              <w:spacing w:line="440" w:lineRule="exact"/>
              <w:ind w:firstLine="560"/>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本次比选</w:t>
            </w:r>
            <w:r>
              <w:rPr>
                <w:rFonts w:hint="eastAsia" w:ascii="方正仿宋_GBK" w:hAnsi="方正仿宋_GBK" w:eastAsia="方正仿宋_GBK" w:cs="方正仿宋_GBK"/>
                <w:color w:val="auto"/>
                <w:sz w:val="24"/>
                <w:highlight w:val="none"/>
                <w:lang w:val="en-US" w:eastAsia="zh-CN"/>
              </w:rPr>
              <w:t>投标人</w:t>
            </w:r>
            <w:r>
              <w:rPr>
                <w:rFonts w:hint="eastAsia" w:ascii="方正仿宋_GBK" w:hAnsi="方正仿宋_GBK" w:eastAsia="方正仿宋_GBK" w:cs="方正仿宋_GBK"/>
                <w:color w:val="auto"/>
                <w:sz w:val="24"/>
                <w:highlight w:val="none"/>
              </w:rPr>
              <w:t>需于</w:t>
            </w:r>
            <w:r>
              <w:rPr>
                <w:rFonts w:hint="eastAsia" w:ascii="方正仿宋_GBK" w:hAnsi="方正仿宋_GBK" w:eastAsia="方正仿宋_GBK" w:cs="方正仿宋_GBK"/>
                <w:color w:val="auto"/>
                <w:sz w:val="24"/>
                <w:highlight w:val="none"/>
                <w:lang w:val="en-US" w:eastAsia="zh-CN"/>
              </w:rPr>
              <w:t>12</w:t>
            </w:r>
            <w:r>
              <w:rPr>
                <w:rFonts w:hint="eastAsia" w:ascii="方正仿宋_GBK" w:hAnsi="方正仿宋_GBK" w:eastAsia="方正仿宋_GBK" w:cs="方正仿宋_GBK"/>
                <w:color w:val="auto"/>
                <w:sz w:val="24"/>
                <w:highlight w:val="none"/>
              </w:rPr>
              <w:t>月</w:t>
            </w:r>
            <w:r>
              <w:rPr>
                <w:rFonts w:hint="eastAsia" w:ascii="方正仿宋_GBK" w:hAnsi="方正仿宋_GBK" w:eastAsia="方正仿宋_GBK" w:cs="方正仿宋_GBK"/>
                <w:color w:val="auto"/>
                <w:sz w:val="24"/>
                <w:highlight w:val="none"/>
                <w:lang w:val="en-US" w:eastAsia="zh-CN"/>
              </w:rPr>
              <w:t>31</w:t>
            </w:r>
            <w:r>
              <w:rPr>
                <w:rFonts w:hint="eastAsia" w:ascii="方正仿宋_GBK" w:hAnsi="方正仿宋_GBK" w:eastAsia="方正仿宋_GBK" w:cs="方正仿宋_GBK"/>
                <w:color w:val="auto"/>
                <w:sz w:val="24"/>
                <w:highlight w:val="none"/>
              </w:rPr>
              <w:t>日</w:t>
            </w:r>
            <w:r>
              <w:rPr>
                <w:rFonts w:hint="eastAsia" w:ascii="方正仿宋_GBK" w:hAnsi="方正仿宋_GBK" w:eastAsia="方正仿宋_GBK" w:cs="方正仿宋_GBK"/>
                <w:color w:val="auto"/>
                <w:sz w:val="24"/>
                <w:highlight w:val="none"/>
                <w:lang w:val="en-US" w:eastAsia="zh-CN"/>
              </w:rPr>
              <w:t>11</w:t>
            </w:r>
            <w:r>
              <w:rPr>
                <w:rFonts w:hint="eastAsia" w:ascii="方正仿宋_GBK" w:hAnsi="方正仿宋_GBK" w:eastAsia="方正仿宋_GBK" w:cs="方正仿宋_GBK"/>
                <w:color w:val="auto"/>
                <w:sz w:val="24"/>
                <w:highlight w:val="none"/>
              </w:rPr>
              <w:t>时</w:t>
            </w:r>
            <w:r>
              <w:rPr>
                <w:rFonts w:hint="eastAsia" w:ascii="方正仿宋_GBK" w:hAnsi="方正仿宋_GBK" w:eastAsia="方正仿宋_GBK" w:cs="方正仿宋_GBK"/>
                <w:color w:val="auto"/>
                <w:sz w:val="24"/>
                <w:highlight w:val="none"/>
                <w:lang w:val="en-US" w:eastAsia="zh-CN"/>
              </w:rPr>
              <w:t>00</w:t>
            </w:r>
            <w:r>
              <w:rPr>
                <w:rFonts w:hint="eastAsia" w:ascii="方正仿宋_GBK" w:hAnsi="方正仿宋_GBK" w:eastAsia="方正仿宋_GBK" w:cs="方正仿宋_GBK"/>
                <w:color w:val="auto"/>
                <w:sz w:val="24"/>
                <w:highlight w:val="none"/>
              </w:rPr>
              <w:t>分</w:t>
            </w:r>
            <w:r>
              <w:rPr>
                <w:rFonts w:hint="eastAsia" w:ascii="方正仿宋_GBK" w:hAnsi="方正仿宋_GBK" w:eastAsia="方正仿宋_GBK" w:cs="方正仿宋_GBK"/>
                <w:color w:val="auto"/>
                <w:sz w:val="24"/>
                <w:highlight w:val="none"/>
                <w:lang w:eastAsia="zh-CN"/>
              </w:rPr>
              <w:t>前</w:t>
            </w:r>
            <w:r>
              <w:rPr>
                <w:rFonts w:hint="eastAsia" w:ascii="方正仿宋_GBK" w:hAnsi="方正仿宋_GBK" w:eastAsia="方正仿宋_GBK" w:cs="方正仿宋_GBK"/>
                <w:color w:val="auto"/>
                <w:sz w:val="24"/>
                <w:highlight w:val="none"/>
              </w:rPr>
              <w:t>缴纳</w:t>
            </w:r>
            <w:r>
              <w:rPr>
                <w:rFonts w:hint="eastAsia" w:ascii="方正仿宋_GBK" w:hAnsi="方正仿宋_GBK" w:eastAsia="方正仿宋_GBK" w:cs="方正仿宋_GBK"/>
                <w:color w:val="auto"/>
                <w:sz w:val="24"/>
                <w:highlight w:val="none"/>
                <w:lang w:val="en-US" w:eastAsia="zh-CN"/>
              </w:rPr>
              <w:t>5万</w:t>
            </w:r>
            <w:r>
              <w:rPr>
                <w:rFonts w:hint="eastAsia" w:ascii="方正仿宋_GBK" w:hAnsi="方正仿宋_GBK" w:eastAsia="方正仿宋_GBK" w:cs="方正仿宋_GBK"/>
                <w:color w:val="auto"/>
                <w:sz w:val="24"/>
                <w:highlight w:val="none"/>
              </w:rPr>
              <w:t>元的比选保证金到我司账户，并在汇款时备注“轨道</w:t>
            </w:r>
            <w:r>
              <w:rPr>
                <w:rFonts w:hint="eastAsia" w:ascii="方正仿宋_GBK" w:hAnsi="方正仿宋_GBK" w:eastAsia="方正仿宋_GBK" w:cs="方正仿宋_GBK"/>
                <w:color w:val="auto"/>
                <w:sz w:val="24"/>
                <w:highlight w:val="none"/>
                <w:lang w:val="en-US" w:eastAsia="zh-CN"/>
              </w:rPr>
              <w:t>2</w:t>
            </w:r>
            <w:r>
              <w:rPr>
                <w:rFonts w:hint="eastAsia" w:ascii="方正仿宋_GBK" w:hAnsi="方正仿宋_GBK" w:eastAsia="方正仿宋_GBK" w:cs="方正仿宋_GBK"/>
                <w:color w:val="auto"/>
                <w:sz w:val="24"/>
                <w:highlight w:val="none"/>
              </w:rPr>
              <w:t>号线</w:t>
            </w:r>
            <w:r>
              <w:rPr>
                <w:rFonts w:hint="eastAsia" w:ascii="方正仿宋_GBK" w:hAnsi="方正仿宋_GBK" w:eastAsia="方正仿宋_GBK" w:cs="方正仿宋_GBK"/>
                <w:color w:val="auto"/>
                <w:sz w:val="24"/>
                <w:highlight w:val="none"/>
                <w:lang w:eastAsia="zh-CN"/>
              </w:rPr>
              <w:t>轨行区、沟渠池井清掏冲洗抽排</w:t>
            </w:r>
            <w:r>
              <w:rPr>
                <w:rFonts w:hint="eastAsia" w:ascii="方正仿宋_GBK" w:hAnsi="方正仿宋_GBK" w:eastAsia="方正仿宋_GBK" w:cs="方正仿宋_GBK"/>
                <w:color w:val="auto"/>
                <w:sz w:val="24"/>
                <w:highlight w:val="none"/>
                <w:lang w:val="en-US" w:eastAsia="zh-CN"/>
              </w:rPr>
              <w:t>投标</w:t>
            </w:r>
            <w:r>
              <w:rPr>
                <w:rFonts w:hint="eastAsia" w:ascii="方正仿宋_GBK" w:hAnsi="方正仿宋_GBK" w:eastAsia="方正仿宋_GBK" w:cs="方正仿宋_GBK"/>
                <w:color w:val="auto"/>
                <w:sz w:val="24"/>
                <w:highlight w:val="none"/>
              </w:rPr>
              <w:t>保证金”。如未中选，我司将在</w:t>
            </w:r>
            <w:r>
              <w:rPr>
                <w:rFonts w:hint="eastAsia" w:ascii="方正仿宋_GBK" w:hAnsi="方正仿宋_GBK" w:eastAsia="方正仿宋_GBK" w:cs="方正仿宋_GBK"/>
                <w:color w:val="auto"/>
                <w:sz w:val="24"/>
                <w:highlight w:val="none"/>
                <w:lang w:val="en-US" w:eastAsia="zh-CN"/>
              </w:rPr>
              <w:t>比选结束后15</w:t>
            </w:r>
            <w:r>
              <w:rPr>
                <w:rFonts w:hint="eastAsia" w:ascii="方正仿宋_GBK" w:hAnsi="方正仿宋_GBK" w:eastAsia="方正仿宋_GBK" w:cs="方正仿宋_GBK"/>
                <w:color w:val="auto"/>
                <w:sz w:val="24"/>
                <w:highlight w:val="none"/>
              </w:rPr>
              <w:t>个工作日内</w:t>
            </w:r>
            <w:r>
              <w:rPr>
                <w:rFonts w:hint="eastAsia" w:ascii="方正仿宋_GBK" w:hAnsi="方正仿宋_GBK" w:eastAsia="方正仿宋_GBK" w:cs="方正仿宋_GBK"/>
                <w:color w:val="auto"/>
                <w:sz w:val="24"/>
                <w:highlight w:val="none"/>
                <w:lang w:val="en-US" w:eastAsia="zh-CN"/>
              </w:rPr>
              <w:t>无息</w:t>
            </w:r>
            <w:r>
              <w:rPr>
                <w:rFonts w:hint="eastAsia" w:ascii="方正仿宋_GBK" w:hAnsi="方正仿宋_GBK" w:eastAsia="方正仿宋_GBK" w:cs="方正仿宋_GBK"/>
                <w:color w:val="auto"/>
                <w:sz w:val="24"/>
                <w:highlight w:val="none"/>
              </w:rPr>
              <w:t>退回，如中选将自动纳入履约保证金。</w:t>
            </w:r>
          </w:p>
          <w:p>
            <w:pPr>
              <w:spacing w:line="440" w:lineRule="exact"/>
              <w:ind w:firstLine="560"/>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公司名称：重庆通邑物业管理有限公司</w:t>
            </w:r>
          </w:p>
          <w:p>
            <w:pPr>
              <w:spacing w:line="440" w:lineRule="exact"/>
              <w:ind w:firstLine="560"/>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社会信用代码：915000003460632872</w:t>
            </w:r>
          </w:p>
          <w:p>
            <w:pPr>
              <w:spacing w:line="440" w:lineRule="exact"/>
              <w:ind w:firstLine="560"/>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账号：695138171</w:t>
            </w:r>
          </w:p>
          <w:p>
            <w:pPr>
              <w:spacing w:line="440" w:lineRule="exact"/>
              <w:ind w:firstLine="560"/>
              <w:rPr>
                <w:rFonts w:ascii="方正仿宋_GBK" w:hAnsi="方正仿宋_GBK" w:eastAsia="方正仿宋_GBK" w:cs="方正仿宋_GBK"/>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3" w:hRule="exact"/>
        </w:trPr>
        <w:tc>
          <w:tcPr>
            <w:tcW w:w="2235" w:type="dxa"/>
            <w:gridSpan w:val="2"/>
            <w:vAlign w:val="center"/>
          </w:tcPr>
          <w:p>
            <w:pPr>
              <w:spacing w:line="440" w:lineRule="exact"/>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费用支付方式</w:t>
            </w:r>
          </w:p>
        </w:tc>
        <w:tc>
          <w:tcPr>
            <w:tcW w:w="7229" w:type="dxa"/>
            <w:gridSpan w:val="3"/>
            <w:vAlign w:val="center"/>
          </w:tcPr>
          <w:p>
            <w:pPr>
              <w:spacing w:line="440" w:lineRule="exact"/>
              <w:ind w:firstLine="560"/>
              <w:rPr>
                <w:rFonts w:hint="eastAsia" w:ascii="方正仿宋_GBK" w:hAnsi="方正仿宋_GBK" w:cs="方正仿宋_GBK" w:eastAsiaTheme="minorEastAsia"/>
                <w:color w:val="auto"/>
                <w:sz w:val="24"/>
                <w:highlight w:val="none"/>
                <w:lang w:eastAsia="zh-CN"/>
              </w:rPr>
            </w:pPr>
            <w:r>
              <w:rPr>
                <w:rFonts w:hint="eastAsia" w:ascii="方正仿宋_GBK" w:hAnsi="方正仿宋_GBK" w:eastAsia="方正仿宋_GBK" w:cs="方正仿宋_GBK"/>
                <w:color w:val="auto"/>
                <w:sz w:val="24"/>
                <w:szCs w:val="24"/>
                <w:highlight w:val="none"/>
                <w:lang w:val="en-US" w:eastAsia="zh-CN"/>
              </w:rPr>
              <w:t>通过转账方式付款，</w:t>
            </w:r>
            <w:r>
              <w:rPr>
                <w:rFonts w:hint="eastAsia" w:ascii="方正仿宋_GBK" w:hAnsi="方正仿宋_GBK" w:eastAsia="方正仿宋_GBK" w:cs="方正仿宋_GBK"/>
                <w:color w:val="auto"/>
                <w:sz w:val="24"/>
                <w:szCs w:val="24"/>
                <w:highlight w:val="none"/>
              </w:rPr>
              <w:t>隧道排水沟清掏、隧道冲洗、隧道排水设施清掏垃圾清运及二次转运</w:t>
            </w:r>
            <w:r>
              <w:rPr>
                <w:rFonts w:hint="eastAsia" w:ascii="方正仿宋_GBK" w:hAnsi="方正仿宋_GBK" w:eastAsia="方正仿宋_GBK" w:cs="方正仿宋_GBK"/>
                <w:color w:val="auto"/>
                <w:sz w:val="24"/>
                <w:szCs w:val="24"/>
                <w:highlight w:val="none"/>
                <w:lang w:val="en-US" w:eastAsia="zh-CN"/>
              </w:rPr>
              <w:t>项目服务费用按次支付</w:t>
            </w:r>
            <w:r>
              <w:rPr>
                <w:rFonts w:hint="eastAsia" w:ascii="方正仿宋_GBK" w:hAnsi="方正仿宋_GBK" w:eastAsia="方正仿宋_GBK" w:cs="方正仿宋_GBK"/>
                <w:color w:val="auto"/>
                <w:sz w:val="24"/>
                <w:szCs w:val="24"/>
                <w:highlight w:val="none"/>
              </w:rPr>
              <w:t>，每</w:t>
            </w:r>
            <w:r>
              <w:rPr>
                <w:rFonts w:hint="eastAsia" w:ascii="方正仿宋_GBK" w:hAnsi="方正仿宋_GBK" w:eastAsia="方正仿宋_GBK" w:cs="方正仿宋_GBK"/>
                <w:color w:val="auto"/>
                <w:sz w:val="24"/>
                <w:szCs w:val="24"/>
                <w:highlight w:val="none"/>
                <w:lang w:val="en-US" w:eastAsia="zh-CN"/>
              </w:rPr>
              <w:t>次应付金额计算方式为</w:t>
            </w:r>
            <w:r>
              <w:rPr>
                <w:rFonts w:hint="eastAsia" w:ascii="方正仿宋_GBK" w:hAnsi="方正仿宋_GBK" w:eastAsia="方正仿宋_GBK" w:cs="方正仿宋_GBK"/>
                <w:color w:val="auto"/>
                <w:sz w:val="24"/>
                <w:szCs w:val="24"/>
                <w:highlight w:val="none"/>
              </w:rPr>
              <w:t>甲方验收确认的实际工程量乘以单价。乙方应向甲方提交支付申请，并提供符合甲方要求的、合法</w:t>
            </w:r>
            <w:r>
              <w:rPr>
                <w:rFonts w:hint="eastAsia" w:ascii="方正仿宋_GBK" w:hAnsi="方正仿宋_GBK" w:eastAsia="方正仿宋_GBK" w:cs="方正仿宋_GBK"/>
                <w:color w:val="auto"/>
                <w:sz w:val="24"/>
                <w:szCs w:val="24"/>
                <w:highlight w:val="none"/>
                <w:lang w:val="en-US" w:eastAsia="zh-CN"/>
              </w:rPr>
              <w:t>等额</w:t>
            </w:r>
            <w:r>
              <w:rPr>
                <w:rFonts w:hint="eastAsia" w:ascii="方正仿宋_GBK" w:hAnsi="方正仿宋_GBK" w:eastAsia="方正仿宋_GBK" w:cs="方正仿宋_GBK"/>
                <w:color w:val="auto"/>
                <w:sz w:val="24"/>
                <w:szCs w:val="24"/>
                <w:highlight w:val="none"/>
              </w:rPr>
              <w:t>增值税专用发票，如乙方未提交发票的，甲方有权推迟付款直至乙方提交符合甲方要求的、合法</w:t>
            </w:r>
            <w:r>
              <w:rPr>
                <w:rFonts w:hint="eastAsia" w:ascii="方正仿宋_GBK" w:hAnsi="方正仿宋_GBK" w:eastAsia="方正仿宋_GBK" w:cs="方正仿宋_GBK"/>
                <w:color w:val="auto"/>
                <w:sz w:val="24"/>
                <w:szCs w:val="24"/>
                <w:highlight w:val="none"/>
                <w:lang w:val="en-US" w:eastAsia="zh-CN"/>
              </w:rPr>
              <w:t>等额</w:t>
            </w:r>
            <w:r>
              <w:rPr>
                <w:rFonts w:hint="eastAsia" w:ascii="方正仿宋_GBK" w:hAnsi="方正仿宋_GBK" w:eastAsia="方正仿宋_GBK" w:cs="方正仿宋_GBK"/>
                <w:color w:val="auto"/>
                <w:sz w:val="24"/>
                <w:szCs w:val="24"/>
                <w:highlight w:val="none"/>
              </w:rPr>
              <w:t>增值税专用发票，且无需承担违约责任。本合同执行过程</w:t>
            </w:r>
            <w:r>
              <w:rPr>
                <w:rFonts w:hint="eastAsia" w:ascii="方正仿宋_GBK" w:hAnsi="方正仿宋_GBK" w:eastAsia="方正仿宋_GBK" w:cs="方正仿宋_GBK"/>
                <w:color w:val="auto"/>
                <w:sz w:val="24"/>
                <w:szCs w:val="24"/>
                <w:highlight w:val="none"/>
                <w:lang w:val="en-US" w:eastAsia="zh-CN"/>
              </w:rPr>
              <w:t>中</w:t>
            </w:r>
            <w:r>
              <w:rPr>
                <w:rFonts w:hint="eastAsia" w:ascii="方正仿宋_GBK" w:hAnsi="方正仿宋_GBK" w:eastAsia="方正仿宋_GBK" w:cs="方正仿宋_GBK"/>
                <w:color w:val="auto"/>
                <w:sz w:val="24"/>
                <w:szCs w:val="24"/>
                <w:highlight w:val="none"/>
              </w:rPr>
              <w:t>，所有</w:t>
            </w:r>
            <w:r>
              <w:rPr>
                <w:rFonts w:hint="eastAsia" w:ascii="方正仿宋_GBK" w:hAnsi="方正仿宋_GBK" w:eastAsia="方正仿宋_GBK" w:cs="方正仿宋_GBK"/>
                <w:color w:val="auto"/>
                <w:sz w:val="24"/>
                <w:szCs w:val="24"/>
                <w:highlight w:val="none"/>
                <w:lang w:val="en-US" w:eastAsia="zh-CN"/>
              </w:rPr>
              <w:t>的</w:t>
            </w:r>
            <w:r>
              <w:rPr>
                <w:rFonts w:hint="eastAsia" w:ascii="方正仿宋_GBK" w:hAnsi="方正仿宋_GBK" w:eastAsia="方正仿宋_GBK" w:cs="方正仿宋_GBK"/>
                <w:color w:val="auto"/>
                <w:sz w:val="24"/>
                <w:szCs w:val="24"/>
                <w:highlight w:val="none"/>
              </w:rPr>
              <w:t>考核、记录表单、事件处理书面文书须经双方代表签字认可，作为款项结算支付的依据</w:t>
            </w:r>
            <w:r>
              <w:rPr>
                <w:rFonts w:hint="eastAsia" w:ascii="方正仿宋_GBK" w:hAnsi="方正仿宋_GBK" w:eastAsia="方正仿宋_GBK" w:cs="方正仿宋_GBK"/>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2" w:hRule="exact"/>
        </w:trPr>
        <w:tc>
          <w:tcPr>
            <w:tcW w:w="2235" w:type="dxa"/>
            <w:gridSpan w:val="2"/>
            <w:vAlign w:val="center"/>
          </w:tcPr>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其他需告知被邀请人的要求</w:t>
            </w:r>
          </w:p>
        </w:tc>
        <w:tc>
          <w:tcPr>
            <w:tcW w:w="7229" w:type="dxa"/>
            <w:gridSpan w:val="3"/>
            <w:vAlign w:val="center"/>
          </w:tcPr>
          <w:p>
            <w:pPr>
              <w:spacing w:line="440" w:lineRule="exact"/>
              <w:ind w:left="239" w:leftChars="114" w:firstLine="240" w:firstLineChars="100"/>
              <w:rPr>
                <w:rFonts w:hint="eastAsia" w:ascii="方正仿宋_GBK" w:hAnsi="方正仿宋_GBK" w:eastAsia="方正仿宋_GBK" w:cs="方正仿宋_GBK"/>
                <w:color w:val="auto"/>
                <w:sz w:val="24"/>
                <w:highlight w:val="none"/>
                <w:lang w:eastAsia="zh-CN"/>
              </w:rPr>
            </w:pPr>
            <w:r>
              <w:rPr>
                <w:rFonts w:hint="eastAsia" w:ascii="方正仿宋_GBK" w:hAnsi="方正仿宋_GBK" w:eastAsia="方正仿宋_GBK" w:cs="方正仿宋_GBK"/>
                <w:color w:val="auto"/>
                <w:sz w:val="24"/>
                <w:highlight w:val="none"/>
              </w:rPr>
              <w:t>比选方需自行评估作业现场条件</w:t>
            </w:r>
            <w:r>
              <w:rPr>
                <w:rFonts w:hint="eastAsia" w:ascii="方正仿宋_GBK" w:hAnsi="方正仿宋_GBK" w:eastAsia="方正仿宋_GBK" w:cs="方正仿宋_GBK"/>
                <w:color w:val="auto"/>
                <w:sz w:val="24"/>
                <w:highlight w:val="none"/>
                <w:lang w:eastAsia="zh-CN"/>
              </w:rPr>
              <w:t>，中选单位需自行办理相关施工作业手续。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464" w:type="dxa"/>
            <w:gridSpan w:val="5"/>
            <w:vAlign w:val="center"/>
          </w:tcPr>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b/>
                <w:bCs/>
                <w:color w:val="auto"/>
                <w:sz w:val="24"/>
                <w:highlight w:val="none"/>
              </w:rPr>
              <w:t>三、比选方式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9" w:hRule="exact"/>
        </w:trPr>
        <w:tc>
          <w:tcPr>
            <w:tcW w:w="9464" w:type="dxa"/>
            <w:gridSpan w:val="5"/>
            <w:vAlign w:val="center"/>
          </w:tcPr>
          <w:p>
            <w:pPr>
              <w:numPr>
                <w:ilvl w:val="0"/>
                <w:numId w:val="1"/>
              </w:num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此次比选采用综合评估法，商务部分（30分）+技术部分（30分）+报价部分（40分）=此次比选分数，技术部分以评审小组成员平均分作为此部分的比选分数，以符合比选条件的被邀请单位得分最高的邀请单位为第一候选单位，对未中选情况不做解释。</w:t>
            </w:r>
          </w:p>
          <w:p>
            <w:pPr>
              <w:numPr>
                <w:ilvl w:val="0"/>
                <w:numId w:val="1"/>
              </w:num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被邀请单位请提前准备好资格审查原件及复印件，需要提前进行资格审查；</w:t>
            </w:r>
          </w:p>
          <w:p>
            <w:pPr>
              <w:numPr>
                <w:ilvl w:val="0"/>
                <w:numId w:val="1"/>
              </w:num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比选各方人员在公司纪检人员的见证下当众开启密封文件；</w:t>
            </w:r>
          </w:p>
          <w:p>
            <w:pPr>
              <w:numPr>
                <w:ilvl w:val="0"/>
                <w:numId w:val="1"/>
              </w:num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分别查验响应性文件，宣读报价书，再让评委小组分别进行打分依次得出被邀请单位的最终得分；</w:t>
            </w:r>
          </w:p>
          <w:p>
            <w:pPr>
              <w:spacing w:line="440" w:lineRule="exact"/>
              <w:rPr>
                <w:rFonts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color w:val="auto"/>
                <w:sz w:val="24"/>
                <w:highlight w:val="none"/>
              </w:rPr>
              <w:t>5、委托代理人签字确认报价，比选小组对项目报价、工期、材料准备时间、施工配合、安全文明施工、费用支付等情况进行详细比选并进行记录。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229" w:type="dxa"/>
            <w:vMerge w:val="restart"/>
            <w:vAlign w:val="center"/>
          </w:tcPr>
          <w:p>
            <w:pPr>
              <w:rPr>
                <w:rFonts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bCs/>
                <w:color w:val="auto"/>
                <w:sz w:val="24"/>
                <w:highlight w:val="none"/>
              </w:rPr>
              <w:t>商务部分评分标准（满分30分）</w:t>
            </w:r>
          </w:p>
        </w:tc>
        <w:tc>
          <w:tcPr>
            <w:tcW w:w="1281" w:type="dxa"/>
            <w:gridSpan w:val="2"/>
            <w:vAlign w:val="center"/>
          </w:tcPr>
          <w:p>
            <w:p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投标人业绩（9分）</w:t>
            </w:r>
          </w:p>
        </w:tc>
        <w:tc>
          <w:tcPr>
            <w:tcW w:w="5954" w:type="dxa"/>
            <w:gridSpan w:val="2"/>
            <w:vAlign w:val="center"/>
          </w:tcPr>
          <w:p>
            <w:pPr>
              <w:spacing w:line="360" w:lineRule="auto"/>
              <w:ind w:firstLine="480" w:firstLineChars="200"/>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提供2018年至今有清掏、冲洗、抽排等任一作业内容的单个合同金额超过50万元证明文件，每提供一个项目得3分，最高得分9分；（提供合同复印件、任意一次的付款发票及银行进账单复印件。）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trPr>
        <w:tc>
          <w:tcPr>
            <w:tcW w:w="2229" w:type="dxa"/>
            <w:vMerge w:val="continue"/>
            <w:vAlign w:val="center"/>
          </w:tcPr>
          <w:p>
            <w:pPr>
              <w:rPr>
                <w:rFonts w:ascii="方正仿宋_GBK" w:hAnsi="方正仿宋_GBK" w:eastAsia="方正仿宋_GBK" w:cs="方正仿宋_GBK"/>
                <w:b/>
                <w:bCs/>
                <w:color w:val="auto"/>
                <w:sz w:val="24"/>
                <w:highlight w:val="none"/>
              </w:rPr>
            </w:pPr>
          </w:p>
        </w:tc>
        <w:tc>
          <w:tcPr>
            <w:tcW w:w="1281" w:type="dxa"/>
            <w:gridSpan w:val="2"/>
            <w:vAlign w:val="center"/>
          </w:tcPr>
          <w:p>
            <w:p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企业体系认证（</w:t>
            </w:r>
            <w:r>
              <w:rPr>
                <w:rFonts w:ascii="方正仿宋_GBK" w:hAnsi="方正仿宋_GBK" w:eastAsia="方正仿宋_GBK" w:cs="方正仿宋_GBK"/>
                <w:color w:val="auto"/>
                <w:sz w:val="24"/>
                <w:highlight w:val="none"/>
              </w:rPr>
              <w:t>3</w:t>
            </w:r>
            <w:r>
              <w:rPr>
                <w:rFonts w:hint="eastAsia" w:ascii="方正仿宋_GBK" w:hAnsi="方正仿宋_GBK" w:eastAsia="方正仿宋_GBK" w:cs="方正仿宋_GBK"/>
                <w:color w:val="auto"/>
                <w:sz w:val="24"/>
                <w:highlight w:val="none"/>
              </w:rPr>
              <w:t>分）</w:t>
            </w:r>
          </w:p>
        </w:tc>
        <w:tc>
          <w:tcPr>
            <w:tcW w:w="5954" w:type="dxa"/>
            <w:gridSpan w:val="2"/>
            <w:vAlign w:val="center"/>
          </w:tcPr>
          <w:p>
            <w:p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投标人获得有效的质量管理体系认证、环境管理体系认证、职业健康安全管理体系认证，本项2分，未提供或不全的，不得分；社会责任管理体系认证、企业诚信管理体系认证，本项1分，未提供或不全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trPr>
        <w:tc>
          <w:tcPr>
            <w:tcW w:w="2229" w:type="dxa"/>
            <w:vMerge w:val="continue"/>
            <w:vAlign w:val="center"/>
          </w:tcPr>
          <w:p>
            <w:pPr>
              <w:rPr>
                <w:rFonts w:ascii="方正仿宋_GBK" w:hAnsi="方正仿宋_GBK" w:eastAsia="方正仿宋_GBK" w:cs="方正仿宋_GBK"/>
                <w:b/>
                <w:bCs/>
                <w:color w:val="auto"/>
                <w:sz w:val="24"/>
                <w:highlight w:val="none"/>
              </w:rPr>
            </w:pPr>
          </w:p>
        </w:tc>
        <w:tc>
          <w:tcPr>
            <w:tcW w:w="1281" w:type="dxa"/>
            <w:gridSpan w:val="2"/>
            <w:vAlign w:val="center"/>
          </w:tcPr>
          <w:p>
            <w:p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企业实力及荣誉（6分）</w:t>
            </w:r>
          </w:p>
        </w:tc>
        <w:tc>
          <w:tcPr>
            <w:tcW w:w="5954" w:type="dxa"/>
            <w:gridSpan w:val="2"/>
            <w:vAlign w:val="center"/>
          </w:tcPr>
          <w:p>
            <w:pPr>
              <w:numPr>
                <w:ilvl w:val="0"/>
                <w:numId w:val="2"/>
              </w:num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投标人依法纳税、税务信誉良好：2018-2020年度 连续3年获得税务部门颁发的A级纳税称号的得2分。</w:t>
            </w:r>
          </w:p>
          <w:p>
            <w:pPr>
              <w:numPr>
                <w:ilvl w:val="0"/>
                <w:numId w:val="2"/>
              </w:num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投标人化粪池、污水清掏能力强，持有省级及以上环卫主管部门或协会颁发的城市粪便污水经营性处理资质二级及以上的得2分。</w:t>
            </w:r>
          </w:p>
          <w:p>
            <w:pPr>
              <w:numPr>
                <w:ilvl w:val="0"/>
                <w:numId w:val="2"/>
              </w:num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投标人须具备国家级行业协会或机构颁发的高空服务业企业安全资质或高空清洗悬吊作业企业安全生产证书或高空外墙清洗服务企业资质或高空外墙清洁资质等级证书的得2分。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Height w:val="356" w:hRule="atLeast"/>
        </w:trPr>
        <w:tc>
          <w:tcPr>
            <w:tcW w:w="2229" w:type="dxa"/>
            <w:vMerge w:val="continue"/>
            <w:vAlign w:val="center"/>
          </w:tcPr>
          <w:p>
            <w:pPr>
              <w:rPr>
                <w:rFonts w:ascii="方正仿宋_GBK" w:hAnsi="方正仿宋_GBK" w:eastAsia="方正仿宋_GBK" w:cs="方正仿宋_GBK"/>
                <w:b/>
                <w:bCs/>
                <w:color w:val="auto"/>
                <w:sz w:val="24"/>
                <w:highlight w:val="none"/>
              </w:rPr>
            </w:pPr>
          </w:p>
        </w:tc>
        <w:tc>
          <w:tcPr>
            <w:tcW w:w="1281" w:type="dxa"/>
            <w:gridSpan w:val="2"/>
            <w:vAlign w:val="center"/>
          </w:tcPr>
          <w:p>
            <w:p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机具配置（6分）</w:t>
            </w:r>
          </w:p>
        </w:tc>
        <w:tc>
          <w:tcPr>
            <w:tcW w:w="5921" w:type="dxa"/>
            <w:vAlign w:val="center"/>
          </w:tcPr>
          <w:p>
            <w:pPr>
              <w:numPr>
                <w:ilvl w:val="0"/>
                <w:numId w:val="3"/>
              </w:num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投标人具有升降机，1辆以下0分，2-3辆1分，5辆及以上2分。</w:t>
            </w:r>
          </w:p>
          <w:p>
            <w:pPr>
              <w:numPr>
                <w:ilvl w:val="0"/>
                <w:numId w:val="3"/>
              </w:num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投标人具有高空作业车，1辆以下0分，2-3辆1分，5辆及以上2分。</w:t>
            </w:r>
          </w:p>
          <w:p>
            <w:p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3、投标人具有垃圾清运车，1辆以下0分，2-3辆1分，5辆及以上2分。</w:t>
            </w:r>
          </w:p>
          <w:p>
            <w:p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以上设备需提供购买发票，高空车还需提供行驶证和登记证。设备所属人非投标人不得分。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Height w:val="356" w:hRule="atLeast"/>
        </w:trPr>
        <w:tc>
          <w:tcPr>
            <w:tcW w:w="2229" w:type="dxa"/>
            <w:vMerge w:val="continue"/>
            <w:vAlign w:val="center"/>
          </w:tcPr>
          <w:p>
            <w:pPr>
              <w:rPr>
                <w:rFonts w:ascii="方正仿宋_GBK" w:hAnsi="方正仿宋_GBK" w:eastAsia="方正仿宋_GBK" w:cs="方正仿宋_GBK"/>
                <w:b/>
                <w:bCs/>
                <w:color w:val="auto"/>
                <w:sz w:val="24"/>
                <w:highlight w:val="none"/>
              </w:rPr>
            </w:pPr>
          </w:p>
        </w:tc>
        <w:tc>
          <w:tcPr>
            <w:tcW w:w="1281" w:type="dxa"/>
            <w:gridSpan w:val="2"/>
            <w:vAlign w:val="center"/>
          </w:tcPr>
          <w:p>
            <w:p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人员配置（6分）</w:t>
            </w:r>
          </w:p>
        </w:tc>
        <w:tc>
          <w:tcPr>
            <w:tcW w:w="5921" w:type="dxa"/>
            <w:vAlign w:val="center"/>
          </w:tcPr>
          <w:p>
            <w:p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1、本项目</w:t>
            </w:r>
            <w:r>
              <w:rPr>
                <w:rFonts w:hint="eastAsia" w:ascii="方正仿宋_GBK" w:hAnsi="方正仿宋_GBK" w:eastAsia="方正仿宋_GBK" w:cs="方正仿宋_GBK"/>
                <w:color w:val="auto"/>
                <w:sz w:val="24"/>
                <w:highlight w:val="none"/>
                <w:lang w:val="en-US" w:eastAsia="zh-CN"/>
              </w:rPr>
              <w:t>经理</w:t>
            </w:r>
            <w:r>
              <w:rPr>
                <w:rFonts w:hint="eastAsia" w:ascii="方正仿宋_GBK" w:hAnsi="方正仿宋_GBK" w:eastAsia="方正仿宋_GBK" w:cs="方正仿宋_GBK"/>
                <w:color w:val="auto"/>
                <w:sz w:val="24"/>
                <w:highlight w:val="none"/>
              </w:rPr>
              <w:t>具有本科管理学学士学位及以上学历</w:t>
            </w:r>
            <w:r>
              <w:rPr>
                <w:rFonts w:hint="eastAsia" w:ascii="方正仿宋_GBK" w:hAnsi="方正仿宋_GBK" w:eastAsia="方正仿宋_GBK" w:cs="方正仿宋_GBK"/>
                <w:color w:val="auto"/>
                <w:sz w:val="24"/>
                <w:highlight w:val="none"/>
                <w:lang w:eastAsia="zh-CN"/>
              </w:rPr>
              <w:t>并</w:t>
            </w:r>
            <w:r>
              <w:rPr>
                <w:rFonts w:hint="eastAsia" w:ascii="方正仿宋_GBK" w:hAnsi="方正仿宋_GBK" w:eastAsia="方正仿宋_GBK" w:cs="方正仿宋_GBK"/>
                <w:color w:val="auto"/>
                <w:sz w:val="24"/>
                <w:highlight w:val="none"/>
              </w:rPr>
              <w:t>具有行政管理部门颁发的综合类“安全培训合格证书”的得本项2分。</w:t>
            </w:r>
          </w:p>
          <w:p>
            <w:p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2、本项目安全负责人，具有行政管理部门颁发的“安全培训合格证书”和“现场救护培训合格证书”相关合格证。本项1分。</w:t>
            </w:r>
          </w:p>
          <w:p>
            <w:p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3、本项目配置高处作业人员3人，具有安全主管部门颁发的“高处作业”特种操作证书的得1分。</w:t>
            </w:r>
          </w:p>
          <w:p>
            <w:pPr>
              <w:spacing w:line="360" w:lineRule="auto"/>
              <w:rPr>
                <w:rFonts w:hint="eastAsia" w:ascii="方正仿宋_GBK" w:hAnsi="方正仿宋_GBK" w:eastAsia="方正仿宋_GBK" w:cs="方正仿宋_GBK"/>
                <w:color w:val="auto"/>
                <w:sz w:val="24"/>
                <w:highlight w:val="none"/>
                <w:lang w:eastAsia="zh-CN"/>
              </w:rPr>
            </w:pPr>
            <w:r>
              <w:rPr>
                <w:rFonts w:hint="eastAsia" w:ascii="方正仿宋_GBK" w:hAnsi="方正仿宋_GBK" w:eastAsia="方正仿宋_GBK" w:cs="方正仿宋_GBK"/>
                <w:color w:val="auto"/>
                <w:sz w:val="24"/>
                <w:highlight w:val="none"/>
              </w:rPr>
              <w:t>4、本项目配置具有国家省（直辖市）级安全生产培训证书和化粪池清掏维护专项职业能力证书6人，得2分。</w:t>
            </w:r>
          </w:p>
          <w:p>
            <w:p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 xml:space="preserve">    注：提供相对应的相关证书复印件并加盖投标人公章，同时须提供至投标截止时间6个月的连续社保证明材料复印件（个人），一人一张，含身份证号或社保号和参保基本情况、参保缴费明细（养老、医疗、工伤、失业保险）。未提供不参与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Height w:val="464" w:hRule="atLeast"/>
        </w:trPr>
        <w:tc>
          <w:tcPr>
            <w:tcW w:w="2229" w:type="dxa"/>
            <w:vMerge w:val="restart"/>
            <w:vAlign w:val="center"/>
          </w:tcPr>
          <w:p>
            <w:pPr>
              <w:rPr>
                <w:rFonts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bCs/>
                <w:color w:val="auto"/>
                <w:sz w:val="24"/>
                <w:highlight w:val="none"/>
              </w:rPr>
              <w:t>技术部分评分标准（满分30分）</w:t>
            </w:r>
          </w:p>
        </w:tc>
        <w:tc>
          <w:tcPr>
            <w:tcW w:w="1281" w:type="dxa"/>
            <w:gridSpan w:val="2"/>
            <w:vAlign w:val="center"/>
          </w:tcPr>
          <w:p>
            <w:p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整体服务方案和岗位配置（18分）</w:t>
            </w:r>
          </w:p>
        </w:tc>
        <w:tc>
          <w:tcPr>
            <w:tcW w:w="5921" w:type="dxa"/>
            <w:vAlign w:val="center"/>
          </w:tcPr>
          <w:p>
            <w:p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1、根据项目作业环境勘查情况是否详细、作业难点和整改措施的是否有针对性、可实施性等因素综合评分，内容齐全、符合实际、针对性强的计5分，内容齐全、符合实际的计2-5分，内容齐全的计1分，内容不齐全的计0分；</w:t>
            </w:r>
          </w:p>
          <w:p>
            <w:p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2、根据总体管理服务目标是否明确、管理模式是否科学、完整，进场安排是否具有可实施性、针对性等因素综合评分，内容齐全、符合实际、针对性强的计5分，内容齐全、符合实际的计2-5分，内容齐全的计1分，内容不齐全的计0分；</w:t>
            </w:r>
          </w:p>
          <w:p>
            <w:p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3、根据组织机构是否完整、机构设置是否合理性、岗位职责是否明确、人员培训机制是否健全、人员和设备配备是否齐全、作业排班是否合理等因素综合评分，内容齐全、符合实际、针对性强的计4分，内容齐全、符合实际的计3分，内容齐全的计2分，内容不齐全的计0分；</w:t>
            </w:r>
          </w:p>
          <w:p>
            <w:p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4、根据清扫保洁方案是否完整和明确，作业流程是否合理，是否符合作业规范等因素综合评分，内容齐全、符合实际、针对性强的计4分，内容齐全、符合实际的计1-4分，内容齐全的计1分，内容不齐全的计0分。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Height w:val="463" w:hRule="atLeast"/>
        </w:trPr>
        <w:tc>
          <w:tcPr>
            <w:tcW w:w="2229" w:type="dxa"/>
            <w:vMerge w:val="continue"/>
            <w:vAlign w:val="center"/>
          </w:tcPr>
          <w:p>
            <w:pPr>
              <w:rPr>
                <w:rFonts w:ascii="方正仿宋_GBK" w:hAnsi="方正仿宋_GBK" w:eastAsia="方正仿宋_GBK" w:cs="方正仿宋_GBK"/>
                <w:b/>
                <w:bCs/>
                <w:color w:val="auto"/>
                <w:sz w:val="24"/>
                <w:highlight w:val="none"/>
              </w:rPr>
            </w:pPr>
          </w:p>
        </w:tc>
        <w:tc>
          <w:tcPr>
            <w:tcW w:w="1281" w:type="dxa"/>
            <w:gridSpan w:val="2"/>
            <w:vAlign w:val="center"/>
          </w:tcPr>
          <w:p>
            <w:p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安全生产（6分）</w:t>
            </w:r>
          </w:p>
        </w:tc>
        <w:tc>
          <w:tcPr>
            <w:tcW w:w="5921" w:type="dxa"/>
            <w:vAlign w:val="center"/>
          </w:tcPr>
          <w:p>
            <w:p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 xml:space="preserve">    相关安全生产方案是否完善、文明作业制度、措施是否明确到位；安全保障设施设备是否满足作业需要；投标人是否对发生各类安全事故作善后处理承诺等因素综合评分，内容齐全符合实际、针对性强的计4-6分，内容齐全、符合实际的计2-4分，内容齐全的计2分，内容不齐全的计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Height w:val="463" w:hRule="atLeast"/>
        </w:trPr>
        <w:tc>
          <w:tcPr>
            <w:tcW w:w="2229" w:type="dxa"/>
            <w:vMerge w:val="continue"/>
            <w:vAlign w:val="center"/>
          </w:tcPr>
          <w:p>
            <w:pPr>
              <w:rPr>
                <w:rFonts w:ascii="方正仿宋_GBK" w:hAnsi="方正仿宋_GBK" w:eastAsia="方正仿宋_GBK" w:cs="方正仿宋_GBK"/>
                <w:b/>
                <w:bCs/>
                <w:color w:val="auto"/>
                <w:sz w:val="24"/>
                <w:highlight w:val="none"/>
              </w:rPr>
            </w:pPr>
          </w:p>
        </w:tc>
        <w:tc>
          <w:tcPr>
            <w:tcW w:w="1281" w:type="dxa"/>
            <w:gridSpan w:val="2"/>
            <w:vAlign w:val="center"/>
          </w:tcPr>
          <w:p>
            <w:p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应急保障（6分）</w:t>
            </w:r>
          </w:p>
        </w:tc>
        <w:tc>
          <w:tcPr>
            <w:tcW w:w="5921" w:type="dxa"/>
            <w:vAlign w:val="center"/>
          </w:tcPr>
          <w:p>
            <w:p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 xml:space="preserve">  根据针对突发污染、恶劣天气影响、等特殊情况制定相关保洁管护应急处置方案，包括机构是否完整、传达机制是否健全、责任分工是否明确、应急情况种类和处置流程是否齐全、人员安排和设备调配是否齐备等因素综合评分，内容齐全、符合实际、针对性强的计4-6分，内容齐全、符合实际的计2-4分，内容齐全的计2分，内容不齐全的计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Height w:val="624" w:hRule="atLeast"/>
        </w:trPr>
        <w:tc>
          <w:tcPr>
            <w:tcW w:w="2229" w:type="dxa"/>
            <w:vAlign w:val="center"/>
          </w:tcPr>
          <w:p>
            <w:pPr>
              <w:rPr>
                <w:rFonts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bCs/>
                <w:color w:val="auto"/>
                <w:sz w:val="24"/>
                <w:highlight w:val="none"/>
              </w:rPr>
              <w:t>投标报价评分标准（满分40分）</w:t>
            </w:r>
          </w:p>
        </w:tc>
        <w:tc>
          <w:tcPr>
            <w:tcW w:w="1281" w:type="dxa"/>
            <w:gridSpan w:val="2"/>
            <w:vAlign w:val="center"/>
          </w:tcPr>
          <w:p>
            <w:p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投标报价</w:t>
            </w:r>
          </w:p>
        </w:tc>
        <w:tc>
          <w:tcPr>
            <w:tcW w:w="5921" w:type="dxa"/>
            <w:vAlign w:val="center"/>
          </w:tcPr>
          <w:p>
            <w:pPr>
              <w:spacing w:line="360" w:lineRule="auto"/>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lang w:val="en-US" w:eastAsia="zh-CN"/>
              </w:rPr>
              <w:t>所有有效报价总价的平均值作为此次评标</w:t>
            </w:r>
            <w:r>
              <w:rPr>
                <w:rFonts w:hint="eastAsia" w:ascii="方正仿宋_GBK" w:hAnsi="方正仿宋_GBK" w:eastAsia="方正仿宋_GBK" w:cs="方正仿宋_GBK"/>
                <w:color w:val="auto"/>
                <w:sz w:val="24"/>
                <w:highlight w:val="none"/>
              </w:rPr>
              <w:t>基</w:t>
            </w:r>
            <w:r>
              <w:rPr>
                <w:rFonts w:hint="eastAsia" w:ascii="方正仿宋_GBK" w:hAnsi="方正仿宋_GBK" w:eastAsia="方正仿宋_GBK" w:cs="方正仿宋_GBK"/>
                <w:color w:val="auto"/>
                <w:sz w:val="24"/>
                <w:highlight w:val="none"/>
                <w:lang w:val="en-US" w:eastAsia="zh-CN"/>
              </w:rPr>
              <w:t>准价</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rPr>
              <w:t>投标报价与评标基</w:t>
            </w:r>
            <w:r>
              <w:rPr>
                <w:rFonts w:hint="eastAsia" w:ascii="方正仿宋_GBK" w:hAnsi="方正仿宋_GBK" w:eastAsia="方正仿宋_GBK" w:cs="方正仿宋_GBK"/>
                <w:color w:val="auto"/>
                <w:sz w:val="24"/>
                <w:highlight w:val="none"/>
                <w:lang w:val="en-US" w:eastAsia="zh-CN"/>
              </w:rPr>
              <w:t>准</w:t>
            </w:r>
            <w:r>
              <w:rPr>
                <w:rFonts w:hint="eastAsia" w:ascii="方正仿宋_GBK" w:hAnsi="方正仿宋_GBK" w:eastAsia="方正仿宋_GBK" w:cs="方正仿宋_GBK"/>
                <w:color w:val="auto"/>
                <w:sz w:val="24"/>
                <w:highlight w:val="none"/>
              </w:rPr>
              <w:t>价相比，相等的得40分；在此基础上，每增加1％扣1分，每减少1％扣0.5分，扣完为止</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不足1%的按1%计算）</w:t>
            </w:r>
            <w:r>
              <w:rPr>
                <w:rFonts w:hint="eastAsia" w:ascii="方正仿宋_GBK" w:hAnsi="方正仿宋_GBK" w:eastAsia="方正仿宋_GBK" w:cs="方正仿宋_GBK"/>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Height w:val="567" w:hRule="exact"/>
        </w:trPr>
        <w:tc>
          <w:tcPr>
            <w:tcW w:w="9431" w:type="dxa"/>
            <w:gridSpan w:val="4"/>
            <w:vAlign w:val="center"/>
          </w:tcPr>
          <w:p>
            <w:pPr>
              <w:spacing w:line="440" w:lineRule="exact"/>
              <w:rPr>
                <w:rFonts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
                <w:bCs/>
                <w:color w:val="auto"/>
                <w:sz w:val="24"/>
                <w:highlight w:val="none"/>
              </w:rPr>
              <w:t>四、比选文件组成及要求</w:t>
            </w:r>
          </w:p>
          <w:p>
            <w:pPr>
              <w:spacing w:line="440" w:lineRule="exact"/>
              <w:rPr>
                <w:rFonts w:ascii="方正仿宋_GBK" w:hAnsi="方正仿宋_GBK" w:eastAsia="方正仿宋_GBK" w:cs="方正仿宋_GBK"/>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Height w:val="2273" w:hRule="exact"/>
        </w:trPr>
        <w:tc>
          <w:tcPr>
            <w:tcW w:w="9431" w:type="dxa"/>
            <w:gridSpan w:val="4"/>
            <w:vAlign w:val="center"/>
          </w:tcPr>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1、比选文件包括但不限于以下内容：★（1）比选函及报价清单；★（2）营业执照；★（3）法定代表人或授权代理人身份证明及授权委托书；★（4）施工方案；</w:t>
            </w:r>
            <w:r>
              <w:rPr>
                <w:rFonts w:ascii="Arial" w:hAnsi="Arial" w:eastAsia="方正仿宋_GBK" w:cs="Arial"/>
                <w:color w:val="auto"/>
                <w:sz w:val="24"/>
                <w:highlight w:val="none"/>
              </w:rPr>
              <w:t>……</w:t>
            </w:r>
          </w:p>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2、要求提供的资料均需加盖鲜章，所有资料密封并在密封袋上写明邀请单位名称、项目名称、日期并加盖公章。</w:t>
            </w:r>
          </w:p>
        </w:tc>
      </w:tr>
    </w:tbl>
    <w:p>
      <w:pPr>
        <w:rPr>
          <w:color w:val="auto"/>
          <w:highlight w:val="none"/>
        </w:rPr>
        <w:sectPr>
          <w:footerReference r:id="rId3" w:type="default"/>
          <w:pgSz w:w="11906" w:h="16838"/>
          <w:pgMar w:top="1134" w:right="1417" w:bottom="1134" w:left="1417" w:header="851" w:footer="992" w:gutter="0"/>
          <w:cols w:space="0" w:num="1"/>
          <w:docGrid w:type="lines" w:linePitch="312" w:charSpace="0"/>
        </w:sectPr>
      </w:pPr>
    </w:p>
    <w:p>
      <w:pP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eastAsia="zh-CN"/>
        </w:rPr>
        <w:t>附件</w:t>
      </w:r>
      <w:r>
        <w:rPr>
          <w:rFonts w:hint="eastAsia" w:ascii="方正仿宋_GBK" w:hAnsi="方正仿宋_GBK" w:eastAsia="方正仿宋_GBK" w:cs="方正仿宋_GBK"/>
          <w:color w:val="auto"/>
          <w:sz w:val="28"/>
          <w:szCs w:val="28"/>
          <w:highlight w:val="none"/>
          <w:lang w:val="en-US" w:eastAsia="zh-CN"/>
        </w:rPr>
        <w:t>1</w:t>
      </w:r>
    </w:p>
    <w:tbl>
      <w:tblPr>
        <w:tblStyle w:val="10"/>
        <w:tblW w:w="77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6"/>
        <w:gridCol w:w="2221"/>
        <w:gridCol w:w="1110"/>
        <w:gridCol w:w="1111"/>
        <w:gridCol w:w="1542"/>
        <w:gridCol w:w="11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60" w:hRule="atLeast"/>
        </w:trPr>
        <w:tc>
          <w:tcPr>
            <w:tcW w:w="7770"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2号线轨行区、沟渠池井清掏冲洗及抽排服务单项限价表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2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服务内容</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暂定工程量</w:t>
            </w:r>
          </w:p>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不含税单价最高限制（元/㎡）</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年服务次数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4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隧道冲洗</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40800</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0.25 </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4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隧道排水沟清掏</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9920</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1.01 </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4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垃圾清运</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10T/车</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737.96 </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4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道岔桥清洁</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5535</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0.42 </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区间轨行区路基清洁卫生及杂草清除</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0.42 </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雨棚及区间防坠网</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1.86 </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边坡、挡墙清洁卫生及杂草清除</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0.42 </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车站生化池清掏（除平安站、大渡口、新山村站）</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m³</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1139.4</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25.30 </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车站生化池清掏（平安站、大渡口、新山村站）</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m³</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609.76</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25.30 </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4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污水井清掏</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m³</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21.66</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25.30 </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4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隔油池清掏</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m³</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25.30 </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车站、区间废水池清掏</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m³</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55.32</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25.30 </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4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车站集水井（池）清掏</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m³</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253.2</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25.30 </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bl>
    <w:p>
      <w:pPr>
        <w:rPr>
          <w:rFonts w:hint="eastAsia" w:ascii="方正仿宋_GBK" w:hAnsi="方正仿宋_GBK" w:eastAsia="方正仿宋_GBK" w:cs="方正仿宋_GBK"/>
          <w:color w:val="auto"/>
          <w:sz w:val="28"/>
          <w:szCs w:val="28"/>
          <w:highlight w:val="none"/>
          <w:lang w:val="en-US" w:eastAsia="zh-CN"/>
        </w:rPr>
      </w:pPr>
    </w:p>
    <w:p>
      <w:pPr>
        <w:rPr>
          <w:rFonts w:hint="eastAsia" w:ascii="方正仿宋_GBK" w:hAnsi="方正仿宋_GBK" w:eastAsia="方正仿宋_GBK" w:cs="方正仿宋_GBK"/>
          <w:color w:val="auto"/>
          <w:sz w:val="28"/>
          <w:szCs w:val="28"/>
          <w:highlight w:val="none"/>
        </w:rPr>
      </w:pPr>
    </w:p>
    <w:p>
      <w:pPr>
        <w:rPr>
          <w:rFonts w:hint="eastAsia" w:ascii="方正仿宋_GBK" w:hAnsi="方正仿宋_GBK" w:eastAsia="方正仿宋_GBK" w:cs="方正仿宋_GBK"/>
          <w:color w:val="auto"/>
          <w:sz w:val="28"/>
          <w:szCs w:val="28"/>
          <w:highlight w:val="none"/>
        </w:rPr>
      </w:pPr>
    </w:p>
    <w:p>
      <w:pPr>
        <w:rPr>
          <w:rFonts w:hint="eastAsia" w:ascii="方正仿宋_GBK" w:hAnsi="方正仿宋_GBK" w:eastAsia="方正仿宋_GBK" w:cs="方正仿宋_GBK"/>
          <w:color w:val="auto"/>
          <w:sz w:val="28"/>
          <w:szCs w:val="28"/>
          <w:highlight w:val="none"/>
        </w:rPr>
      </w:pPr>
    </w:p>
    <w:p>
      <w:pPr>
        <w:rPr>
          <w:rFonts w:hint="eastAsia" w:ascii="方正仿宋_GBK" w:hAnsi="方正仿宋_GBK" w:eastAsia="方正仿宋_GBK" w:cs="方正仿宋_GBK"/>
          <w:color w:val="auto"/>
          <w:sz w:val="28"/>
          <w:szCs w:val="28"/>
          <w:highlight w:val="none"/>
        </w:rPr>
      </w:pPr>
    </w:p>
    <w:p>
      <w:pPr>
        <w:rPr>
          <w:rFonts w:hint="eastAsia" w:ascii="方正仿宋_GBK" w:hAnsi="方正仿宋_GBK" w:eastAsia="方正仿宋_GBK" w:cs="方正仿宋_GBK"/>
          <w:color w:val="auto"/>
          <w:sz w:val="28"/>
          <w:szCs w:val="28"/>
          <w:highlight w:val="none"/>
        </w:rPr>
      </w:pPr>
    </w:p>
    <w:p>
      <w:pPr>
        <w:rPr>
          <w:rFonts w:hint="eastAsia" w:ascii="方正仿宋_GBK" w:hAnsi="方正仿宋_GBK" w:eastAsia="方正仿宋_GBK" w:cs="方正仿宋_GBK"/>
          <w:color w:val="auto"/>
          <w:sz w:val="28"/>
          <w:szCs w:val="28"/>
          <w:highlight w:val="none"/>
        </w:rPr>
      </w:pPr>
    </w:p>
    <w:p>
      <w:pPr>
        <w:rPr>
          <w:rFonts w:hint="eastAsia" w:ascii="方正仿宋_GBK" w:hAnsi="方正仿宋_GBK" w:eastAsia="方正仿宋_GBK" w:cs="方正仿宋_GBK"/>
          <w:color w:val="auto"/>
          <w:sz w:val="28"/>
          <w:szCs w:val="28"/>
          <w:highlight w:val="none"/>
        </w:rPr>
      </w:pPr>
    </w:p>
    <w:p>
      <w:pPr>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文件格式</w:t>
      </w:r>
    </w:p>
    <w:p>
      <w:pPr>
        <w:jc w:val="center"/>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格式一   </w:t>
      </w:r>
      <w:r>
        <w:rPr>
          <w:rFonts w:hint="eastAsia" w:ascii="方正小标宋_GBK" w:hAnsi="方正小标宋_GBK" w:eastAsia="方正小标宋_GBK" w:cs="方正小标宋_GBK"/>
          <w:b/>
          <w:bCs/>
          <w:color w:val="auto"/>
          <w:sz w:val="36"/>
          <w:szCs w:val="36"/>
          <w:highlight w:val="none"/>
        </w:rPr>
        <w:t>比选函</w:t>
      </w:r>
    </w:p>
    <w:p>
      <w:pPr>
        <w:spacing w:line="360" w:lineRule="auto"/>
        <w:rPr>
          <w:rFonts w:hint="eastAsia" w:ascii="方正仿宋_GBK" w:hAnsi="方正仿宋_GBK" w:eastAsia="方正仿宋_GBK" w:cs="方正仿宋_GBK"/>
          <w:color w:val="auto"/>
          <w:sz w:val="28"/>
          <w:szCs w:val="28"/>
          <w:highlight w:val="none"/>
        </w:rPr>
      </w:pPr>
    </w:p>
    <w:p>
      <w:pPr>
        <w:spacing w:line="360"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重庆通邑物业管理有限公司：</w:t>
      </w:r>
    </w:p>
    <w:p>
      <w:pPr>
        <w:spacing w:line="360" w:lineRule="auto"/>
        <w:jc w:val="lef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     根据贵方</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项目的比选函文件，本公司正式授权的下述签字人</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（姓名和职务）代表本公司</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（比选被邀请人名称），提交本比选函。</w:t>
      </w:r>
    </w:p>
    <w:p>
      <w:pPr>
        <w:spacing w:line="360"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据此函，签字人兹宣布同意如下：</w:t>
      </w:r>
    </w:p>
    <w:p>
      <w:pPr>
        <w:numPr>
          <w:ilvl w:val="0"/>
          <w:numId w:val="4"/>
        </w:numPr>
        <w:spacing w:line="360"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愿意接受比选函中提出的酬金支付方式以含税价：</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元、不含税价：</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元、税率：</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作为本项目报价。（所填报数字必须保留至小数点后2位，小数点后无数字时填写0）。</w:t>
      </w:r>
    </w:p>
    <w:p>
      <w:pPr>
        <w:pStyle w:val="2"/>
        <w:numPr>
          <w:ilvl w:val="255"/>
          <w:numId w:val="0"/>
        </w:numPr>
        <w:spacing w:line="360" w:lineRule="auto"/>
        <w:ind w:left="560"/>
        <w:rPr>
          <w:rFonts w:ascii="方正仿宋_GBK" w:hAnsi="方正仿宋_GBK" w:eastAsia="方正仿宋_GBK" w:cs="方正仿宋_GBK"/>
          <w:b w:val="0"/>
          <w:bCs w:val="0"/>
          <w:color w:val="auto"/>
          <w:sz w:val="28"/>
          <w:szCs w:val="28"/>
          <w:highlight w:val="none"/>
        </w:rPr>
      </w:pPr>
      <w:r>
        <w:rPr>
          <w:rFonts w:hint="eastAsia" w:ascii="方正仿宋_GBK" w:hAnsi="方正仿宋_GBK" w:eastAsia="方正仿宋_GBK" w:cs="方正仿宋_GBK"/>
          <w:b w:val="0"/>
          <w:bCs w:val="0"/>
          <w:color w:val="auto"/>
          <w:sz w:val="28"/>
          <w:szCs w:val="28"/>
          <w:highlight w:val="none"/>
        </w:rPr>
        <w:t>(2)我司承诺合同工期为</w:t>
      </w:r>
      <w:r>
        <w:rPr>
          <w:rFonts w:hint="eastAsia" w:ascii="方正仿宋_GBK" w:hAnsi="方正仿宋_GBK" w:eastAsia="方正仿宋_GBK" w:cs="方正仿宋_GBK"/>
          <w:b w:val="0"/>
          <w:bCs w:val="0"/>
          <w:color w:val="auto"/>
          <w:sz w:val="28"/>
          <w:szCs w:val="28"/>
          <w:highlight w:val="none"/>
          <w:u w:val="single"/>
        </w:rPr>
        <w:t xml:space="preserve">    </w:t>
      </w:r>
      <w:r>
        <w:rPr>
          <w:rFonts w:hint="eastAsia" w:ascii="方正仿宋_GBK" w:hAnsi="方正仿宋_GBK" w:eastAsia="方正仿宋_GBK" w:cs="方正仿宋_GBK"/>
          <w:b w:val="0"/>
          <w:bCs w:val="0"/>
          <w:color w:val="auto"/>
          <w:sz w:val="28"/>
          <w:szCs w:val="28"/>
          <w:highlight w:val="none"/>
        </w:rPr>
        <w:t>日历天，我司确保在该工期内完工。</w:t>
      </w:r>
    </w:p>
    <w:p>
      <w:pPr>
        <w:spacing w:line="360"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    (3)我们已详细阅读了比选函全部内容，我们知道必须放弃提出含糊不清或误解的问题的权利。</w:t>
      </w:r>
    </w:p>
    <w:p>
      <w:pPr>
        <w:spacing w:line="360"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    (4)我们保证根据规定履行合同责任和义务。</w:t>
      </w:r>
    </w:p>
    <w:p>
      <w:pPr>
        <w:spacing w:line="360"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    (5)本比选函自开启之日起至项目全部完成之内有效。</w:t>
      </w:r>
    </w:p>
    <w:p>
      <w:pPr>
        <w:spacing w:line="360" w:lineRule="auto"/>
        <w:rPr>
          <w:rFonts w:ascii="方正仿宋_GBK" w:hAnsi="方正仿宋_GBK" w:eastAsia="方正仿宋_GBK" w:cs="方正仿宋_GBK"/>
          <w:color w:val="auto"/>
          <w:sz w:val="28"/>
          <w:szCs w:val="28"/>
          <w:highlight w:val="none"/>
        </w:rPr>
      </w:pPr>
    </w:p>
    <w:p>
      <w:pPr>
        <w:spacing w:line="360"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报价人全称（公章）： </w:t>
      </w:r>
    </w:p>
    <w:p>
      <w:pPr>
        <w:spacing w:line="360"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通信地址：                              </w:t>
      </w:r>
    </w:p>
    <w:p>
      <w:pPr>
        <w:spacing w:line="360"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电话、传真：</w:t>
      </w:r>
    </w:p>
    <w:p>
      <w:pPr>
        <w:spacing w:line="360"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报价人法定代表人或授权代理人签字 </w:t>
      </w:r>
    </w:p>
    <w:p>
      <w:pPr>
        <w:spacing w:line="360" w:lineRule="auto"/>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日期： </w:t>
      </w:r>
    </w:p>
    <w:p>
      <w:pPr>
        <w:jc w:val="center"/>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br w:type="page"/>
      </w:r>
    </w:p>
    <w:p>
      <w:pPr>
        <w:jc w:val="center"/>
        <w:rPr>
          <w:rFonts w:ascii="方正小标宋_GBK" w:hAnsi="方正小标宋_GBK" w:eastAsia="方正小标宋_GBK" w:cs="方正小标宋_GBK"/>
          <w:b/>
          <w:bCs/>
          <w:color w:val="auto"/>
          <w:sz w:val="36"/>
          <w:szCs w:val="36"/>
          <w:highlight w:val="none"/>
        </w:rPr>
      </w:pPr>
      <w:r>
        <w:rPr>
          <w:rFonts w:hint="eastAsia" w:ascii="方正仿宋_GBK" w:hAnsi="方正仿宋_GBK" w:eastAsia="方正仿宋_GBK" w:cs="方正仿宋_GBK"/>
          <w:color w:val="auto"/>
          <w:sz w:val="28"/>
          <w:szCs w:val="28"/>
          <w:highlight w:val="none"/>
        </w:rPr>
        <w:t xml:space="preserve">格式二  </w:t>
      </w:r>
      <w:r>
        <w:rPr>
          <w:rFonts w:hint="eastAsia" w:ascii="方正小标宋_GBK" w:hAnsi="方正小标宋_GBK" w:eastAsia="方正小标宋_GBK" w:cs="方正小标宋_GBK"/>
          <w:b/>
          <w:bCs/>
          <w:color w:val="auto"/>
          <w:sz w:val="36"/>
          <w:szCs w:val="36"/>
          <w:highlight w:val="none"/>
        </w:rPr>
        <w:t>作业清单及报价</w:t>
      </w:r>
    </w:p>
    <w:p>
      <w:pPr>
        <w:rPr>
          <w:color w:val="auto"/>
          <w:highlight w:val="none"/>
        </w:rPr>
      </w:pPr>
      <w:r>
        <w:rPr>
          <w:rFonts w:hint="eastAsia" w:ascii="方正仿宋_GBK" w:hAnsi="方正仿宋_GBK" w:eastAsia="方正仿宋_GBK" w:cs="方正仿宋_GBK"/>
          <w:color w:val="auto"/>
          <w:sz w:val="28"/>
          <w:szCs w:val="28"/>
          <w:highlight w:val="none"/>
        </w:rPr>
        <w:t>一、作业清单</w:t>
      </w:r>
    </w:p>
    <w:p>
      <w:pPr>
        <w:jc w:val="left"/>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1、污水池、生化池、隔油池清掏数量清单</w:t>
      </w:r>
    </w:p>
    <w:tbl>
      <w:tblPr>
        <w:tblStyle w:val="10"/>
        <w:tblW w:w="9214" w:type="dxa"/>
        <w:tblInd w:w="108" w:type="dxa"/>
        <w:tblLayout w:type="fixed"/>
        <w:tblCellMar>
          <w:top w:w="0" w:type="dxa"/>
          <w:left w:w="108" w:type="dxa"/>
          <w:bottom w:w="0" w:type="dxa"/>
          <w:right w:w="108" w:type="dxa"/>
        </w:tblCellMar>
      </w:tblPr>
      <w:tblGrid>
        <w:gridCol w:w="2120"/>
        <w:gridCol w:w="2026"/>
        <w:gridCol w:w="2400"/>
        <w:gridCol w:w="1312"/>
        <w:gridCol w:w="1356"/>
      </w:tblGrid>
      <w:tr>
        <w:tblPrEx>
          <w:tblLayout w:type="fixed"/>
          <w:tblCellMar>
            <w:top w:w="0" w:type="dxa"/>
            <w:left w:w="108" w:type="dxa"/>
            <w:bottom w:w="0" w:type="dxa"/>
            <w:right w:w="108" w:type="dxa"/>
          </w:tblCellMar>
        </w:tblPrEx>
        <w:trPr>
          <w:trHeight w:val="856" w:hRule="exact"/>
        </w:trPr>
        <w:tc>
          <w:tcPr>
            <w:tcW w:w="9214"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2号线车站、变电所、控制中心污水池、生化池、隔油池清掏数量清单</w:t>
            </w:r>
          </w:p>
        </w:tc>
      </w:tr>
      <w:tr>
        <w:tblPrEx>
          <w:tblLayout w:type="fixed"/>
          <w:tblCellMar>
            <w:top w:w="0" w:type="dxa"/>
            <w:left w:w="108" w:type="dxa"/>
            <w:bottom w:w="0" w:type="dxa"/>
            <w:right w:w="108" w:type="dxa"/>
          </w:tblCellMar>
        </w:tblPrEx>
        <w:trPr>
          <w:trHeight w:val="954" w:hRule="exact"/>
        </w:trPr>
        <w:tc>
          <w:tcPr>
            <w:tcW w:w="21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2号线</w:t>
            </w:r>
          </w:p>
        </w:tc>
        <w:tc>
          <w:tcPr>
            <w:tcW w:w="2026" w:type="dxa"/>
            <w:tcBorders>
              <w:top w:val="single" w:color="auto" w:sz="4" w:space="0"/>
              <w:left w:val="nil"/>
              <w:bottom w:val="single" w:color="auto" w:sz="4" w:space="0"/>
              <w:right w:val="single" w:color="auto" w:sz="4" w:space="0"/>
            </w:tcBorders>
            <w:vAlign w:val="center"/>
          </w:tcPr>
          <w:p>
            <w:pPr>
              <w:widowControl/>
              <w:jc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污水池体积m³</w:t>
            </w:r>
          </w:p>
        </w:tc>
        <w:tc>
          <w:tcPr>
            <w:tcW w:w="2400" w:type="dxa"/>
            <w:tcBorders>
              <w:top w:val="single" w:color="auto" w:sz="4" w:space="0"/>
              <w:left w:val="nil"/>
              <w:bottom w:val="single" w:color="auto" w:sz="4" w:space="0"/>
              <w:right w:val="single" w:color="auto" w:sz="4" w:space="0"/>
            </w:tcBorders>
            <w:vAlign w:val="center"/>
          </w:tcPr>
          <w:p>
            <w:pPr>
              <w:widowControl/>
              <w:jc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生化池体积m³</w:t>
            </w:r>
          </w:p>
        </w:tc>
        <w:tc>
          <w:tcPr>
            <w:tcW w:w="1312" w:type="dxa"/>
            <w:tcBorders>
              <w:top w:val="single" w:color="auto" w:sz="4" w:space="0"/>
              <w:left w:val="nil"/>
              <w:bottom w:val="single" w:color="auto" w:sz="4" w:space="0"/>
              <w:right w:val="single" w:color="auto" w:sz="4" w:space="0"/>
            </w:tcBorders>
            <w:vAlign w:val="center"/>
          </w:tcPr>
          <w:p>
            <w:pPr>
              <w:widowControl/>
              <w:jc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污水池量（个）</w:t>
            </w:r>
          </w:p>
        </w:tc>
        <w:tc>
          <w:tcPr>
            <w:tcW w:w="1356" w:type="dxa"/>
            <w:tcBorders>
              <w:top w:val="single" w:color="auto" w:sz="4" w:space="0"/>
              <w:left w:val="nil"/>
              <w:bottom w:val="single" w:color="auto" w:sz="4" w:space="0"/>
              <w:right w:val="single" w:color="auto" w:sz="4" w:space="0"/>
            </w:tcBorders>
            <w:vAlign w:val="center"/>
          </w:tcPr>
          <w:p>
            <w:pPr>
              <w:widowControl/>
              <w:jc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生化池量（个）</w:t>
            </w:r>
          </w:p>
        </w:tc>
      </w:tr>
      <w:tr>
        <w:tblPrEx>
          <w:tblLayout w:type="fixed"/>
          <w:tblCellMar>
            <w:top w:w="0" w:type="dxa"/>
            <w:left w:w="108" w:type="dxa"/>
            <w:bottom w:w="0" w:type="dxa"/>
            <w:right w:w="108" w:type="dxa"/>
          </w:tblCellMar>
        </w:tblPrEx>
        <w:trPr>
          <w:trHeight w:val="538" w:hRule="exact"/>
        </w:trPr>
        <w:tc>
          <w:tcPr>
            <w:tcW w:w="2120" w:type="dxa"/>
            <w:tcBorders>
              <w:top w:val="nil"/>
              <w:left w:val="single" w:color="auto" w:sz="4" w:space="0"/>
              <w:bottom w:val="single" w:color="auto" w:sz="4" w:space="0"/>
              <w:right w:val="single" w:color="auto" w:sz="4" w:space="0"/>
            </w:tcBorders>
            <w:vAlign w:val="center"/>
          </w:tcPr>
          <w:p>
            <w:pPr>
              <w:widowControl/>
              <w:jc w:val="left"/>
              <w:textAlignment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较场口站</w:t>
            </w:r>
          </w:p>
        </w:tc>
        <w:tc>
          <w:tcPr>
            <w:tcW w:w="2026"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color w:val="auto"/>
                <w:kern w:val="0"/>
                <w:szCs w:val="21"/>
                <w:highlight w:val="none"/>
              </w:rPr>
              <w:t>9.66</w:t>
            </w:r>
          </w:p>
        </w:tc>
        <w:tc>
          <w:tcPr>
            <w:tcW w:w="2400"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65.28</w:t>
            </w:r>
          </w:p>
        </w:tc>
        <w:tc>
          <w:tcPr>
            <w:tcW w:w="1312"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w:t>
            </w:r>
          </w:p>
        </w:tc>
        <w:tc>
          <w:tcPr>
            <w:tcW w:w="1356"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w:t>
            </w:r>
          </w:p>
        </w:tc>
      </w:tr>
      <w:tr>
        <w:tblPrEx>
          <w:tblLayout w:type="fixed"/>
          <w:tblCellMar>
            <w:top w:w="0" w:type="dxa"/>
            <w:left w:w="108" w:type="dxa"/>
            <w:bottom w:w="0" w:type="dxa"/>
            <w:right w:w="108" w:type="dxa"/>
          </w:tblCellMar>
        </w:tblPrEx>
        <w:trPr>
          <w:trHeight w:val="418" w:hRule="exact"/>
        </w:trPr>
        <w:tc>
          <w:tcPr>
            <w:tcW w:w="2120" w:type="dxa"/>
            <w:tcBorders>
              <w:top w:val="nil"/>
              <w:left w:val="single" w:color="auto" w:sz="4" w:space="0"/>
              <w:bottom w:val="single" w:color="auto" w:sz="4" w:space="0"/>
              <w:right w:val="single" w:color="auto" w:sz="4" w:space="0"/>
            </w:tcBorders>
            <w:vAlign w:val="center"/>
          </w:tcPr>
          <w:p>
            <w:pPr>
              <w:widowControl/>
              <w:jc w:val="left"/>
              <w:textAlignment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临江门站</w:t>
            </w:r>
          </w:p>
        </w:tc>
        <w:tc>
          <w:tcPr>
            <w:tcW w:w="2026"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color w:val="auto"/>
                <w:kern w:val="0"/>
                <w:szCs w:val="21"/>
                <w:highlight w:val="none"/>
              </w:rPr>
              <w:t>6</w:t>
            </w:r>
          </w:p>
        </w:tc>
        <w:tc>
          <w:tcPr>
            <w:tcW w:w="2400"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65.28</w:t>
            </w:r>
          </w:p>
        </w:tc>
        <w:tc>
          <w:tcPr>
            <w:tcW w:w="1312"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1</w:t>
            </w:r>
          </w:p>
        </w:tc>
        <w:tc>
          <w:tcPr>
            <w:tcW w:w="1356"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1</w:t>
            </w:r>
          </w:p>
        </w:tc>
      </w:tr>
      <w:tr>
        <w:tblPrEx>
          <w:tblLayout w:type="fixed"/>
          <w:tblCellMar>
            <w:top w:w="0" w:type="dxa"/>
            <w:left w:w="108" w:type="dxa"/>
            <w:bottom w:w="0" w:type="dxa"/>
            <w:right w:w="108" w:type="dxa"/>
          </w:tblCellMar>
        </w:tblPrEx>
        <w:trPr>
          <w:trHeight w:val="423" w:hRule="exact"/>
        </w:trPr>
        <w:tc>
          <w:tcPr>
            <w:tcW w:w="2120" w:type="dxa"/>
            <w:tcBorders>
              <w:top w:val="nil"/>
              <w:left w:val="single" w:color="auto" w:sz="4" w:space="0"/>
              <w:bottom w:val="single" w:color="auto" w:sz="4" w:space="0"/>
              <w:right w:val="single" w:color="auto" w:sz="4" w:space="0"/>
            </w:tcBorders>
            <w:vAlign w:val="center"/>
          </w:tcPr>
          <w:p>
            <w:pPr>
              <w:widowControl/>
              <w:jc w:val="left"/>
              <w:textAlignment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黄花园站</w:t>
            </w:r>
          </w:p>
        </w:tc>
        <w:tc>
          <w:tcPr>
            <w:tcW w:w="2026"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color w:val="auto"/>
                <w:kern w:val="0"/>
                <w:szCs w:val="21"/>
                <w:highlight w:val="none"/>
              </w:rPr>
              <w:t>无</w:t>
            </w:r>
          </w:p>
        </w:tc>
        <w:tc>
          <w:tcPr>
            <w:tcW w:w="2400"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63.74</w:t>
            </w:r>
          </w:p>
        </w:tc>
        <w:tc>
          <w:tcPr>
            <w:tcW w:w="1312"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0</w:t>
            </w:r>
          </w:p>
        </w:tc>
        <w:tc>
          <w:tcPr>
            <w:tcW w:w="1356"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1</w:t>
            </w:r>
          </w:p>
        </w:tc>
      </w:tr>
      <w:tr>
        <w:tblPrEx>
          <w:tblLayout w:type="fixed"/>
          <w:tblCellMar>
            <w:top w:w="0" w:type="dxa"/>
            <w:left w:w="108" w:type="dxa"/>
            <w:bottom w:w="0" w:type="dxa"/>
            <w:right w:w="108" w:type="dxa"/>
          </w:tblCellMar>
        </w:tblPrEx>
        <w:trPr>
          <w:trHeight w:val="586" w:hRule="exact"/>
        </w:trPr>
        <w:tc>
          <w:tcPr>
            <w:tcW w:w="2120" w:type="dxa"/>
            <w:tcBorders>
              <w:top w:val="nil"/>
              <w:left w:val="single" w:color="auto" w:sz="4" w:space="0"/>
              <w:bottom w:val="single" w:color="auto" w:sz="4" w:space="0"/>
              <w:right w:val="single" w:color="auto" w:sz="4" w:space="0"/>
            </w:tcBorders>
            <w:vAlign w:val="center"/>
          </w:tcPr>
          <w:p>
            <w:pPr>
              <w:widowControl/>
              <w:jc w:val="left"/>
              <w:textAlignment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大溪沟站</w:t>
            </w:r>
          </w:p>
        </w:tc>
        <w:tc>
          <w:tcPr>
            <w:tcW w:w="2026"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color w:val="auto"/>
                <w:kern w:val="0"/>
                <w:szCs w:val="21"/>
                <w:highlight w:val="none"/>
              </w:rPr>
              <w:t>无</w:t>
            </w:r>
          </w:p>
        </w:tc>
        <w:tc>
          <w:tcPr>
            <w:tcW w:w="2400"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46.37</w:t>
            </w:r>
          </w:p>
        </w:tc>
        <w:tc>
          <w:tcPr>
            <w:tcW w:w="1312"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0</w:t>
            </w:r>
          </w:p>
        </w:tc>
        <w:tc>
          <w:tcPr>
            <w:tcW w:w="1356"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1</w:t>
            </w:r>
          </w:p>
        </w:tc>
      </w:tr>
      <w:tr>
        <w:tblPrEx>
          <w:tblLayout w:type="fixed"/>
          <w:tblCellMar>
            <w:top w:w="0" w:type="dxa"/>
            <w:left w:w="108" w:type="dxa"/>
            <w:bottom w:w="0" w:type="dxa"/>
            <w:right w:w="108" w:type="dxa"/>
          </w:tblCellMar>
        </w:tblPrEx>
        <w:trPr>
          <w:trHeight w:val="629" w:hRule="exact"/>
        </w:trPr>
        <w:tc>
          <w:tcPr>
            <w:tcW w:w="2120" w:type="dxa"/>
            <w:tcBorders>
              <w:top w:val="nil"/>
              <w:left w:val="single" w:color="auto" w:sz="4" w:space="0"/>
              <w:bottom w:val="single" w:color="auto" w:sz="4" w:space="0"/>
              <w:right w:val="single" w:color="auto" w:sz="4" w:space="0"/>
            </w:tcBorders>
            <w:vAlign w:val="center"/>
          </w:tcPr>
          <w:p>
            <w:pPr>
              <w:widowControl/>
              <w:jc w:val="left"/>
              <w:textAlignment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曾家岩站</w:t>
            </w:r>
          </w:p>
        </w:tc>
        <w:tc>
          <w:tcPr>
            <w:tcW w:w="2026"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color w:val="auto"/>
                <w:kern w:val="0"/>
                <w:szCs w:val="21"/>
                <w:highlight w:val="none"/>
              </w:rPr>
              <w:t>无</w:t>
            </w:r>
          </w:p>
        </w:tc>
        <w:tc>
          <w:tcPr>
            <w:tcW w:w="2400"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22.5</w:t>
            </w:r>
          </w:p>
        </w:tc>
        <w:tc>
          <w:tcPr>
            <w:tcW w:w="1312"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0</w:t>
            </w:r>
          </w:p>
        </w:tc>
        <w:tc>
          <w:tcPr>
            <w:tcW w:w="1356"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1</w:t>
            </w:r>
          </w:p>
        </w:tc>
      </w:tr>
      <w:tr>
        <w:tblPrEx>
          <w:tblLayout w:type="fixed"/>
          <w:tblCellMar>
            <w:top w:w="0" w:type="dxa"/>
            <w:left w:w="108" w:type="dxa"/>
            <w:bottom w:w="0" w:type="dxa"/>
            <w:right w:w="108" w:type="dxa"/>
          </w:tblCellMar>
        </w:tblPrEx>
        <w:trPr>
          <w:trHeight w:val="416" w:hRule="exact"/>
        </w:trPr>
        <w:tc>
          <w:tcPr>
            <w:tcW w:w="2120" w:type="dxa"/>
            <w:tcBorders>
              <w:top w:val="nil"/>
              <w:left w:val="single" w:color="auto" w:sz="4" w:space="0"/>
              <w:bottom w:val="single" w:color="auto" w:sz="4" w:space="0"/>
              <w:right w:val="single" w:color="auto" w:sz="4" w:space="0"/>
            </w:tcBorders>
            <w:vAlign w:val="center"/>
          </w:tcPr>
          <w:p>
            <w:pPr>
              <w:widowControl/>
              <w:jc w:val="left"/>
              <w:textAlignment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牛角沱站</w:t>
            </w:r>
          </w:p>
        </w:tc>
        <w:tc>
          <w:tcPr>
            <w:tcW w:w="2026"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color w:val="auto"/>
                <w:kern w:val="0"/>
                <w:szCs w:val="21"/>
                <w:highlight w:val="none"/>
              </w:rPr>
              <w:t>无</w:t>
            </w:r>
          </w:p>
        </w:tc>
        <w:tc>
          <w:tcPr>
            <w:tcW w:w="2400"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29.16</w:t>
            </w:r>
          </w:p>
        </w:tc>
        <w:tc>
          <w:tcPr>
            <w:tcW w:w="1312"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0</w:t>
            </w:r>
          </w:p>
        </w:tc>
        <w:tc>
          <w:tcPr>
            <w:tcW w:w="1356"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1</w:t>
            </w:r>
          </w:p>
        </w:tc>
      </w:tr>
      <w:tr>
        <w:tblPrEx>
          <w:tblLayout w:type="fixed"/>
          <w:tblCellMar>
            <w:top w:w="0" w:type="dxa"/>
            <w:left w:w="108" w:type="dxa"/>
            <w:bottom w:w="0" w:type="dxa"/>
            <w:right w:w="108" w:type="dxa"/>
          </w:tblCellMar>
        </w:tblPrEx>
        <w:trPr>
          <w:trHeight w:val="564" w:hRule="exact"/>
        </w:trPr>
        <w:tc>
          <w:tcPr>
            <w:tcW w:w="2120" w:type="dxa"/>
            <w:tcBorders>
              <w:top w:val="nil"/>
              <w:left w:val="single" w:color="auto" w:sz="4" w:space="0"/>
              <w:bottom w:val="single" w:color="auto" w:sz="4" w:space="0"/>
              <w:right w:val="single" w:color="auto" w:sz="4" w:space="0"/>
            </w:tcBorders>
            <w:vAlign w:val="center"/>
          </w:tcPr>
          <w:p>
            <w:pPr>
              <w:widowControl/>
              <w:jc w:val="left"/>
              <w:textAlignment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李子坝站</w:t>
            </w:r>
          </w:p>
        </w:tc>
        <w:tc>
          <w:tcPr>
            <w:tcW w:w="2026"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无</w:t>
            </w:r>
          </w:p>
        </w:tc>
        <w:tc>
          <w:tcPr>
            <w:tcW w:w="2400"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24</w:t>
            </w:r>
          </w:p>
        </w:tc>
        <w:tc>
          <w:tcPr>
            <w:tcW w:w="1312"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0</w:t>
            </w:r>
          </w:p>
        </w:tc>
        <w:tc>
          <w:tcPr>
            <w:tcW w:w="1356"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1</w:t>
            </w:r>
          </w:p>
        </w:tc>
      </w:tr>
      <w:tr>
        <w:tblPrEx>
          <w:tblLayout w:type="fixed"/>
          <w:tblCellMar>
            <w:top w:w="0" w:type="dxa"/>
            <w:left w:w="108" w:type="dxa"/>
            <w:bottom w:w="0" w:type="dxa"/>
            <w:right w:w="108" w:type="dxa"/>
          </w:tblCellMar>
        </w:tblPrEx>
        <w:trPr>
          <w:trHeight w:val="458" w:hRule="exact"/>
        </w:trPr>
        <w:tc>
          <w:tcPr>
            <w:tcW w:w="2120" w:type="dxa"/>
            <w:tcBorders>
              <w:top w:val="nil"/>
              <w:left w:val="single" w:color="auto" w:sz="4" w:space="0"/>
              <w:bottom w:val="single" w:color="auto" w:sz="4" w:space="0"/>
              <w:right w:val="single" w:color="auto" w:sz="4" w:space="0"/>
            </w:tcBorders>
            <w:vAlign w:val="center"/>
          </w:tcPr>
          <w:p>
            <w:pPr>
              <w:widowControl/>
              <w:jc w:val="left"/>
              <w:textAlignment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佛图关站</w:t>
            </w:r>
          </w:p>
        </w:tc>
        <w:tc>
          <w:tcPr>
            <w:tcW w:w="2026"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无</w:t>
            </w:r>
          </w:p>
        </w:tc>
        <w:tc>
          <w:tcPr>
            <w:tcW w:w="2400"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36.75</w:t>
            </w:r>
          </w:p>
        </w:tc>
        <w:tc>
          <w:tcPr>
            <w:tcW w:w="1312"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0</w:t>
            </w:r>
          </w:p>
        </w:tc>
        <w:tc>
          <w:tcPr>
            <w:tcW w:w="1356"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1</w:t>
            </w:r>
          </w:p>
        </w:tc>
      </w:tr>
      <w:tr>
        <w:tblPrEx>
          <w:tblLayout w:type="fixed"/>
          <w:tblCellMar>
            <w:top w:w="0" w:type="dxa"/>
            <w:left w:w="108" w:type="dxa"/>
            <w:bottom w:w="0" w:type="dxa"/>
            <w:right w:w="108" w:type="dxa"/>
          </w:tblCellMar>
        </w:tblPrEx>
        <w:trPr>
          <w:trHeight w:val="458" w:hRule="exact"/>
        </w:trPr>
        <w:tc>
          <w:tcPr>
            <w:tcW w:w="2120" w:type="dxa"/>
            <w:tcBorders>
              <w:top w:val="nil"/>
              <w:left w:val="single" w:color="auto" w:sz="4" w:space="0"/>
              <w:bottom w:val="single" w:color="auto" w:sz="4" w:space="0"/>
              <w:right w:val="single" w:color="auto" w:sz="4" w:space="0"/>
            </w:tcBorders>
            <w:vAlign w:val="center"/>
          </w:tcPr>
          <w:p>
            <w:pPr>
              <w:widowControl/>
              <w:jc w:val="left"/>
              <w:textAlignment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大坪站</w:t>
            </w:r>
          </w:p>
        </w:tc>
        <w:tc>
          <w:tcPr>
            <w:tcW w:w="2026"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6</w:t>
            </w:r>
          </w:p>
        </w:tc>
        <w:tc>
          <w:tcPr>
            <w:tcW w:w="2400"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36.75</w:t>
            </w:r>
          </w:p>
        </w:tc>
        <w:tc>
          <w:tcPr>
            <w:tcW w:w="1312"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1</w:t>
            </w:r>
          </w:p>
        </w:tc>
        <w:tc>
          <w:tcPr>
            <w:tcW w:w="1356"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1</w:t>
            </w:r>
          </w:p>
        </w:tc>
      </w:tr>
      <w:tr>
        <w:tblPrEx>
          <w:tblLayout w:type="fixed"/>
          <w:tblCellMar>
            <w:top w:w="0" w:type="dxa"/>
            <w:left w:w="108" w:type="dxa"/>
            <w:bottom w:w="0" w:type="dxa"/>
            <w:right w:w="108" w:type="dxa"/>
          </w:tblCellMar>
        </w:tblPrEx>
        <w:trPr>
          <w:trHeight w:val="458" w:hRule="exact"/>
        </w:trPr>
        <w:tc>
          <w:tcPr>
            <w:tcW w:w="2120" w:type="dxa"/>
            <w:tcBorders>
              <w:top w:val="nil"/>
              <w:left w:val="single" w:color="auto" w:sz="4" w:space="0"/>
              <w:bottom w:val="single" w:color="auto" w:sz="4" w:space="0"/>
              <w:right w:val="single" w:color="auto" w:sz="4" w:space="0"/>
            </w:tcBorders>
            <w:vAlign w:val="center"/>
          </w:tcPr>
          <w:p>
            <w:pPr>
              <w:widowControl/>
              <w:jc w:val="left"/>
              <w:textAlignment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袁家岗站</w:t>
            </w:r>
          </w:p>
        </w:tc>
        <w:tc>
          <w:tcPr>
            <w:tcW w:w="2026"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color w:val="auto"/>
                <w:kern w:val="0"/>
                <w:szCs w:val="21"/>
                <w:highlight w:val="none"/>
              </w:rPr>
              <w:t>无</w:t>
            </w:r>
          </w:p>
        </w:tc>
        <w:tc>
          <w:tcPr>
            <w:tcW w:w="2400"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29.15</w:t>
            </w:r>
          </w:p>
        </w:tc>
        <w:tc>
          <w:tcPr>
            <w:tcW w:w="1312"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0</w:t>
            </w:r>
          </w:p>
        </w:tc>
        <w:tc>
          <w:tcPr>
            <w:tcW w:w="1356"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1</w:t>
            </w:r>
          </w:p>
        </w:tc>
      </w:tr>
      <w:tr>
        <w:tblPrEx>
          <w:tblLayout w:type="fixed"/>
          <w:tblCellMar>
            <w:top w:w="0" w:type="dxa"/>
            <w:left w:w="108" w:type="dxa"/>
            <w:bottom w:w="0" w:type="dxa"/>
            <w:right w:w="108" w:type="dxa"/>
          </w:tblCellMar>
        </w:tblPrEx>
        <w:trPr>
          <w:trHeight w:val="458" w:hRule="exact"/>
        </w:trPr>
        <w:tc>
          <w:tcPr>
            <w:tcW w:w="2120" w:type="dxa"/>
            <w:tcBorders>
              <w:top w:val="nil"/>
              <w:left w:val="single" w:color="auto" w:sz="4" w:space="0"/>
              <w:bottom w:val="single" w:color="auto" w:sz="4" w:space="0"/>
              <w:right w:val="single" w:color="auto" w:sz="4" w:space="0"/>
            </w:tcBorders>
            <w:vAlign w:val="center"/>
          </w:tcPr>
          <w:p>
            <w:pPr>
              <w:widowControl/>
              <w:jc w:val="left"/>
              <w:textAlignment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谢家湾站</w:t>
            </w:r>
          </w:p>
        </w:tc>
        <w:tc>
          <w:tcPr>
            <w:tcW w:w="2026"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color w:val="auto"/>
                <w:kern w:val="0"/>
                <w:szCs w:val="21"/>
                <w:highlight w:val="none"/>
              </w:rPr>
              <w:t>无</w:t>
            </w:r>
          </w:p>
        </w:tc>
        <w:tc>
          <w:tcPr>
            <w:tcW w:w="2400"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34.56</w:t>
            </w:r>
          </w:p>
        </w:tc>
        <w:tc>
          <w:tcPr>
            <w:tcW w:w="1312"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0</w:t>
            </w:r>
          </w:p>
        </w:tc>
        <w:tc>
          <w:tcPr>
            <w:tcW w:w="1356"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1</w:t>
            </w:r>
          </w:p>
        </w:tc>
      </w:tr>
      <w:tr>
        <w:tblPrEx>
          <w:tblLayout w:type="fixed"/>
          <w:tblCellMar>
            <w:top w:w="0" w:type="dxa"/>
            <w:left w:w="108" w:type="dxa"/>
            <w:bottom w:w="0" w:type="dxa"/>
            <w:right w:w="108" w:type="dxa"/>
          </w:tblCellMar>
        </w:tblPrEx>
        <w:trPr>
          <w:trHeight w:val="458" w:hRule="exact"/>
        </w:trPr>
        <w:tc>
          <w:tcPr>
            <w:tcW w:w="2120" w:type="dxa"/>
            <w:tcBorders>
              <w:top w:val="nil"/>
              <w:left w:val="single" w:color="auto" w:sz="4" w:space="0"/>
              <w:bottom w:val="single" w:color="auto" w:sz="4" w:space="0"/>
              <w:right w:val="single" w:color="auto" w:sz="4" w:space="0"/>
            </w:tcBorders>
            <w:vAlign w:val="center"/>
          </w:tcPr>
          <w:p>
            <w:pPr>
              <w:widowControl/>
              <w:jc w:val="left"/>
              <w:textAlignment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杨家坪站</w:t>
            </w:r>
          </w:p>
        </w:tc>
        <w:tc>
          <w:tcPr>
            <w:tcW w:w="2026"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color w:val="auto"/>
                <w:kern w:val="0"/>
                <w:szCs w:val="21"/>
                <w:highlight w:val="none"/>
              </w:rPr>
              <w:t>无</w:t>
            </w:r>
          </w:p>
        </w:tc>
        <w:tc>
          <w:tcPr>
            <w:tcW w:w="2400"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34.56</w:t>
            </w:r>
          </w:p>
        </w:tc>
        <w:tc>
          <w:tcPr>
            <w:tcW w:w="1312"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0</w:t>
            </w:r>
          </w:p>
        </w:tc>
        <w:tc>
          <w:tcPr>
            <w:tcW w:w="1356"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1</w:t>
            </w:r>
          </w:p>
        </w:tc>
      </w:tr>
      <w:tr>
        <w:tblPrEx>
          <w:tblLayout w:type="fixed"/>
          <w:tblCellMar>
            <w:top w:w="0" w:type="dxa"/>
            <w:left w:w="108" w:type="dxa"/>
            <w:bottom w:w="0" w:type="dxa"/>
            <w:right w:w="108" w:type="dxa"/>
          </w:tblCellMar>
        </w:tblPrEx>
        <w:trPr>
          <w:trHeight w:val="458" w:hRule="exact"/>
        </w:trPr>
        <w:tc>
          <w:tcPr>
            <w:tcW w:w="2120" w:type="dxa"/>
            <w:tcBorders>
              <w:top w:val="nil"/>
              <w:left w:val="single" w:color="auto" w:sz="4" w:space="0"/>
              <w:bottom w:val="single" w:color="auto" w:sz="4" w:space="0"/>
              <w:right w:val="single" w:color="auto" w:sz="4" w:space="0"/>
            </w:tcBorders>
            <w:vAlign w:val="center"/>
          </w:tcPr>
          <w:p>
            <w:pPr>
              <w:widowControl/>
              <w:jc w:val="left"/>
              <w:textAlignment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动物园站</w:t>
            </w:r>
          </w:p>
        </w:tc>
        <w:tc>
          <w:tcPr>
            <w:tcW w:w="2026"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color w:val="auto"/>
                <w:kern w:val="0"/>
                <w:szCs w:val="21"/>
                <w:highlight w:val="none"/>
              </w:rPr>
              <w:t>无</w:t>
            </w:r>
          </w:p>
        </w:tc>
        <w:tc>
          <w:tcPr>
            <w:tcW w:w="2400"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34.56</w:t>
            </w:r>
          </w:p>
        </w:tc>
        <w:tc>
          <w:tcPr>
            <w:tcW w:w="1312"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0</w:t>
            </w:r>
          </w:p>
        </w:tc>
        <w:tc>
          <w:tcPr>
            <w:tcW w:w="1356"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1</w:t>
            </w:r>
          </w:p>
        </w:tc>
      </w:tr>
      <w:tr>
        <w:tblPrEx>
          <w:tblLayout w:type="fixed"/>
          <w:tblCellMar>
            <w:top w:w="0" w:type="dxa"/>
            <w:left w:w="108" w:type="dxa"/>
            <w:bottom w:w="0" w:type="dxa"/>
            <w:right w:w="108" w:type="dxa"/>
          </w:tblCellMar>
        </w:tblPrEx>
        <w:trPr>
          <w:trHeight w:val="458" w:hRule="exact"/>
        </w:trPr>
        <w:tc>
          <w:tcPr>
            <w:tcW w:w="2120" w:type="dxa"/>
            <w:tcBorders>
              <w:top w:val="nil"/>
              <w:left w:val="single" w:color="auto" w:sz="4" w:space="0"/>
              <w:bottom w:val="single" w:color="auto" w:sz="4" w:space="0"/>
              <w:right w:val="single" w:color="auto" w:sz="4" w:space="0"/>
            </w:tcBorders>
            <w:vAlign w:val="center"/>
          </w:tcPr>
          <w:p>
            <w:pPr>
              <w:widowControl/>
              <w:jc w:val="left"/>
              <w:textAlignment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大堰村站</w:t>
            </w:r>
          </w:p>
        </w:tc>
        <w:tc>
          <w:tcPr>
            <w:tcW w:w="2026"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color w:val="auto"/>
                <w:kern w:val="0"/>
                <w:szCs w:val="21"/>
                <w:highlight w:val="none"/>
              </w:rPr>
              <w:t>无</w:t>
            </w:r>
          </w:p>
        </w:tc>
        <w:tc>
          <w:tcPr>
            <w:tcW w:w="2400"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29.16</w:t>
            </w:r>
          </w:p>
        </w:tc>
        <w:tc>
          <w:tcPr>
            <w:tcW w:w="1312"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0</w:t>
            </w:r>
          </w:p>
        </w:tc>
        <w:tc>
          <w:tcPr>
            <w:tcW w:w="1356"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1</w:t>
            </w:r>
          </w:p>
        </w:tc>
      </w:tr>
      <w:tr>
        <w:tblPrEx>
          <w:tblLayout w:type="fixed"/>
          <w:tblCellMar>
            <w:top w:w="0" w:type="dxa"/>
            <w:left w:w="108" w:type="dxa"/>
            <w:bottom w:w="0" w:type="dxa"/>
            <w:right w:w="108" w:type="dxa"/>
          </w:tblCellMar>
        </w:tblPrEx>
        <w:trPr>
          <w:trHeight w:val="458" w:hRule="exact"/>
        </w:trPr>
        <w:tc>
          <w:tcPr>
            <w:tcW w:w="2120" w:type="dxa"/>
            <w:tcBorders>
              <w:top w:val="nil"/>
              <w:left w:val="single" w:color="auto" w:sz="4" w:space="0"/>
              <w:bottom w:val="single" w:color="auto" w:sz="4" w:space="0"/>
              <w:right w:val="single" w:color="auto" w:sz="4" w:space="0"/>
            </w:tcBorders>
            <w:vAlign w:val="center"/>
          </w:tcPr>
          <w:p>
            <w:pPr>
              <w:widowControl/>
              <w:jc w:val="left"/>
              <w:textAlignment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马王场站</w:t>
            </w:r>
          </w:p>
        </w:tc>
        <w:tc>
          <w:tcPr>
            <w:tcW w:w="2026"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color w:val="auto"/>
                <w:kern w:val="0"/>
                <w:szCs w:val="21"/>
                <w:highlight w:val="none"/>
              </w:rPr>
              <w:t>无</w:t>
            </w:r>
          </w:p>
        </w:tc>
        <w:tc>
          <w:tcPr>
            <w:tcW w:w="2400"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46.37</w:t>
            </w:r>
          </w:p>
        </w:tc>
        <w:tc>
          <w:tcPr>
            <w:tcW w:w="1312"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0</w:t>
            </w:r>
          </w:p>
        </w:tc>
        <w:tc>
          <w:tcPr>
            <w:tcW w:w="1356"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1</w:t>
            </w:r>
          </w:p>
        </w:tc>
      </w:tr>
      <w:tr>
        <w:tblPrEx>
          <w:tblLayout w:type="fixed"/>
          <w:tblCellMar>
            <w:top w:w="0" w:type="dxa"/>
            <w:left w:w="108" w:type="dxa"/>
            <w:bottom w:w="0" w:type="dxa"/>
            <w:right w:w="108" w:type="dxa"/>
          </w:tblCellMar>
        </w:tblPrEx>
        <w:trPr>
          <w:trHeight w:val="458" w:hRule="exact"/>
        </w:trPr>
        <w:tc>
          <w:tcPr>
            <w:tcW w:w="2120" w:type="dxa"/>
            <w:tcBorders>
              <w:top w:val="nil"/>
              <w:left w:val="single" w:color="auto" w:sz="4" w:space="0"/>
              <w:bottom w:val="single" w:color="auto" w:sz="4" w:space="0"/>
              <w:right w:val="single" w:color="auto" w:sz="4" w:space="0"/>
            </w:tcBorders>
            <w:vAlign w:val="center"/>
          </w:tcPr>
          <w:p>
            <w:pPr>
              <w:widowControl/>
              <w:jc w:val="left"/>
              <w:textAlignment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平安站</w:t>
            </w:r>
          </w:p>
        </w:tc>
        <w:tc>
          <w:tcPr>
            <w:tcW w:w="2026"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color w:val="auto"/>
                <w:kern w:val="0"/>
                <w:szCs w:val="21"/>
                <w:highlight w:val="none"/>
              </w:rPr>
              <w:t>无</w:t>
            </w:r>
          </w:p>
        </w:tc>
        <w:tc>
          <w:tcPr>
            <w:tcW w:w="2400"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79.97</w:t>
            </w:r>
          </w:p>
        </w:tc>
        <w:tc>
          <w:tcPr>
            <w:tcW w:w="1312"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0</w:t>
            </w:r>
          </w:p>
        </w:tc>
        <w:tc>
          <w:tcPr>
            <w:tcW w:w="1356"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2</w:t>
            </w:r>
          </w:p>
        </w:tc>
      </w:tr>
      <w:tr>
        <w:tblPrEx>
          <w:tblLayout w:type="fixed"/>
          <w:tblCellMar>
            <w:top w:w="0" w:type="dxa"/>
            <w:left w:w="108" w:type="dxa"/>
            <w:bottom w:w="0" w:type="dxa"/>
            <w:right w:w="108" w:type="dxa"/>
          </w:tblCellMar>
        </w:tblPrEx>
        <w:trPr>
          <w:trHeight w:val="458" w:hRule="exact"/>
        </w:trPr>
        <w:tc>
          <w:tcPr>
            <w:tcW w:w="2120" w:type="dxa"/>
            <w:tcBorders>
              <w:top w:val="nil"/>
              <w:left w:val="single" w:color="auto" w:sz="4" w:space="0"/>
              <w:bottom w:val="single" w:color="auto" w:sz="4" w:space="0"/>
              <w:right w:val="single" w:color="auto" w:sz="4" w:space="0"/>
            </w:tcBorders>
            <w:vAlign w:val="center"/>
          </w:tcPr>
          <w:p>
            <w:pPr>
              <w:widowControl/>
              <w:jc w:val="left"/>
              <w:textAlignment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大渡口站</w:t>
            </w:r>
          </w:p>
        </w:tc>
        <w:tc>
          <w:tcPr>
            <w:tcW w:w="2026"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color w:val="auto"/>
                <w:kern w:val="0"/>
                <w:szCs w:val="21"/>
                <w:highlight w:val="none"/>
              </w:rPr>
              <w:t>无</w:t>
            </w:r>
          </w:p>
        </w:tc>
        <w:tc>
          <w:tcPr>
            <w:tcW w:w="2400"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29.79</w:t>
            </w:r>
          </w:p>
        </w:tc>
        <w:tc>
          <w:tcPr>
            <w:tcW w:w="1312"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0</w:t>
            </w:r>
          </w:p>
        </w:tc>
        <w:tc>
          <w:tcPr>
            <w:tcW w:w="1356"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1</w:t>
            </w:r>
          </w:p>
        </w:tc>
      </w:tr>
      <w:tr>
        <w:tblPrEx>
          <w:tblLayout w:type="fixed"/>
          <w:tblCellMar>
            <w:top w:w="0" w:type="dxa"/>
            <w:left w:w="108" w:type="dxa"/>
            <w:bottom w:w="0" w:type="dxa"/>
            <w:right w:w="108" w:type="dxa"/>
          </w:tblCellMar>
        </w:tblPrEx>
        <w:trPr>
          <w:trHeight w:val="458" w:hRule="exact"/>
        </w:trPr>
        <w:tc>
          <w:tcPr>
            <w:tcW w:w="2120" w:type="dxa"/>
            <w:tcBorders>
              <w:top w:val="nil"/>
              <w:left w:val="single" w:color="auto" w:sz="4" w:space="0"/>
              <w:bottom w:val="single" w:color="auto" w:sz="4" w:space="0"/>
              <w:right w:val="single" w:color="auto" w:sz="4" w:space="0"/>
            </w:tcBorders>
            <w:vAlign w:val="center"/>
          </w:tcPr>
          <w:p>
            <w:pPr>
              <w:widowControl/>
              <w:jc w:val="left"/>
              <w:textAlignment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新山村站</w:t>
            </w:r>
          </w:p>
        </w:tc>
        <w:tc>
          <w:tcPr>
            <w:tcW w:w="2026"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color w:val="auto"/>
                <w:kern w:val="0"/>
                <w:szCs w:val="21"/>
                <w:highlight w:val="none"/>
              </w:rPr>
              <w:t>无</w:t>
            </w:r>
          </w:p>
        </w:tc>
        <w:tc>
          <w:tcPr>
            <w:tcW w:w="2400"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500</w:t>
            </w:r>
          </w:p>
        </w:tc>
        <w:tc>
          <w:tcPr>
            <w:tcW w:w="1312"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0</w:t>
            </w:r>
          </w:p>
        </w:tc>
        <w:tc>
          <w:tcPr>
            <w:tcW w:w="1356"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1</w:t>
            </w:r>
          </w:p>
        </w:tc>
      </w:tr>
      <w:tr>
        <w:tblPrEx>
          <w:tblLayout w:type="fixed"/>
          <w:tblCellMar>
            <w:top w:w="0" w:type="dxa"/>
            <w:left w:w="108" w:type="dxa"/>
            <w:bottom w:w="0" w:type="dxa"/>
            <w:right w:w="108" w:type="dxa"/>
          </w:tblCellMar>
        </w:tblPrEx>
        <w:trPr>
          <w:trHeight w:val="458" w:hRule="exact"/>
        </w:trPr>
        <w:tc>
          <w:tcPr>
            <w:tcW w:w="2120" w:type="dxa"/>
            <w:tcBorders>
              <w:top w:val="nil"/>
              <w:left w:val="single" w:color="auto" w:sz="4" w:space="0"/>
              <w:bottom w:val="single" w:color="auto" w:sz="4" w:space="0"/>
              <w:right w:val="single" w:color="auto" w:sz="4" w:space="0"/>
            </w:tcBorders>
            <w:vAlign w:val="center"/>
          </w:tcPr>
          <w:p>
            <w:pPr>
              <w:widowControl/>
              <w:jc w:val="left"/>
              <w:textAlignment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大坪控制中心</w:t>
            </w:r>
          </w:p>
        </w:tc>
        <w:tc>
          <w:tcPr>
            <w:tcW w:w="2026"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color w:val="auto"/>
                <w:kern w:val="0"/>
                <w:szCs w:val="21"/>
                <w:highlight w:val="none"/>
              </w:rPr>
              <w:t>无</w:t>
            </w:r>
          </w:p>
        </w:tc>
        <w:tc>
          <w:tcPr>
            <w:tcW w:w="2400"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205.2</w:t>
            </w:r>
          </w:p>
        </w:tc>
        <w:tc>
          <w:tcPr>
            <w:tcW w:w="1312"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0</w:t>
            </w:r>
          </w:p>
        </w:tc>
        <w:tc>
          <w:tcPr>
            <w:tcW w:w="1356"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1</w:t>
            </w:r>
          </w:p>
        </w:tc>
      </w:tr>
      <w:tr>
        <w:tblPrEx>
          <w:tblLayout w:type="fixed"/>
          <w:tblCellMar>
            <w:top w:w="0" w:type="dxa"/>
            <w:left w:w="108" w:type="dxa"/>
            <w:bottom w:w="0" w:type="dxa"/>
            <w:right w:w="108" w:type="dxa"/>
          </w:tblCellMar>
        </w:tblPrEx>
        <w:trPr>
          <w:trHeight w:val="458" w:hRule="exact"/>
        </w:trPr>
        <w:tc>
          <w:tcPr>
            <w:tcW w:w="2120" w:type="dxa"/>
            <w:tcBorders>
              <w:top w:val="nil"/>
              <w:left w:val="single" w:color="auto" w:sz="4" w:space="0"/>
              <w:bottom w:val="single" w:color="auto" w:sz="4" w:space="0"/>
              <w:right w:val="single" w:color="auto" w:sz="4" w:space="0"/>
            </w:tcBorders>
            <w:vAlign w:val="center"/>
          </w:tcPr>
          <w:p>
            <w:pPr>
              <w:widowControl/>
              <w:jc w:val="left"/>
              <w:textAlignment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动物园主变电所</w:t>
            </w:r>
          </w:p>
        </w:tc>
        <w:tc>
          <w:tcPr>
            <w:tcW w:w="2026" w:type="dxa"/>
            <w:tcBorders>
              <w:top w:val="single" w:color="auto" w:sz="4" w:space="0"/>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无</w:t>
            </w:r>
          </w:p>
        </w:tc>
        <w:tc>
          <w:tcPr>
            <w:tcW w:w="2400"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110.43</w:t>
            </w:r>
          </w:p>
        </w:tc>
        <w:tc>
          <w:tcPr>
            <w:tcW w:w="1312"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0</w:t>
            </w:r>
          </w:p>
        </w:tc>
        <w:tc>
          <w:tcPr>
            <w:tcW w:w="1356"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w:t>
            </w:r>
          </w:p>
        </w:tc>
      </w:tr>
      <w:tr>
        <w:tblPrEx>
          <w:tblLayout w:type="fixed"/>
          <w:tblCellMar>
            <w:top w:w="0" w:type="dxa"/>
            <w:left w:w="108" w:type="dxa"/>
            <w:bottom w:w="0" w:type="dxa"/>
            <w:right w:w="108" w:type="dxa"/>
          </w:tblCellMar>
        </w:tblPrEx>
        <w:trPr>
          <w:trHeight w:val="458" w:hRule="exact"/>
        </w:trPr>
        <w:tc>
          <w:tcPr>
            <w:tcW w:w="2120" w:type="dxa"/>
            <w:tcBorders>
              <w:top w:val="nil"/>
              <w:left w:val="single" w:color="auto" w:sz="4" w:space="0"/>
              <w:bottom w:val="single" w:color="auto" w:sz="4" w:space="0"/>
              <w:right w:val="single" w:color="auto" w:sz="4" w:space="0"/>
            </w:tcBorders>
            <w:vAlign w:val="center"/>
          </w:tcPr>
          <w:p>
            <w:pPr>
              <w:widowControl/>
              <w:jc w:val="left"/>
              <w:textAlignment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天堂堡</w:t>
            </w:r>
          </w:p>
        </w:tc>
        <w:tc>
          <w:tcPr>
            <w:tcW w:w="2026"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无</w:t>
            </w:r>
          </w:p>
        </w:tc>
        <w:tc>
          <w:tcPr>
            <w:tcW w:w="2400"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122.88</w:t>
            </w:r>
          </w:p>
        </w:tc>
        <w:tc>
          <w:tcPr>
            <w:tcW w:w="1312"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0</w:t>
            </w:r>
          </w:p>
        </w:tc>
        <w:tc>
          <w:tcPr>
            <w:tcW w:w="1356"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w:t>
            </w:r>
          </w:p>
        </w:tc>
      </w:tr>
      <w:tr>
        <w:tblPrEx>
          <w:tblLayout w:type="fixed"/>
          <w:tblCellMar>
            <w:top w:w="0" w:type="dxa"/>
            <w:left w:w="108" w:type="dxa"/>
            <w:bottom w:w="0" w:type="dxa"/>
            <w:right w:w="108" w:type="dxa"/>
          </w:tblCellMar>
        </w:tblPrEx>
        <w:trPr>
          <w:trHeight w:val="458" w:hRule="exact"/>
        </w:trPr>
        <w:tc>
          <w:tcPr>
            <w:tcW w:w="2120" w:type="dxa"/>
            <w:tcBorders>
              <w:top w:val="nil"/>
              <w:left w:val="single" w:color="auto" w:sz="4" w:space="0"/>
              <w:bottom w:val="single" w:color="auto" w:sz="4" w:space="0"/>
              <w:right w:val="single" w:color="auto" w:sz="4" w:space="0"/>
            </w:tcBorders>
            <w:vAlign w:val="center"/>
          </w:tcPr>
          <w:p>
            <w:pPr>
              <w:widowControl/>
              <w:jc w:val="left"/>
              <w:textAlignment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建桥</w:t>
            </w:r>
          </w:p>
        </w:tc>
        <w:tc>
          <w:tcPr>
            <w:tcW w:w="2026"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无</w:t>
            </w:r>
          </w:p>
        </w:tc>
        <w:tc>
          <w:tcPr>
            <w:tcW w:w="2400"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20.54</w:t>
            </w:r>
          </w:p>
        </w:tc>
        <w:tc>
          <w:tcPr>
            <w:tcW w:w="1312"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0</w:t>
            </w:r>
          </w:p>
        </w:tc>
        <w:tc>
          <w:tcPr>
            <w:tcW w:w="1356"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w:t>
            </w:r>
          </w:p>
        </w:tc>
      </w:tr>
      <w:tr>
        <w:tblPrEx>
          <w:tblLayout w:type="fixed"/>
          <w:tblCellMar>
            <w:top w:w="0" w:type="dxa"/>
            <w:left w:w="108" w:type="dxa"/>
            <w:bottom w:w="0" w:type="dxa"/>
            <w:right w:w="108" w:type="dxa"/>
          </w:tblCellMar>
        </w:tblPrEx>
        <w:trPr>
          <w:trHeight w:val="458" w:hRule="exact"/>
        </w:trPr>
        <w:tc>
          <w:tcPr>
            <w:tcW w:w="2120" w:type="dxa"/>
            <w:tcBorders>
              <w:top w:val="nil"/>
              <w:left w:val="single" w:color="auto" w:sz="4" w:space="0"/>
              <w:bottom w:val="single" w:color="auto" w:sz="4" w:space="0"/>
              <w:right w:val="single" w:color="auto" w:sz="4" w:space="0"/>
            </w:tcBorders>
            <w:vAlign w:val="center"/>
          </w:tcPr>
          <w:p>
            <w:pPr>
              <w:widowControl/>
              <w:jc w:val="left"/>
              <w:textAlignment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金家湾</w:t>
            </w:r>
          </w:p>
        </w:tc>
        <w:tc>
          <w:tcPr>
            <w:tcW w:w="2026"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无</w:t>
            </w:r>
          </w:p>
        </w:tc>
        <w:tc>
          <w:tcPr>
            <w:tcW w:w="2400"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20.54</w:t>
            </w:r>
          </w:p>
        </w:tc>
        <w:tc>
          <w:tcPr>
            <w:tcW w:w="1312"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0</w:t>
            </w:r>
          </w:p>
        </w:tc>
        <w:tc>
          <w:tcPr>
            <w:tcW w:w="1356"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w:t>
            </w:r>
          </w:p>
        </w:tc>
      </w:tr>
      <w:tr>
        <w:tblPrEx>
          <w:tblLayout w:type="fixed"/>
          <w:tblCellMar>
            <w:top w:w="0" w:type="dxa"/>
            <w:left w:w="108" w:type="dxa"/>
            <w:bottom w:w="0" w:type="dxa"/>
            <w:right w:w="108" w:type="dxa"/>
          </w:tblCellMar>
        </w:tblPrEx>
        <w:trPr>
          <w:trHeight w:val="458" w:hRule="exact"/>
        </w:trPr>
        <w:tc>
          <w:tcPr>
            <w:tcW w:w="212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刘家坝</w:t>
            </w:r>
          </w:p>
        </w:tc>
        <w:tc>
          <w:tcPr>
            <w:tcW w:w="20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无</w:t>
            </w:r>
          </w:p>
        </w:tc>
        <w:tc>
          <w:tcPr>
            <w:tcW w:w="24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20.54</w:t>
            </w:r>
          </w:p>
        </w:tc>
        <w:tc>
          <w:tcPr>
            <w:tcW w:w="13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0</w:t>
            </w:r>
          </w:p>
        </w:tc>
        <w:tc>
          <w:tcPr>
            <w:tcW w:w="135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w:t>
            </w:r>
          </w:p>
        </w:tc>
      </w:tr>
      <w:tr>
        <w:tblPrEx>
          <w:tblLayout w:type="fixed"/>
          <w:tblCellMar>
            <w:top w:w="0" w:type="dxa"/>
            <w:left w:w="108" w:type="dxa"/>
            <w:bottom w:w="0" w:type="dxa"/>
            <w:right w:w="108" w:type="dxa"/>
          </w:tblCellMar>
        </w:tblPrEx>
        <w:trPr>
          <w:trHeight w:val="458" w:hRule="exact"/>
        </w:trPr>
        <w:tc>
          <w:tcPr>
            <w:tcW w:w="212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白居寺</w:t>
            </w:r>
          </w:p>
        </w:tc>
        <w:tc>
          <w:tcPr>
            <w:tcW w:w="2026" w:type="dxa"/>
            <w:tcBorders>
              <w:top w:val="single" w:color="auto" w:sz="4" w:space="0"/>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color w:val="auto"/>
                <w:kern w:val="0"/>
                <w:szCs w:val="21"/>
                <w:highlight w:val="none"/>
              </w:rPr>
              <w:t>无</w:t>
            </w:r>
          </w:p>
        </w:tc>
        <w:tc>
          <w:tcPr>
            <w:tcW w:w="2400" w:type="dxa"/>
            <w:tcBorders>
              <w:top w:val="single" w:color="auto" w:sz="4" w:space="0"/>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0"/>
                <w:szCs w:val="21"/>
                <w:highlight w:val="none"/>
              </w:rPr>
              <w:t>20.54</w:t>
            </w:r>
          </w:p>
        </w:tc>
        <w:tc>
          <w:tcPr>
            <w:tcW w:w="1312" w:type="dxa"/>
            <w:tcBorders>
              <w:top w:val="single" w:color="auto" w:sz="4" w:space="0"/>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0</w:t>
            </w:r>
          </w:p>
        </w:tc>
        <w:tc>
          <w:tcPr>
            <w:tcW w:w="1356" w:type="dxa"/>
            <w:tcBorders>
              <w:top w:val="single" w:color="auto" w:sz="4" w:space="0"/>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w:t>
            </w:r>
          </w:p>
        </w:tc>
      </w:tr>
      <w:tr>
        <w:tblPrEx>
          <w:tblLayout w:type="fixed"/>
          <w:tblCellMar>
            <w:top w:w="0" w:type="dxa"/>
            <w:left w:w="108" w:type="dxa"/>
            <w:bottom w:w="0" w:type="dxa"/>
            <w:right w:w="108" w:type="dxa"/>
          </w:tblCellMar>
        </w:tblPrEx>
        <w:trPr>
          <w:trHeight w:val="458" w:hRule="exact"/>
        </w:trPr>
        <w:tc>
          <w:tcPr>
            <w:tcW w:w="2120" w:type="dxa"/>
            <w:tcBorders>
              <w:top w:val="nil"/>
              <w:left w:val="single" w:color="auto" w:sz="4" w:space="0"/>
              <w:bottom w:val="single" w:color="auto" w:sz="4" w:space="0"/>
              <w:right w:val="single" w:color="auto" w:sz="4" w:space="0"/>
            </w:tcBorders>
            <w:vAlign w:val="center"/>
          </w:tcPr>
          <w:p>
            <w:pPr>
              <w:widowControl/>
              <w:jc w:val="left"/>
              <w:textAlignment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大江</w:t>
            </w:r>
          </w:p>
        </w:tc>
        <w:tc>
          <w:tcPr>
            <w:tcW w:w="2026"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无</w:t>
            </w:r>
          </w:p>
        </w:tc>
        <w:tc>
          <w:tcPr>
            <w:tcW w:w="2400"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20.54</w:t>
            </w:r>
          </w:p>
        </w:tc>
        <w:tc>
          <w:tcPr>
            <w:tcW w:w="1312"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0</w:t>
            </w:r>
          </w:p>
        </w:tc>
        <w:tc>
          <w:tcPr>
            <w:tcW w:w="1356"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w:t>
            </w:r>
          </w:p>
        </w:tc>
      </w:tr>
      <w:tr>
        <w:tblPrEx>
          <w:tblLayout w:type="fixed"/>
          <w:tblCellMar>
            <w:top w:w="0" w:type="dxa"/>
            <w:left w:w="108" w:type="dxa"/>
            <w:bottom w:w="0" w:type="dxa"/>
            <w:right w:w="108" w:type="dxa"/>
          </w:tblCellMar>
        </w:tblPrEx>
        <w:trPr>
          <w:trHeight w:val="458" w:hRule="exact"/>
        </w:trPr>
        <w:tc>
          <w:tcPr>
            <w:tcW w:w="2120" w:type="dxa"/>
            <w:tcBorders>
              <w:top w:val="nil"/>
              <w:left w:val="single" w:color="auto" w:sz="4" w:space="0"/>
              <w:bottom w:val="single" w:color="auto" w:sz="4" w:space="0"/>
              <w:right w:val="single" w:color="auto" w:sz="4" w:space="0"/>
            </w:tcBorders>
            <w:vAlign w:val="center"/>
          </w:tcPr>
          <w:p>
            <w:pPr>
              <w:widowControl/>
              <w:jc w:val="left"/>
              <w:textAlignment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大坪控制中心隔油池</w:t>
            </w:r>
          </w:p>
        </w:tc>
        <w:tc>
          <w:tcPr>
            <w:tcW w:w="2026"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color w:val="auto"/>
                <w:kern w:val="0"/>
                <w:szCs w:val="21"/>
                <w:highlight w:val="none"/>
              </w:rPr>
              <w:t>体积m³</w:t>
            </w:r>
          </w:p>
        </w:tc>
        <w:tc>
          <w:tcPr>
            <w:tcW w:w="2400"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18</w:t>
            </w:r>
          </w:p>
        </w:tc>
        <w:tc>
          <w:tcPr>
            <w:tcW w:w="1312"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数量（个）</w:t>
            </w:r>
          </w:p>
        </w:tc>
        <w:tc>
          <w:tcPr>
            <w:tcW w:w="1356" w:type="dxa"/>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w:t>
            </w:r>
          </w:p>
        </w:tc>
      </w:tr>
      <w:tr>
        <w:tblPrEx>
          <w:tblLayout w:type="fixed"/>
          <w:tblCellMar>
            <w:top w:w="0" w:type="dxa"/>
            <w:left w:w="108" w:type="dxa"/>
            <w:bottom w:w="0" w:type="dxa"/>
            <w:right w:w="108" w:type="dxa"/>
          </w:tblCellMar>
        </w:tblPrEx>
        <w:trPr>
          <w:trHeight w:val="566" w:hRule="exact"/>
        </w:trPr>
        <w:tc>
          <w:tcPr>
            <w:tcW w:w="2120" w:type="dxa"/>
            <w:tcBorders>
              <w:top w:val="nil"/>
              <w:left w:val="single" w:color="auto" w:sz="4" w:space="0"/>
              <w:bottom w:val="single" w:color="auto" w:sz="4" w:space="0"/>
              <w:right w:val="single" w:color="auto" w:sz="4" w:space="0"/>
            </w:tcBorders>
            <w:vAlign w:val="center"/>
          </w:tcPr>
          <w:p>
            <w:pPr>
              <w:widowControl/>
              <w:jc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合计</w:t>
            </w:r>
          </w:p>
        </w:tc>
        <w:tc>
          <w:tcPr>
            <w:tcW w:w="4426" w:type="dxa"/>
            <w:gridSpan w:val="2"/>
            <w:tcBorders>
              <w:top w:val="nil"/>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清掏体积：</w:t>
            </w:r>
            <w:r>
              <w:rPr>
                <w:rFonts w:hint="eastAsia" w:ascii="方正仿宋_GBK" w:hAnsi="方正仿宋_GBK" w:eastAsia="方正仿宋_GBK" w:cs="方正仿宋_GBK"/>
                <w:color w:val="auto"/>
                <w:kern w:val="0"/>
                <w:szCs w:val="21"/>
                <w:highlight w:val="none"/>
              </w:rPr>
              <w:t>1868.79</w:t>
            </w:r>
            <w:r>
              <w:rPr>
                <w:rFonts w:hint="eastAsia" w:ascii="方正仿宋_GBK" w:hAnsi="方正仿宋_GBK" w:eastAsia="方正仿宋_GBK" w:cs="方正仿宋_GBK"/>
                <w:bCs/>
                <w:snapToGrid w:val="0"/>
                <w:color w:val="auto"/>
                <w:kern w:val="0"/>
                <w:szCs w:val="21"/>
                <w:highlight w:val="none"/>
              </w:rPr>
              <w:t>m³</w:t>
            </w:r>
          </w:p>
        </w:tc>
        <w:tc>
          <w:tcPr>
            <w:tcW w:w="2668" w:type="dxa"/>
            <w:gridSpan w:val="2"/>
            <w:tcBorders>
              <w:top w:val="nil"/>
              <w:left w:val="nil"/>
              <w:bottom w:val="single" w:color="auto" w:sz="4" w:space="0"/>
              <w:right w:val="single" w:color="auto" w:sz="4" w:space="0"/>
            </w:tcBorders>
            <w:vAlign w:val="center"/>
          </w:tcPr>
          <w:p>
            <w:pPr>
              <w:widowControl/>
              <w:jc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31个</w:t>
            </w:r>
          </w:p>
        </w:tc>
      </w:tr>
      <w:tr>
        <w:tblPrEx>
          <w:tblLayout w:type="fixed"/>
          <w:tblCellMar>
            <w:top w:w="0" w:type="dxa"/>
            <w:left w:w="108" w:type="dxa"/>
            <w:bottom w:w="0" w:type="dxa"/>
            <w:right w:w="108" w:type="dxa"/>
          </w:tblCellMar>
        </w:tblPrEx>
        <w:trPr>
          <w:trHeight w:val="1560" w:hRule="exact"/>
        </w:trPr>
        <w:tc>
          <w:tcPr>
            <w:tcW w:w="2120" w:type="dxa"/>
            <w:tcBorders>
              <w:top w:val="nil"/>
              <w:left w:val="single" w:color="auto" w:sz="4" w:space="0"/>
              <w:bottom w:val="single" w:color="auto" w:sz="4" w:space="0"/>
              <w:right w:val="single" w:color="auto" w:sz="4" w:space="0"/>
            </w:tcBorders>
            <w:vAlign w:val="center"/>
          </w:tcPr>
          <w:p>
            <w:pPr>
              <w:widowControl/>
              <w:jc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费用</w:t>
            </w:r>
          </w:p>
        </w:tc>
        <w:tc>
          <w:tcPr>
            <w:tcW w:w="7094" w:type="dxa"/>
            <w:gridSpan w:val="4"/>
            <w:tcBorders>
              <w:top w:val="nil"/>
              <w:left w:val="single" w:color="auto" w:sz="4" w:space="0"/>
              <w:bottom w:val="single" w:color="auto" w:sz="4" w:space="0"/>
              <w:right w:val="single" w:color="auto" w:sz="4" w:space="0"/>
            </w:tcBorders>
            <w:vAlign w:val="center"/>
          </w:tcPr>
          <w:p>
            <w:pPr>
              <w:widowControl/>
              <w:jc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清掏：实际执行的总清掏方量×单价（每季度一次，部分车站因客流量不同，甲方可根据实际情况调整清掏频次）</w:t>
            </w:r>
          </w:p>
        </w:tc>
      </w:tr>
    </w:tbl>
    <w:p>
      <w:pPr>
        <w:tabs>
          <w:tab w:val="left" w:pos="312"/>
          <w:tab w:val="left" w:pos="1985"/>
        </w:tabs>
        <w:jc w:val="left"/>
        <w:rPr>
          <w:rFonts w:ascii="方正仿宋_GBK" w:hAnsi="方正仿宋_GBK" w:eastAsia="方正仿宋_GBK" w:cs="方正仿宋_GBK"/>
          <w:bCs/>
          <w:snapToGrid w:val="0"/>
          <w:color w:val="auto"/>
          <w:kern w:val="0"/>
          <w:szCs w:val="21"/>
          <w:highlight w:val="none"/>
        </w:rPr>
      </w:pPr>
    </w:p>
    <w:p>
      <w:pPr>
        <w:tabs>
          <w:tab w:val="left" w:pos="312"/>
          <w:tab w:val="left" w:pos="1985"/>
        </w:tabs>
        <w:jc w:val="left"/>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 xml:space="preserve">2、车站排水设施清洁清单  </w:t>
      </w:r>
    </w:p>
    <w:tbl>
      <w:tblPr>
        <w:tblStyle w:val="10"/>
        <w:tblW w:w="9229" w:type="dxa"/>
        <w:tblInd w:w="0" w:type="dxa"/>
        <w:tblLayout w:type="fixed"/>
        <w:tblCellMar>
          <w:top w:w="0" w:type="dxa"/>
          <w:left w:w="0" w:type="dxa"/>
          <w:bottom w:w="0" w:type="dxa"/>
          <w:right w:w="0" w:type="dxa"/>
        </w:tblCellMar>
      </w:tblPr>
      <w:tblGrid>
        <w:gridCol w:w="724"/>
        <w:gridCol w:w="3827"/>
        <w:gridCol w:w="1985"/>
        <w:gridCol w:w="1276"/>
        <w:gridCol w:w="1417"/>
      </w:tblGrid>
      <w:tr>
        <w:tblPrEx>
          <w:tblLayout w:type="fixed"/>
          <w:tblCellMar>
            <w:top w:w="0" w:type="dxa"/>
            <w:left w:w="0" w:type="dxa"/>
            <w:bottom w:w="0" w:type="dxa"/>
            <w:right w:w="0" w:type="dxa"/>
          </w:tblCellMar>
        </w:tblPrEx>
        <w:trPr>
          <w:trHeight w:val="536" w:hRule="atLeast"/>
        </w:trPr>
        <w:tc>
          <w:tcPr>
            <w:tcW w:w="9229" w:type="dxa"/>
            <w:gridSpan w:val="5"/>
            <w:tcBorders>
              <w:top w:val="single" w:color="000000" w:sz="4" w:space="0"/>
              <w:left w:val="single" w:color="auto" w:sz="4" w:space="0"/>
              <w:bottom w:val="single" w:color="000000" w:sz="4" w:space="0"/>
              <w:right w:val="single" w:color="auto" w:sz="4" w:space="0"/>
            </w:tcBorders>
            <w:tcMar>
              <w:top w:w="15" w:type="dxa"/>
              <w:left w:w="15" w:type="dxa"/>
              <w:right w:w="15" w:type="dxa"/>
            </w:tcMar>
            <w:vAlign w:val="center"/>
          </w:tcPr>
          <w:p>
            <w:pPr>
              <w:tabs>
                <w:tab w:val="left" w:pos="1985"/>
              </w:tabs>
              <w:jc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2号线一期北段车站排水设施清洁清单</w:t>
            </w:r>
          </w:p>
        </w:tc>
      </w:tr>
      <w:tr>
        <w:tblPrEx>
          <w:tblLayout w:type="fixed"/>
          <w:tblCellMar>
            <w:top w:w="0" w:type="dxa"/>
            <w:left w:w="0" w:type="dxa"/>
            <w:bottom w:w="0" w:type="dxa"/>
            <w:right w:w="0" w:type="dxa"/>
          </w:tblCellMar>
        </w:tblPrEx>
        <w:trPr>
          <w:trHeight w:val="450" w:hRule="atLeast"/>
        </w:trPr>
        <w:tc>
          <w:tcPr>
            <w:tcW w:w="7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1985"/>
              </w:tabs>
              <w:jc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序号</w:t>
            </w:r>
          </w:p>
        </w:tc>
        <w:tc>
          <w:tcPr>
            <w:tcW w:w="3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1985"/>
              </w:tabs>
              <w:jc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项目名称</w:t>
            </w:r>
          </w:p>
        </w:tc>
        <w:tc>
          <w:tcPr>
            <w:tcW w:w="1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1985"/>
              </w:tabs>
              <w:jc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单位</w:t>
            </w:r>
          </w:p>
        </w:tc>
        <w:tc>
          <w:tcPr>
            <w:tcW w:w="1276"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tabs>
                <w:tab w:val="left" w:pos="1985"/>
              </w:tabs>
              <w:jc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数量</w:t>
            </w:r>
          </w:p>
        </w:tc>
        <w:tc>
          <w:tcPr>
            <w:tcW w:w="141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tabs>
                <w:tab w:val="left" w:pos="1985"/>
              </w:tabs>
              <w:jc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服务期内</w:t>
            </w:r>
          </w:p>
          <w:p>
            <w:pPr>
              <w:tabs>
                <w:tab w:val="left" w:pos="1985"/>
              </w:tabs>
              <w:jc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服务次数</w:t>
            </w:r>
          </w:p>
        </w:tc>
      </w:tr>
      <w:tr>
        <w:tblPrEx>
          <w:tblLayout w:type="fixed"/>
          <w:tblCellMar>
            <w:top w:w="0" w:type="dxa"/>
            <w:left w:w="0" w:type="dxa"/>
            <w:bottom w:w="0" w:type="dxa"/>
            <w:right w:w="0" w:type="dxa"/>
          </w:tblCellMar>
        </w:tblPrEx>
        <w:trPr>
          <w:trHeight w:val="675" w:hRule="atLeast"/>
        </w:trPr>
        <w:tc>
          <w:tcPr>
            <w:tcW w:w="7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1985"/>
              </w:tabs>
              <w:jc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1</w:t>
            </w:r>
          </w:p>
        </w:tc>
        <w:tc>
          <w:tcPr>
            <w:tcW w:w="3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1985"/>
              </w:tabs>
              <w:jc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车站集水坑清掏（包含人工清掏、清运、二次转运）</w:t>
            </w:r>
          </w:p>
        </w:tc>
        <w:tc>
          <w:tcPr>
            <w:tcW w:w="1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1985"/>
              </w:tabs>
              <w:jc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m³</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1985"/>
              </w:tabs>
              <w:jc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253.2</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1985"/>
              </w:tabs>
              <w:jc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3</w:t>
            </w:r>
          </w:p>
        </w:tc>
      </w:tr>
      <w:tr>
        <w:tblPrEx>
          <w:tblLayout w:type="fixed"/>
          <w:tblCellMar>
            <w:top w:w="0" w:type="dxa"/>
            <w:left w:w="0" w:type="dxa"/>
            <w:bottom w:w="0" w:type="dxa"/>
            <w:right w:w="0"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1985"/>
              </w:tabs>
              <w:jc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2</w:t>
            </w:r>
          </w:p>
        </w:tc>
        <w:tc>
          <w:tcPr>
            <w:tcW w:w="3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1985"/>
              </w:tabs>
              <w:jc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车站、区间废水池清掏</w:t>
            </w:r>
          </w:p>
        </w:tc>
        <w:tc>
          <w:tcPr>
            <w:tcW w:w="1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1985"/>
              </w:tabs>
              <w:jc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m³</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1985"/>
              </w:tabs>
              <w:jc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55.32</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1985"/>
              </w:tabs>
              <w:jc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3</w:t>
            </w:r>
          </w:p>
        </w:tc>
      </w:tr>
      <w:tr>
        <w:tblPrEx>
          <w:tblLayout w:type="fixed"/>
          <w:tblCellMar>
            <w:top w:w="0" w:type="dxa"/>
            <w:left w:w="0" w:type="dxa"/>
            <w:bottom w:w="0" w:type="dxa"/>
            <w:right w:w="0" w:type="dxa"/>
          </w:tblCellMar>
        </w:tblPrEx>
        <w:trPr>
          <w:trHeight w:val="675" w:hRule="atLeast"/>
        </w:trPr>
        <w:tc>
          <w:tcPr>
            <w:tcW w:w="7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1985"/>
              </w:tabs>
              <w:jc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费用</w:t>
            </w:r>
          </w:p>
        </w:tc>
        <w:tc>
          <w:tcPr>
            <w:tcW w:w="850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1985"/>
              </w:tabs>
              <w:jc w:val="center"/>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清掏：实际执行的总清掏方量×单价（每年一次，部分车站因水质环境不同，甲方可根据实际情况调整清掏频次）</w:t>
            </w:r>
          </w:p>
        </w:tc>
      </w:tr>
    </w:tbl>
    <w:p>
      <w:pPr>
        <w:tabs>
          <w:tab w:val="left" w:pos="312"/>
          <w:tab w:val="left" w:pos="1985"/>
        </w:tabs>
        <w:jc w:val="left"/>
        <w:rPr>
          <w:rFonts w:ascii="方正仿宋_GBK" w:hAnsi="方正仿宋_GBK" w:eastAsia="方正仿宋_GBK" w:cs="方正仿宋_GBK"/>
          <w:bCs/>
          <w:snapToGrid w:val="0"/>
          <w:color w:val="auto"/>
          <w:kern w:val="0"/>
          <w:szCs w:val="21"/>
          <w:highlight w:val="none"/>
        </w:rPr>
      </w:pPr>
    </w:p>
    <w:p>
      <w:pPr>
        <w:tabs>
          <w:tab w:val="left" w:pos="312"/>
          <w:tab w:val="left" w:pos="1985"/>
        </w:tabs>
        <w:jc w:val="left"/>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3、2号线轨行区清洁项目清单</w:t>
      </w:r>
    </w:p>
    <w:tbl>
      <w:tblPr>
        <w:tblStyle w:val="10"/>
        <w:tblW w:w="88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7"/>
        <w:gridCol w:w="2826"/>
        <w:gridCol w:w="1012"/>
        <w:gridCol w:w="989"/>
        <w:gridCol w:w="1152"/>
        <w:gridCol w:w="1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1407" w:type="dxa"/>
            <w:vMerge w:val="restart"/>
            <w:vAlign w:val="center"/>
          </w:tcPr>
          <w:p>
            <w:pPr>
              <w:widowControl/>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轨行区清洁</w:t>
            </w:r>
          </w:p>
        </w:tc>
        <w:tc>
          <w:tcPr>
            <w:tcW w:w="2826" w:type="dxa"/>
            <w:vAlign w:val="center"/>
          </w:tcPr>
          <w:p>
            <w:pPr>
              <w:widowControl/>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项目</w:t>
            </w:r>
          </w:p>
        </w:tc>
        <w:tc>
          <w:tcPr>
            <w:tcW w:w="1012" w:type="dxa"/>
            <w:vAlign w:val="center"/>
          </w:tcPr>
          <w:p>
            <w:pPr>
              <w:widowControl/>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数量</w:t>
            </w:r>
          </w:p>
        </w:tc>
        <w:tc>
          <w:tcPr>
            <w:tcW w:w="989" w:type="dxa"/>
            <w:vAlign w:val="center"/>
          </w:tcPr>
          <w:p>
            <w:pPr>
              <w:widowControl/>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单位</w:t>
            </w:r>
          </w:p>
        </w:tc>
        <w:tc>
          <w:tcPr>
            <w:tcW w:w="1152" w:type="dxa"/>
            <w:vAlign w:val="center"/>
          </w:tcPr>
          <w:p>
            <w:pPr>
              <w:widowControl/>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服务频率</w:t>
            </w:r>
          </w:p>
        </w:tc>
        <w:tc>
          <w:tcPr>
            <w:tcW w:w="1447" w:type="dxa"/>
            <w:vAlign w:val="center"/>
          </w:tcPr>
          <w:p>
            <w:pPr>
              <w:widowControl/>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总服务次数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1407" w:type="dxa"/>
            <w:vMerge w:val="continue"/>
            <w:vAlign w:val="center"/>
          </w:tcPr>
          <w:p>
            <w:pPr>
              <w:widowControl/>
              <w:jc w:val="center"/>
              <w:rPr>
                <w:rFonts w:ascii="方正仿宋_GBK" w:hAnsi="方正仿宋_GBK" w:eastAsia="方正仿宋_GBK" w:cs="方正仿宋_GBK"/>
                <w:color w:val="auto"/>
                <w:kern w:val="0"/>
                <w:szCs w:val="21"/>
                <w:highlight w:val="none"/>
              </w:rPr>
            </w:pPr>
          </w:p>
        </w:tc>
        <w:tc>
          <w:tcPr>
            <w:tcW w:w="2826" w:type="dxa"/>
            <w:vAlign w:val="center"/>
          </w:tcPr>
          <w:p>
            <w:pPr>
              <w:widowControl/>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隧道排水沟清掏</w:t>
            </w:r>
          </w:p>
        </w:tc>
        <w:tc>
          <w:tcPr>
            <w:tcW w:w="1012" w:type="dxa"/>
            <w:vAlign w:val="center"/>
          </w:tcPr>
          <w:p>
            <w:pPr>
              <w:widowControl/>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9920</w:t>
            </w:r>
          </w:p>
        </w:tc>
        <w:tc>
          <w:tcPr>
            <w:tcW w:w="989" w:type="dxa"/>
            <w:vAlign w:val="center"/>
          </w:tcPr>
          <w:p>
            <w:pPr>
              <w:widowControl/>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m</w:t>
            </w:r>
          </w:p>
        </w:tc>
        <w:tc>
          <w:tcPr>
            <w:tcW w:w="1152" w:type="dxa"/>
            <w:vAlign w:val="center"/>
          </w:tcPr>
          <w:p>
            <w:pPr>
              <w:widowControl/>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次/季度</w:t>
            </w:r>
          </w:p>
        </w:tc>
        <w:tc>
          <w:tcPr>
            <w:tcW w:w="1447" w:type="dxa"/>
            <w:vAlign w:val="center"/>
          </w:tcPr>
          <w:p>
            <w:pPr>
              <w:widowControl/>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1407" w:type="dxa"/>
            <w:vMerge w:val="continue"/>
            <w:vAlign w:val="center"/>
          </w:tcPr>
          <w:p>
            <w:pPr>
              <w:widowControl/>
              <w:jc w:val="center"/>
              <w:rPr>
                <w:rFonts w:ascii="方正仿宋_GBK" w:hAnsi="方正仿宋_GBK" w:eastAsia="方正仿宋_GBK" w:cs="方正仿宋_GBK"/>
                <w:color w:val="auto"/>
                <w:kern w:val="0"/>
                <w:szCs w:val="21"/>
                <w:highlight w:val="none"/>
              </w:rPr>
            </w:pPr>
          </w:p>
        </w:tc>
        <w:tc>
          <w:tcPr>
            <w:tcW w:w="2826" w:type="dxa"/>
            <w:vAlign w:val="center"/>
          </w:tcPr>
          <w:p>
            <w:pPr>
              <w:widowControl/>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隧道冲洗</w:t>
            </w:r>
          </w:p>
        </w:tc>
        <w:tc>
          <w:tcPr>
            <w:tcW w:w="1012" w:type="dxa"/>
            <w:vAlign w:val="center"/>
          </w:tcPr>
          <w:p>
            <w:pPr>
              <w:widowControl/>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40800</w:t>
            </w:r>
          </w:p>
        </w:tc>
        <w:tc>
          <w:tcPr>
            <w:tcW w:w="989" w:type="dxa"/>
            <w:vAlign w:val="center"/>
          </w:tcPr>
          <w:p>
            <w:pPr>
              <w:widowControl/>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w:t>
            </w:r>
          </w:p>
        </w:tc>
        <w:tc>
          <w:tcPr>
            <w:tcW w:w="1152" w:type="dxa"/>
            <w:vAlign w:val="center"/>
          </w:tcPr>
          <w:p>
            <w:pPr>
              <w:widowControl/>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次/半年</w:t>
            </w:r>
          </w:p>
        </w:tc>
        <w:tc>
          <w:tcPr>
            <w:tcW w:w="1447" w:type="dxa"/>
            <w:vAlign w:val="center"/>
          </w:tcPr>
          <w:p>
            <w:pPr>
              <w:widowControl/>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1407" w:type="dxa"/>
            <w:vMerge w:val="continue"/>
            <w:vAlign w:val="center"/>
          </w:tcPr>
          <w:p>
            <w:pPr>
              <w:widowControl/>
              <w:jc w:val="center"/>
              <w:rPr>
                <w:rFonts w:ascii="方正仿宋_GBK" w:hAnsi="方正仿宋_GBK" w:eastAsia="方正仿宋_GBK" w:cs="方正仿宋_GBK"/>
                <w:color w:val="auto"/>
                <w:kern w:val="0"/>
                <w:szCs w:val="21"/>
                <w:highlight w:val="none"/>
              </w:rPr>
            </w:pPr>
          </w:p>
        </w:tc>
        <w:tc>
          <w:tcPr>
            <w:tcW w:w="2826" w:type="dxa"/>
            <w:vAlign w:val="center"/>
          </w:tcPr>
          <w:p>
            <w:pPr>
              <w:widowControl/>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道岔桥清洁</w:t>
            </w:r>
          </w:p>
        </w:tc>
        <w:tc>
          <w:tcPr>
            <w:tcW w:w="1012" w:type="dxa"/>
            <w:vAlign w:val="center"/>
          </w:tcPr>
          <w:p>
            <w:pPr>
              <w:widowControl/>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5535</w:t>
            </w:r>
          </w:p>
        </w:tc>
        <w:tc>
          <w:tcPr>
            <w:tcW w:w="989" w:type="dxa"/>
            <w:vAlign w:val="center"/>
          </w:tcPr>
          <w:p>
            <w:pPr>
              <w:widowControl/>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w:t>
            </w:r>
          </w:p>
        </w:tc>
        <w:tc>
          <w:tcPr>
            <w:tcW w:w="1152" w:type="dxa"/>
            <w:vAlign w:val="center"/>
          </w:tcPr>
          <w:p>
            <w:pPr>
              <w:widowControl/>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次/半年</w:t>
            </w:r>
          </w:p>
        </w:tc>
        <w:tc>
          <w:tcPr>
            <w:tcW w:w="1447" w:type="dxa"/>
            <w:vAlign w:val="center"/>
          </w:tcPr>
          <w:p>
            <w:pPr>
              <w:widowControl/>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1407" w:type="dxa"/>
            <w:vMerge w:val="continue"/>
            <w:vAlign w:val="center"/>
          </w:tcPr>
          <w:p>
            <w:pPr>
              <w:widowControl/>
              <w:jc w:val="center"/>
              <w:rPr>
                <w:rFonts w:ascii="方正仿宋_GBK" w:hAnsi="方正仿宋_GBK" w:eastAsia="方正仿宋_GBK" w:cs="方正仿宋_GBK"/>
                <w:color w:val="auto"/>
                <w:kern w:val="0"/>
                <w:szCs w:val="21"/>
                <w:highlight w:val="none"/>
              </w:rPr>
            </w:pPr>
          </w:p>
        </w:tc>
        <w:tc>
          <w:tcPr>
            <w:tcW w:w="2826" w:type="dxa"/>
            <w:vAlign w:val="center"/>
          </w:tcPr>
          <w:p>
            <w:pPr>
              <w:widowControl/>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区间轨行区路基段清洁卫生及杂草清除</w:t>
            </w:r>
          </w:p>
        </w:tc>
        <w:tc>
          <w:tcPr>
            <w:tcW w:w="1012" w:type="dxa"/>
            <w:vAlign w:val="center"/>
          </w:tcPr>
          <w:p>
            <w:pPr>
              <w:widowControl/>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20000</w:t>
            </w:r>
          </w:p>
        </w:tc>
        <w:tc>
          <w:tcPr>
            <w:tcW w:w="989" w:type="dxa"/>
            <w:vAlign w:val="center"/>
          </w:tcPr>
          <w:p>
            <w:pPr>
              <w:widowControl/>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w:t>
            </w:r>
          </w:p>
        </w:tc>
        <w:tc>
          <w:tcPr>
            <w:tcW w:w="1152" w:type="dxa"/>
            <w:vAlign w:val="center"/>
          </w:tcPr>
          <w:p>
            <w:pPr>
              <w:widowControl/>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次/半年</w:t>
            </w:r>
          </w:p>
        </w:tc>
        <w:tc>
          <w:tcPr>
            <w:tcW w:w="1447" w:type="dxa"/>
            <w:vAlign w:val="center"/>
          </w:tcPr>
          <w:p>
            <w:pPr>
              <w:widowControl/>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1407" w:type="dxa"/>
            <w:vMerge w:val="continue"/>
            <w:vAlign w:val="center"/>
          </w:tcPr>
          <w:p>
            <w:pPr>
              <w:widowControl/>
              <w:jc w:val="center"/>
              <w:rPr>
                <w:rFonts w:ascii="方正仿宋_GBK" w:hAnsi="方正仿宋_GBK" w:eastAsia="方正仿宋_GBK" w:cs="方正仿宋_GBK"/>
                <w:color w:val="auto"/>
                <w:kern w:val="0"/>
                <w:szCs w:val="21"/>
                <w:highlight w:val="none"/>
              </w:rPr>
            </w:pPr>
          </w:p>
        </w:tc>
        <w:tc>
          <w:tcPr>
            <w:tcW w:w="2826" w:type="dxa"/>
            <w:vAlign w:val="center"/>
          </w:tcPr>
          <w:p>
            <w:pPr>
              <w:widowControl/>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区间雨棚及防抛网清洁</w:t>
            </w:r>
          </w:p>
        </w:tc>
        <w:tc>
          <w:tcPr>
            <w:tcW w:w="1012" w:type="dxa"/>
            <w:vAlign w:val="center"/>
          </w:tcPr>
          <w:p>
            <w:pPr>
              <w:widowControl/>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3000</w:t>
            </w:r>
          </w:p>
        </w:tc>
        <w:tc>
          <w:tcPr>
            <w:tcW w:w="989" w:type="dxa"/>
            <w:vAlign w:val="center"/>
          </w:tcPr>
          <w:p>
            <w:pPr>
              <w:widowControl/>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w:t>
            </w:r>
          </w:p>
        </w:tc>
        <w:tc>
          <w:tcPr>
            <w:tcW w:w="1152" w:type="dxa"/>
            <w:vAlign w:val="center"/>
          </w:tcPr>
          <w:p>
            <w:pPr>
              <w:widowControl/>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次/半年</w:t>
            </w:r>
          </w:p>
        </w:tc>
        <w:tc>
          <w:tcPr>
            <w:tcW w:w="1447" w:type="dxa"/>
            <w:vAlign w:val="center"/>
          </w:tcPr>
          <w:p>
            <w:pPr>
              <w:widowControl/>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1407" w:type="dxa"/>
            <w:vMerge w:val="continue"/>
            <w:vAlign w:val="center"/>
          </w:tcPr>
          <w:p>
            <w:pPr>
              <w:widowControl/>
              <w:jc w:val="center"/>
              <w:rPr>
                <w:rFonts w:ascii="方正仿宋_GBK" w:hAnsi="方正仿宋_GBK" w:eastAsia="方正仿宋_GBK" w:cs="方正仿宋_GBK"/>
                <w:color w:val="auto"/>
                <w:kern w:val="0"/>
                <w:szCs w:val="21"/>
                <w:highlight w:val="none"/>
              </w:rPr>
            </w:pPr>
          </w:p>
        </w:tc>
        <w:tc>
          <w:tcPr>
            <w:tcW w:w="2826" w:type="dxa"/>
            <w:vAlign w:val="center"/>
          </w:tcPr>
          <w:p>
            <w:pPr>
              <w:widowControl/>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边坡、挡墙清洁卫生及杂草清除</w:t>
            </w:r>
          </w:p>
        </w:tc>
        <w:tc>
          <w:tcPr>
            <w:tcW w:w="1012" w:type="dxa"/>
            <w:vAlign w:val="center"/>
          </w:tcPr>
          <w:p>
            <w:pPr>
              <w:widowControl/>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1000</w:t>
            </w:r>
          </w:p>
        </w:tc>
        <w:tc>
          <w:tcPr>
            <w:tcW w:w="989" w:type="dxa"/>
            <w:vAlign w:val="center"/>
          </w:tcPr>
          <w:p>
            <w:pPr>
              <w:widowControl/>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w:t>
            </w:r>
          </w:p>
        </w:tc>
        <w:tc>
          <w:tcPr>
            <w:tcW w:w="1152" w:type="dxa"/>
            <w:vAlign w:val="center"/>
          </w:tcPr>
          <w:p>
            <w:pPr>
              <w:widowControl/>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次/半年</w:t>
            </w:r>
          </w:p>
        </w:tc>
        <w:tc>
          <w:tcPr>
            <w:tcW w:w="1447" w:type="dxa"/>
            <w:vAlign w:val="center"/>
          </w:tcPr>
          <w:p>
            <w:pPr>
              <w:widowControl/>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1407" w:type="dxa"/>
            <w:vMerge w:val="continue"/>
            <w:vAlign w:val="center"/>
          </w:tcPr>
          <w:p>
            <w:pPr>
              <w:widowControl/>
              <w:jc w:val="center"/>
              <w:rPr>
                <w:rFonts w:ascii="方正仿宋_GBK" w:hAnsi="方正仿宋_GBK" w:eastAsia="方正仿宋_GBK" w:cs="方正仿宋_GBK"/>
                <w:color w:val="auto"/>
                <w:kern w:val="0"/>
                <w:szCs w:val="21"/>
                <w:highlight w:val="none"/>
              </w:rPr>
            </w:pPr>
          </w:p>
        </w:tc>
        <w:tc>
          <w:tcPr>
            <w:tcW w:w="2826" w:type="dxa"/>
            <w:vAlign w:val="center"/>
          </w:tcPr>
          <w:p>
            <w:pPr>
              <w:widowControl/>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垃圾二次转运及处置</w:t>
            </w:r>
          </w:p>
        </w:tc>
        <w:tc>
          <w:tcPr>
            <w:tcW w:w="1012" w:type="dxa"/>
            <w:vAlign w:val="center"/>
          </w:tcPr>
          <w:p>
            <w:pPr>
              <w:widowControl/>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25</w:t>
            </w:r>
          </w:p>
        </w:tc>
        <w:tc>
          <w:tcPr>
            <w:tcW w:w="989" w:type="dxa"/>
            <w:vAlign w:val="center"/>
          </w:tcPr>
          <w:p>
            <w:pPr>
              <w:widowControl/>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车（10t）</w:t>
            </w:r>
          </w:p>
        </w:tc>
        <w:tc>
          <w:tcPr>
            <w:tcW w:w="1152" w:type="dxa"/>
            <w:vAlign w:val="center"/>
          </w:tcPr>
          <w:p>
            <w:pPr>
              <w:widowControl/>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车·次</w:t>
            </w:r>
          </w:p>
        </w:tc>
        <w:tc>
          <w:tcPr>
            <w:tcW w:w="1447" w:type="dxa"/>
            <w:vAlign w:val="center"/>
          </w:tcPr>
          <w:p>
            <w:pPr>
              <w:widowControl/>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8833" w:type="dxa"/>
            <w:gridSpan w:val="6"/>
            <w:vAlign w:val="center"/>
          </w:tcPr>
          <w:p>
            <w:pPr>
              <w:widowControl/>
              <w:spacing w:line="276" w:lineRule="auto"/>
              <w:rPr>
                <w:rFonts w:ascii="方正仿宋_GBK" w:hAnsi="方正仿宋_GBK" w:eastAsia="方正仿宋_GBK" w:cs="方正仿宋_GBK"/>
                <w:bCs/>
                <w:snapToGrid w:val="0"/>
                <w:color w:val="auto"/>
                <w:kern w:val="0"/>
                <w:szCs w:val="21"/>
                <w:highlight w:val="none"/>
              </w:rPr>
            </w:pPr>
            <w:r>
              <w:rPr>
                <w:rFonts w:hint="eastAsia" w:ascii="方正仿宋_GBK" w:hAnsi="方正仿宋_GBK" w:eastAsia="方正仿宋_GBK" w:cs="方正仿宋_GBK"/>
                <w:bCs/>
                <w:snapToGrid w:val="0"/>
                <w:color w:val="auto"/>
                <w:kern w:val="0"/>
                <w:szCs w:val="21"/>
                <w:highlight w:val="none"/>
              </w:rPr>
              <w:t>注：</w:t>
            </w:r>
            <w:r>
              <w:rPr>
                <w:rFonts w:hint="eastAsia" w:ascii="方正仿宋_GBK" w:hAnsi="方正仿宋_GBK" w:eastAsia="方正仿宋_GBK" w:cs="方正仿宋_GBK"/>
                <w:b w:val="0"/>
                <w:bCs w:val="0"/>
                <w:color w:val="auto"/>
                <w:kern w:val="0"/>
                <w:sz w:val="21"/>
                <w:szCs w:val="21"/>
              </w:rPr>
              <w:t>表中暂估</w:t>
            </w:r>
            <w:r>
              <w:rPr>
                <w:rFonts w:hint="eastAsia" w:ascii="方正仿宋_GBK" w:hAnsi="方正仿宋_GBK" w:eastAsia="方正仿宋_GBK" w:cs="方正仿宋_GBK"/>
                <w:b w:val="0"/>
                <w:bCs w:val="0"/>
                <w:color w:val="auto"/>
                <w:kern w:val="0"/>
                <w:sz w:val="21"/>
                <w:szCs w:val="21"/>
                <w:lang w:eastAsia="zh-CN"/>
              </w:rPr>
              <w:t>工作量</w:t>
            </w:r>
            <w:r>
              <w:rPr>
                <w:rFonts w:hint="eastAsia" w:ascii="方正仿宋_GBK" w:hAnsi="方正仿宋_GBK" w:eastAsia="方正仿宋_GBK" w:cs="方正仿宋_GBK"/>
                <w:b w:val="0"/>
                <w:bCs w:val="0"/>
                <w:color w:val="auto"/>
                <w:kern w:val="0"/>
                <w:sz w:val="21"/>
                <w:szCs w:val="21"/>
              </w:rPr>
              <w:t>仅为报价参考量，不作为结算依据，最后</w:t>
            </w:r>
            <w:r>
              <w:rPr>
                <w:rFonts w:hint="eastAsia" w:ascii="方正仿宋_GBK" w:hAnsi="方正仿宋_GBK" w:eastAsia="方正仿宋_GBK" w:cs="方正仿宋_GBK"/>
                <w:b w:val="0"/>
                <w:bCs w:val="0"/>
                <w:color w:val="auto"/>
                <w:kern w:val="0"/>
                <w:sz w:val="21"/>
                <w:szCs w:val="21"/>
                <w:lang w:eastAsia="zh-CN"/>
              </w:rPr>
              <w:t>结算总价</w:t>
            </w:r>
            <w:r>
              <w:rPr>
                <w:rFonts w:hint="eastAsia" w:ascii="方正仿宋_GBK" w:hAnsi="方正仿宋_GBK" w:eastAsia="方正仿宋_GBK" w:cs="方正仿宋_GBK"/>
                <w:b w:val="0"/>
                <w:bCs w:val="0"/>
                <w:color w:val="auto"/>
                <w:kern w:val="0"/>
                <w:sz w:val="21"/>
                <w:szCs w:val="21"/>
              </w:rPr>
              <w:t>应按照实际完成工作量据实结算。</w:t>
            </w:r>
          </w:p>
        </w:tc>
      </w:tr>
    </w:tbl>
    <w:p>
      <w:pPr>
        <w:jc w:val="left"/>
        <w:rPr>
          <w:rFonts w:ascii="方正仿宋_GBK" w:hAnsi="方正仿宋_GBK" w:eastAsia="方正仿宋_GBK" w:cs="方正仿宋_GBK"/>
          <w:bCs/>
          <w:snapToGrid w:val="0"/>
          <w:color w:val="auto"/>
          <w:kern w:val="0"/>
          <w:szCs w:val="21"/>
          <w:highlight w:val="none"/>
        </w:rPr>
      </w:pPr>
    </w:p>
    <w:p>
      <w:pPr>
        <w:jc w:val="left"/>
        <w:rPr>
          <w:rFonts w:ascii="方正仿宋_GBK" w:hAnsi="方正仿宋_GBK" w:eastAsia="方正仿宋_GBK" w:cs="方正仿宋_GBK"/>
          <w:bCs/>
          <w:snapToGrid w:val="0"/>
          <w:color w:val="auto"/>
          <w:kern w:val="0"/>
          <w:szCs w:val="21"/>
          <w:highlight w:val="none"/>
        </w:rPr>
      </w:pPr>
    </w:p>
    <w:p>
      <w:pPr>
        <w:jc w:val="left"/>
        <w:rPr>
          <w:rFonts w:ascii="方正仿宋_GBK" w:hAnsi="方正仿宋_GBK" w:eastAsia="方正仿宋_GBK" w:cs="方正仿宋_GBK"/>
          <w:bCs/>
          <w:snapToGrid w:val="0"/>
          <w:color w:val="auto"/>
          <w:kern w:val="0"/>
          <w:szCs w:val="21"/>
          <w:highlight w:val="none"/>
        </w:rPr>
      </w:pPr>
    </w:p>
    <w:p>
      <w:pPr>
        <w:jc w:val="left"/>
        <w:rPr>
          <w:rFonts w:ascii="方正仿宋_GBK" w:hAnsi="方正仿宋_GBK" w:eastAsia="方正仿宋_GBK" w:cs="方正仿宋_GBK"/>
          <w:bCs/>
          <w:snapToGrid w:val="0"/>
          <w:color w:val="auto"/>
          <w:kern w:val="0"/>
          <w:szCs w:val="21"/>
          <w:highlight w:val="none"/>
        </w:rPr>
      </w:pPr>
    </w:p>
    <w:p>
      <w:pPr>
        <w:jc w:val="left"/>
        <w:rPr>
          <w:rFonts w:ascii="方正仿宋_GBK" w:hAnsi="方正仿宋_GBK" w:eastAsia="方正仿宋_GBK" w:cs="方正仿宋_GBK"/>
          <w:bCs/>
          <w:snapToGrid w:val="0"/>
          <w:color w:val="auto"/>
          <w:kern w:val="0"/>
          <w:szCs w:val="21"/>
          <w:highlight w:val="none"/>
        </w:rPr>
      </w:pPr>
    </w:p>
    <w:p>
      <w:pPr>
        <w:rPr>
          <w:rFonts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二、报价明细表</w:t>
      </w:r>
    </w:p>
    <w:tbl>
      <w:tblPr>
        <w:tblStyle w:val="11"/>
        <w:tblW w:w="97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575"/>
        <w:gridCol w:w="996"/>
        <w:gridCol w:w="1217"/>
        <w:gridCol w:w="1175"/>
        <w:gridCol w:w="1525"/>
        <w:gridCol w:w="1200"/>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864" w:type="dxa"/>
            <w:vAlign w:val="center"/>
          </w:tcPr>
          <w:p>
            <w:pPr>
              <w:autoSpaceDE w:val="0"/>
              <w:autoSpaceDN w:val="0"/>
              <w:adjustRightInd w:val="0"/>
              <w:jc w:val="center"/>
              <w:rPr>
                <w:rFonts w:ascii="仿宋" w:hAnsi="仿宋" w:eastAsia="仿宋"/>
                <w:b/>
                <w:color w:val="auto"/>
                <w:sz w:val="22"/>
                <w:highlight w:val="none"/>
              </w:rPr>
            </w:pPr>
            <w:r>
              <w:rPr>
                <w:rFonts w:hint="eastAsia" w:ascii="宋体" w:hAnsi="宋体" w:eastAsia="仿宋" w:cs="宋体"/>
                <w:b/>
                <w:color w:val="auto"/>
                <w:sz w:val="18"/>
                <w:szCs w:val="18"/>
                <w:highlight w:val="none"/>
              </w:rPr>
              <w:t>序号</w:t>
            </w:r>
          </w:p>
        </w:tc>
        <w:tc>
          <w:tcPr>
            <w:tcW w:w="1575" w:type="dxa"/>
            <w:vAlign w:val="center"/>
          </w:tcPr>
          <w:p>
            <w:pPr>
              <w:autoSpaceDE w:val="0"/>
              <w:autoSpaceDN w:val="0"/>
              <w:adjustRightInd w:val="0"/>
              <w:jc w:val="center"/>
              <w:rPr>
                <w:rFonts w:ascii="仿宋" w:hAnsi="仿宋" w:eastAsia="仿宋"/>
                <w:b/>
                <w:color w:val="auto"/>
                <w:sz w:val="22"/>
                <w:highlight w:val="none"/>
              </w:rPr>
            </w:pPr>
            <w:r>
              <w:rPr>
                <w:rFonts w:hint="eastAsia" w:ascii="宋体" w:hAnsi="宋体" w:cs="宋体"/>
                <w:b/>
                <w:color w:val="auto"/>
                <w:sz w:val="18"/>
                <w:szCs w:val="18"/>
                <w:highlight w:val="none"/>
              </w:rPr>
              <w:t>服务内容</w:t>
            </w:r>
          </w:p>
        </w:tc>
        <w:tc>
          <w:tcPr>
            <w:tcW w:w="996" w:type="dxa"/>
            <w:vAlign w:val="center"/>
          </w:tcPr>
          <w:p>
            <w:pPr>
              <w:autoSpaceDE w:val="0"/>
              <w:autoSpaceDN w:val="0"/>
              <w:adjustRightInd w:val="0"/>
              <w:jc w:val="center"/>
              <w:rPr>
                <w:rFonts w:ascii="仿宋" w:hAnsi="仿宋" w:eastAsia="仿宋"/>
                <w:b/>
                <w:color w:val="auto"/>
                <w:sz w:val="22"/>
                <w:highlight w:val="none"/>
              </w:rPr>
            </w:pPr>
            <w:r>
              <w:rPr>
                <w:rFonts w:hint="eastAsia" w:ascii="宋体" w:hAnsi="宋体" w:cs="宋体"/>
                <w:b/>
                <w:color w:val="auto"/>
                <w:sz w:val="18"/>
                <w:szCs w:val="18"/>
                <w:highlight w:val="none"/>
              </w:rPr>
              <w:t>单位</w:t>
            </w:r>
          </w:p>
        </w:tc>
        <w:tc>
          <w:tcPr>
            <w:tcW w:w="1217" w:type="dxa"/>
            <w:vAlign w:val="center"/>
          </w:tcPr>
          <w:p>
            <w:pPr>
              <w:autoSpaceDE w:val="0"/>
              <w:autoSpaceDN w:val="0"/>
              <w:adjustRightInd w:val="0"/>
              <w:jc w:val="center"/>
              <w:rPr>
                <w:rFonts w:ascii="宋体" w:hAnsi="宋体" w:cs="宋体"/>
                <w:b/>
                <w:color w:val="auto"/>
                <w:sz w:val="18"/>
                <w:szCs w:val="18"/>
                <w:highlight w:val="none"/>
              </w:rPr>
            </w:pPr>
            <w:r>
              <w:rPr>
                <w:rFonts w:hint="eastAsia" w:ascii="宋体" w:hAnsi="宋体" w:cs="宋体"/>
                <w:b/>
                <w:color w:val="auto"/>
                <w:sz w:val="18"/>
                <w:szCs w:val="18"/>
                <w:highlight w:val="none"/>
              </w:rPr>
              <w:t>暂定工程量</w:t>
            </w:r>
          </w:p>
        </w:tc>
        <w:tc>
          <w:tcPr>
            <w:tcW w:w="1175" w:type="dxa"/>
            <w:vAlign w:val="center"/>
          </w:tcPr>
          <w:p>
            <w:pPr>
              <w:autoSpaceDE w:val="0"/>
              <w:autoSpaceDN w:val="0"/>
              <w:adjustRightInd w:val="0"/>
              <w:jc w:val="center"/>
              <w:rPr>
                <w:rFonts w:ascii="宋体" w:hAnsi="宋体" w:cs="宋体"/>
                <w:b/>
                <w:color w:val="auto"/>
                <w:sz w:val="18"/>
                <w:szCs w:val="18"/>
                <w:highlight w:val="none"/>
              </w:rPr>
            </w:pPr>
            <w:r>
              <w:rPr>
                <w:rFonts w:hint="eastAsia" w:ascii="宋体" w:hAnsi="宋体" w:cs="宋体"/>
                <w:b/>
                <w:color w:val="auto"/>
                <w:sz w:val="18"/>
                <w:szCs w:val="18"/>
                <w:highlight w:val="none"/>
              </w:rPr>
              <w:t>暂定次数</w:t>
            </w:r>
          </w:p>
        </w:tc>
        <w:tc>
          <w:tcPr>
            <w:tcW w:w="1525" w:type="dxa"/>
            <w:vAlign w:val="center"/>
          </w:tcPr>
          <w:p>
            <w:pPr>
              <w:autoSpaceDE w:val="0"/>
              <w:autoSpaceDN w:val="0"/>
              <w:adjustRightInd w:val="0"/>
              <w:jc w:val="center"/>
              <w:rPr>
                <w:rFonts w:ascii="宋体" w:hAnsi="宋体" w:cs="宋体"/>
                <w:b/>
                <w:color w:val="auto"/>
                <w:sz w:val="18"/>
                <w:szCs w:val="18"/>
                <w:highlight w:val="none"/>
              </w:rPr>
            </w:pPr>
            <w:r>
              <w:rPr>
                <w:rFonts w:hint="eastAsia" w:ascii="宋体" w:hAnsi="宋体" w:cs="宋体"/>
                <w:b/>
                <w:color w:val="auto"/>
                <w:sz w:val="18"/>
                <w:szCs w:val="18"/>
                <w:highlight w:val="none"/>
              </w:rPr>
              <w:t>不含税单价</w:t>
            </w:r>
          </w:p>
          <w:p>
            <w:pPr>
              <w:autoSpaceDE w:val="0"/>
              <w:autoSpaceDN w:val="0"/>
              <w:adjustRightInd w:val="0"/>
              <w:jc w:val="center"/>
              <w:rPr>
                <w:rFonts w:ascii="宋体" w:hAnsi="宋体" w:cs="宋体"/>
                <w:b/>
                <w:color w:val="auto"/>
                <w:sz w:val="18"/>
                <w:szCs w:val="18"/>
                <w:highlight w:val="none"/>
              </w:rPr>
            </w:pPr>
            <w:r>
              <w:rPr>
                <w:rFonts w:hint="eastAsia" w:ascii="宋体" w:hAnsi="宋体" w:cs="宋体"/>
                <w:b/>
                <w:color w:val="auto"/>
                <w:sz w:val="18"/>
                <w:szCs w:val="18"/>
                <w:highlight w:val="none"/>
              </w:rPr>
              <w:t>（元/</w:t>
            </w:r>
            <w:r>
              <w:rPr>
                <w:rFonts w:ascii="宋体" w:hAnsi="宋体" w:cs="宋体"/>
                <w:b/>
                <w:color w:val="auto"/>
                <w:sz w:val="18"/>
                <w:szCs w:val="18"/>
                <w:highlight w:val="none"/>
              </w:rPr>
              <w:t>㎡）</w:t>
            </w:r>
          </w:p>
        </w:tc>
        <w:tc>
          <w:tcPr>
            <w:tcW w:w="1200" w:type="dxa"/>
            <w:vAlign w:val="center"/>
          </w:tcPr>
          <w:p>
            <w:pPr>
              <w:autoSpaceDE w:val="0"/>
              <w:autoSpaceDN w:val="0"/>
              <w:adjustRightInd w:val="0"/>
              <w:jc w:val="center"/>
              <w:rPr>
                <w:rFonts w:ascii="宋体" w:hAnsi="宋体" w:cs="宋体"/>
                <w:b/>
                <w:color w:val="auto"/>
                <w:sz w:val="18"/>
                <w:szCs w:val="18"/>
                <w:highlight w:val="none"/>
              </w:rPr>
            </w:pPr>
            <w:r>
              <w:rPr>
                <w:rFonts w:hint="eastAsia" w:ascii="宋体" w:hAnsi="宋体" w:cs="宋体"/>
                <w:b/>
                <w:color w:val="auto"/>
                <w:sz w:val="18"/>
                <w:szCs w:val="18"/>
                <w:highlight w:val="none"/>
              </w:rPr>
              <w:t>不含税总价（元）</w:t>
            </w:r>
          </w:p>
        </w:tc>
        <w:tc>
          <w:tcPr>
            <w:tcW w:w="1200" w:type="dxa"/>
            <w:vAlign w:val="center"/>
          </w:tcPr>
          <w:p>
            <w:pPr>
              <w:autoSpaceDE w:val="0"/>
              <w:autoSpaceDN w:val="0"/>
              <w:adjustRightInd w:val="0"/>
              <w:jc w:val="center"/>
              <w:rPr>
                <w:rFonts w:hint="eastAsia" w:ascii="宋体" w:hAnsi="宋体" w:cs="宋体" w:eastAsiaTheme="minorEastAsia"/>
                <w:b/>
                <w:color w:val="auto"/>
                <w:sz w:val="18"/>
                <w:szCs w:val="18"/>
                <w:highlight w:val="none"/>
                <w:lang w:val="en-US" w:eastAsia="zh-CN"/>
              </w:rPr>
            </w:pPr>
            <w:r>
              <w:rPr>
                <w:rFonts w:hint="eastAsia" w:ascii="宋体" w:hAnsi="宋体" w:cs="宋体"/>
                <w:b/>
                <w:color w:val="auto"/>
                <w:sz w:val="18"/>
                <w:szCs w:val="18"/>
                <w:highlight w:val="none"/>
                <w:lang w:val="en-US" w:eastAsia="zh-CN"/>
              </w:rPr>
              <w:t>税率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864" w:type="dxa"/>
            <w:vAlign w:val="center"/>
          </w:tcPr>
          <w:p>
            <w:pPr>
              <w:jc w:val="center"/>
              <w:rPr>
                <w:rFonts w:ascii="方正仿宋_GBK" w:hAnsi="仿宋" w:eastAsia="方正仿宋_GBK"/>
                <w:color w:val="auto"/>
                <w:sz w:val="18"/>
                <w:szCs w:val="18"/>
                <w:highlight w:val="none"/>
              </w:rPr>
            </w:pPr>
            <w:r>
              <w:rPr>
                <w:rFonts w:hint="eastAsia" w:ascii="方正仿宋_GBK" w:hAnsi="仿宋" w:eastAsia="方正仿宋_GBK"/>
                <w:color w:val="auto"/>
                <w:sz w:val="18"/>
                <w:szCs w:val="18"/>
                <w:highlight w:val="none"/>
              </w:rPr>
              <w:t>1</w:t>
            </w:r>
          </w:p>
        </w:tc>
        <w:tc>
          <w:tcPr>
            <w:tcW w:w="1575" w:type="dxa"/>
            <w:vAlign w:val="center"/>
          </w:tcPr>
          <w:p>
            <w:pPr>
              <w:widowControl/>
              <w:autoSpaceDE w:val="0"/>
              <w:autoSpaceDN w:val="0"/>
              <w:adjustRightInd w:val="0"/>
              <w:jc w:val="center"/>
              <w:rPr>
                <w:rFonts w:ascii="宋体" w:hAnsi="宋体" w:cs="宋体"/>
                <w:color w:val="auto"/>
                <w:sz w:val="18"/>
                <w:szCs w:val="18"/>
                <w:highlight w:val="none"/>
              </w:rPr>
            </w:pPr>
            <w:r>
              <w:rPr>
                <w:rFonts w:hint="eastAsia" w:ascii="宋体" w:hAnsi="宋体" w:cs="宋体"/>
                <w:color w:val="auto"/>
                <w:sz w:val="18"/>
                <w:szCs w:val="18"/>
                <w:highlight w:val="none"/>
              </w:rPr>
              <w:t>隧道冲洗</w:t>
            </w:r>
          </w:p>
        </w:tc>
        <w:tc>
          <w:tcPr>
            <w:tcW w:w="996" w:type="dxa"/>
            <w:vAlign w:val="center"/>
          </w:tcPr>
          <w:p>
            <w:pPr>
              <w:widowControl/>
              <w:autoSpaceDE w:val="0"/>
              <w:autoSpaceDN w:val="0"/>
              <w:adjustRightInd w:val="0"/>
              <w:jc w:val="center"/>
              <w:rPr>
                <w:rFonts w:ascii="宋体" w:hAnsi="宋体" w:cs="宋体"/>
                <w:color w:val="auto"/>
                <w:sz w:val="18"/>
                <w:szCs w:val="18"/>
                <w:highlight w:val="none"/>
              </w:rPr>
            </w:pPr>
            <w:r>
              <w:rPr>
                <w:rFonts w:hint="eastAsia" w:ascii="宋体" w:hAnsi="宋体" w:cs="宋体"/>
                <w:color w:val="auto"/>
                <w:sz w:val="18"/>
                <w:szCs w:val="18"/>
                <w:highlight w:val="none"/>
              </w:rPr>
              <w:t>㎡</w:t>
            </w:r>
          </w:p>
        </w:tc>
        <w:tc>
          <w:tcPr>
            <w:tcW w:w="1217" w:type="dxa"/>
            <w:vAlign w:val="center"/>
          </w:tcPr>
          <w:p>
            <w:pPr>
              <w:widowControl/>
              <w:autoSpaceDE w:val="0"/>
              <w:autoSpaceDN w:val="0"/>
              <w:adjustRightInd w:val="0"/>
              <w:jc w:val="center"/>
              <w:rPr>
                <w:rFonts w:ascii="宋体" w:hAnsi="宋体" w:cs="宋体"/>
                <w:color w:val="auto"/>
                <w:sz w:val="18"/>
                <w:szCs w:val="18"/>
                <w:highlight w:val="none"/>
              </w:rPr>
            </w:pPr>
            <w:r>
              <w:rPr>
                <w:rFonts w:hint="eastAsia" w:ascii="宋体" w:hAnsi="宋体" w:cs="宋体"/>
                <w:color w:val="auto"/>
                <w:sz w:val="18"/>
                <w:szCs w:val="18"/>
                <w:highlight w:val="none"/>
              </w:rPr>
              <w:t>40800</w:t>
            </w:r>
          </w:p>
        </w:tc>
        <w:tc>
          <w:tcPr>
            <w:tcW w:w="1175" w:type="dxa"/>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20"/>
                <w:szCs w:val="20"/>
                <w:highlight w:val="none"/>
              </w:rPr>
              <w:t>2</w:t>
            </w:r>
          </w:p>
        </w:tc>
        <w:tc>
          <w:tcPr>
            <w:tcW w:w="1525" w:type="dxa"/>
            <w:vAlign w:val="center"/>
          </w:tcPr>
          <w:p>
            <w:pPr>
              <w:jc w:val="center"/>
              <w:rPr>
                <w:rFonts w:ascii="仿宋" w:hAnsi="仿宋" w:eastAsia="仿宋"/>
                <w:color w:val="auto"/>
                <w:sz w:val="22"/>
                <w:highlight w:val="none"/>
              </w:rPr>
            </w:pPr>
          </w:p>
        </w:tc>
        <w:tc>
          <w:tcPr>
            <w:tcW w:w="1200" w:type="dxa"/>
            <w:vAlign w:val="center"/>
          </w:tcPr>
          <w:p>
            <w:pPr>
              <w:jc w:val="center"/>
              <w:rPr>
                <w:rFonts w:ascii="仿宋" w:hAnsi="仿宋" w:eastAsia="仿宋"/>
                <w:color w:val="auto"/>
                <w:sz w:val="22"/>
                <w:highlight w:val="none"/>
              </w:rPr>
            </w:pPr>
          </w:p>
        </w:tc>
        <w:tc>
          <w:tcPr>
            <w:tcW w:w="1200" w:type="dxa"/>
            <w:vAlign w:val="center"/>
          </w:tcPr>
          <w:p>
            <w:pPr>
              <w:jc w:val="center"/>
              <w:rPr>
                <w:rFonts w:ascii="仿宋" w:hAnsi="仿宋" w:eastAsia="仿宋"/>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864" w:type="dxa"/>
            <w:vAlign w:val="center"/>
          </w:tcPr>
          <w:p>
            <w:pPr>
              <w:jc w:val="center"/>
              <w:rPr>
                <w:rFonts w:ascii="方正仿宋_GBK" w:hAnsi="仿宋" w:eastAsia="方正仿宋_GBK"/>
                <w:color w:val="auto"/>
                <w:sz w:val="18"/>
                <w:szCs w:val="18"/>
                <w:highlight w:val="none"/>
              </w:rPr>
            </w:pPr>
            <w:r>
              <w:rPr>
                <w:rFonts w:hint="eastAsia" w:ascii="方正仿宋_GBK" w:hAnsi="仿宋" w:eastAsia="方正仿宋_GBK"/>
                <w:color w:val="auto"/>
                <w:sz w:val="18"/>
                <w:szCs w:val="18"/>
                <w:highlight w:val="none"/>
              </w:rPr>
              <w:t>2</w:t>
            </w:r>
          </w:p>
        </w:tc>
        <w:tc>
          <w:tcPr>
            <w:tcW w:w="1575" w:type="dxa"/>
            <w:vAlign w:val="center"/>
          </w:tcPr>
          <w:p>
            <w:pPr>
              <w:widowControl/>
              <w:autoSpaceDE w:val="0"/>
              <w:autoSpaceDN w:val="0"/>
              <w:adjustRightInd w:val="0"/>
              <w:jc w:val="center"/>
              <w:rPr>
                <w:rFonts w:ascii="宋体" w:hAnsi="宋体" w:cs="宋体"/>
                <w:color w:val="auto"/>
                <w:sz w:val="18"/>
                <w:szCs w:val="18"/>
                <w:highlight w:val="none"/>
              </w:rPr>
            </w:pPr>
            <w:r>
              <w:rPr>
                <w:rFonts w:hint="eastAsia" w:ascii="宋体" w:hAnsi="宋体" w:cs="宋体"/>
                <w:color w:val="auto"/>
                <w:sz w:val="18"/>
                <w:szCs w:val="18"/>
                <w:highlight w:val="none"/>
              </w:rPr>
              <w:t>隧道排水沟清掏</w:t>
            </w:r>
          </w:p>
        </w:tc>
        <w:tc>
          <w:tcPr>
            <w:tcW w:w="996" w:type="dxa"/>
            <w:vAlign w:val="center"/>
          </w:tcPr>
          <w:p>
            <w:pPr>
              <w:widowControl/>
              <w:autoSpaceDE w:val="0"/>
              <w:autoSpaceDN w:val="0"/>
              <w:adjustRightInd w:val="0"/>
              <w:jc w:val="center"/>
              <w:rPr>
                <w:rFonts w:ascii="宋体" w:hAnsi="宋体" w:cs="宋体"/>
                <w:color w:val="auto"/>
                <w:sz w:val="18"/>
                <w:szCs w:val="18"/>
                <w:highlight w:val="none"/>
              </w:rPr>
            </w:pPr>
            <w:r>
              <w:rPr>
                <w:rFonts w:hint="eastAsia" w:ascii="宋体" w:hAnsi="宋体" w:cs="宋体"/>
                <w:color w:val="auto"/>
                <w:sz w:val="18"/>
                <w:szCs w:val="18"/>
                <w:highlight w:val="none"/>
              </w:rPr>
              <w:t>m</w:t>
            </w:r>
          </w:p>
        </w:tc>
        <w:tc>
          <w:tcPr>
            <w:tcW w:w="1217" w:type="dxa"/>
            <w:vAlign w:val="center"/>
          </w:tcPr>
          <w:p>
            <w:pPr>
              <w:widowControl/>
              <w:autoSpaceDE w:val="0"/>
              <w:autoSpaceDN w:val="0"/>
              <w:adjustRightInd w:val="0"/>
              <w:jc w:val="center"/>
              <w:rPr>
                <w:rFonts w:ascii="宋体" w:hAnsi="宋体" w:cs="宋体"/>
                <w:color w:val="auto"/>
                <w:sz w:val="18"/>
                <w:szCs w:val="18"/>
                <w:highlight w:val="none"/>
              </w:rPr>
            </w:pPr>
            <w:r>
              <w:rPr>
                <w:rFonts w:hint="eastAsia" w:ascii="宋体" w:hAnsi="宋体" w:cs="宋体"/>
                <w:color w:val="auto"/>
                <w:sz w:val="18"/>
                <w:szCs w:val="18"/>
                <w:highlight w:val="none"/>
              </w:rPr>
              <w:t>9920</w:t>
            </w:r>
          </w:p>
        </w:tc>
        <w:tc>
          <w:tcPr>
            <w:tcW w:w="1175" w:type="dxa"/>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20"/>
                <w:szCs w:val="20"/>
                <w:highlight w:val="none"/>
              </w:rPr>
              <w:t>4</w:t>
            </w:r>
          </w:p>
        </w:tc>
        <w:tc>
          <w:tcPr>
            <w:tcW w:w="1525" w:type="dxa"/>
            <w:vAlign w:val="center"/>
          </w:tcPr>
          <w:p>
            <w:pPr>
              <w:jc w:val="center"/>
              <w:rPr>
                <w:rFonts w:ascii="仿宋" w:hAnsi="仿宋" w:eastAsia="仿宋"/>
                <w:color w:val="auto"/>
                <w:sz w:val="22"/>
                <w:highlight w:val="none"/>
              </w:rPr>
            </w:pPr>
          </w:p>
        </w:tc>
        <w:tc>
          <w:tcPr>
            <w:tcW w:w="1200" w:type="dxa"/>
            <w:vAlign w:val="center"/>
          </w:tcPr>
          <w:p>
            <w:pPr>
              <w:jc w:val="center"/>
              <w:rPr>
                <w:rFonts w:ascii="仿宋" w:hAnsi="仿宋" w:eastAsia="仿宋"/>
                <w:color w:val="auto"/>
                <w:sz w:val="22"/>
                <w:highlight w:val="none"/>
              </w:rPr>
            </w:pPr>
          </w:p>
        </w:tc>
        <w:tc>
          <w:tcPr>
            <w:tcW w:w="1200" w:type="dxa"/>
            <w:vAlign w:val="center"/>
          </w:tcPr>
          <w:p>
            <w:pPr>
              <w:jc w:val="center"/>
              <w:rPr>
                <w:rFonts w:ascii="仿宋" w:hAnsi="仿宋" w:eastAsia="仿宋"/>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864" w:type="dxa"/>
            <w:vAlign w:val="center"/>
          </w:tcPr>
          <w:p>
            <w:pPr>
              <w:jc w:val="center"/>
              <w:rPr>
                <w:rFonts w:ascii="方正仿宋_GBK" w:hAnsi="仿宋" w:eastAsia="方正仿宋_GBK"/>
                <w:color w:val="auto"/>
                <w:sz w:val="18"/>
                <w:szCs w:val="18"/>
                <w:highlight w:val="none"/>
              </w:rPr>
            </w:pPr>
            <w:r>
              <w:rPr>
                <w:rFonts w:hint="eastAsia" w:ascii="方正仿宋_GBK" w:hAnsi="仿宋" w:eastAsia="方正仿宋_GBK"/>
                <w:color w:val="auto"/>
                <w:sz w:val="18"/>
                <w:szCs w:val="18"/>
                <w:highlight w:val="none"/>
              </w:rPr>
              <w:t>3</w:t>
            </w:r>
          </w:p>
        </w:tc>
        <w:tc>
          <w:tcPr>
            <w:tcW w:w="1575" w:type="dxa"/>
            <w:vAlign w:val="center"/>
          </w:tcPr>
          <w:p>
            <w:pPr>
              <w:widowControl/>
              <w:autoSpaceDE w:val="0"/>
              <w:autoSpaceDN w:val="0"/>
              <w:adjustRightInd w:val="0"/>
              <w:jc w:val="center"/>
              <w:rPr>
                <w:rFonts w:ascii="宋体" w:hAnsi="宋体" w:cs="宋体"/>
                <w:color w:val="auto"/>
                <w:sz w:val="18"/>
                <w:szCs w:val="18"/>
                <w:highlight w:val="none"/>
              </w:rPr>
            </w:pPr>
            <w:r>
              <w:rPr>
                <w:rFonts w:hint="eastAsia" w:ascii="宋体" w:hAnsi="宋体" w:cs="宋体"/>
                <w:color w:val="auto"/>
                <w:sz w:val="18"/>
                <w:szCs w:val="18"/>
                <w:highlight w:val="none"/>
              </w:rPr>
              <w:t>垃圾清运</w:t>
            </w:r>
          </w:p>
        </w:tc>
        <w:tc>
          <w:tcPr>
            <w:tcW w:w="996" w:type="dxa"/>
            <w:vAlign w:val="center"/>
          </w:tcPr>
          <w:p>
            <w:pPr>
              <w:widowControl/>
              <w:autoSpaceDE w:val="0"/>
              <w:autoSpaceDN w:val="0"/>
              <w:adjustRightInd w:val="0"/>
              <w:jc w:val="center"/>
              <w:rPr>
                <w:rFonts w:ascii="宋体" w:hAnsi="宋体" w:cs="宋体"/>
                <w:color w:val="auto"/>
                <w:sz w:val="18"/>
                <w:szCs w:val="18"/>
                <w:highlight w:val="none"/>
              </w:rPr>
            </w:pPr>
            <w:r>
              <w:rPr>
                <w:rFonts w:hint="eastAsia" w:ascii="宋体" w:hAnsi="宋体" w:cs="宋体"/>
                <w:color w:val="auto"/>
                <w:sz w:val="18"/>
                <w:szCs w:val="18"/>
                <w:highlight w:val="none"/>
              </w:rPr>
              <w:t>车（10t）</w:t>
            </w:r>
          </w:p>
        </w:tc>
        <w:tc>
          <w:tcPr>
            <w:tcW w:w="1217" w:type="dxa"/>
            <w:vAlign w:val="center"/>
          </w:tcPr>
          <w:p>
            <w:pPr>
              <w:widowControl/>
              <w:autoSpaceDE w:val="0"/>
              <w:autoSpaceDN w:val="0"/>
              <w:adjustRightInd w:val="0"/>
              <w:jc w:val="center"/>
              <w:rPr>
                <w:rFonts w:ascii="宋体" w:hAnsi="宋体" w:eastAsia="宋体" w:cs="宋体"/>
                <w:color w:val="auto"/>
                <w:sz w:val="18"/>
                <w:szCs w:val="18"/>
                <w:highlight w:val="none"/>
              </w:rPr>
            </w:pPr>
            <w:r>
              <w:rPr>
                <w:rFonts w:hint="eastAsia" w:ascii="宋体" w:hAnsi="宋体" w:cs="宋体"/>
                <w:color w:val="auto"/>
                <w:sz w:val="18"/>
                <w:szCs w:val="18"/>
                <w:highlight w:val="none"/>
              </w:rPr>
              <w:t>25</w:t>
            </w:r>
          </w:p>
        </w:tc>
        <w:tc>
          <w:tcPr>
            <w:tcW w:w="1175" w:type="dxa"/>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20"/>
                <w:szCs w:val="20"/>
                <w:highlight w:val="none"/>
              </w:rPr>
              <w:t>1</w:t>
            </w:r>
          </w:p>
        </w:tc>
        <w:tc>
          <w:tcPr>
            <w:tcW w:w="1525" w:type="dxa"/>
            <w:vAlign w:val="center"/>
          </w:tcPr>
          <w:p>
            <w:pPr>
              <w:jc w:val="center"/>
              <w:rPr>
                <w:rFonts w:ascii="仿宋" w:hAnsi="仿宋" w:eastAsia="仿宋"/>
                <w:color w:val="auto"/>
                <w:sz w:val="22"/>
                <w:highlight w:val="none"/>
              </w:rPr>
            </w:pPr>
          </w:p>
        </w:tc>
        <w:tc>
          <w:tcPr>
            <w:tcW w:w="1200" w:type="dxa"/>
            <w:vAlign w:val="center"/>
          </w:tcPr>
          <w:p>
            <w:pPr>
              <w:jc w:val="center"/>
              <w:rPr>
                <w:rFonts w:ascii="仿宋" w:hAnsi="仿宋" w:eastAsia="仿宋"/>
                <w:color w:val="auto"/>
                <w:sz w:val="22"/>
                <w:highlight w:val="none"/>
              </w:rPr>
            </w:pPr>
          </w:p>
        </w:tc>
        <w:tc>
          <w:tcPr>
            <w:tcW w:w="1200" w:type="dxa"/>
            <w:vAlign w:val="center"/>
          </w:tcPr>
          <w:p>
            <w:pPr>
              <w:jc w:val="center"/>
              <w:rPr>
                <w:rFonts w:ascii="仿宋" w:hAnsi="仿宋" w:eastAsia="仿宋"/>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864" w:type="dxa"/>
            <w:vAlign w:val="center"/>
          </w:tcPr>
          <w:p>
            <w:pPr>
              <w:jc w:val="center"/>
              <w:rPr>
                <w:rFonts w:ascii="方正仿宋_GBK" w:hAnsi="仿宋" w:eastAsia="方正仿宋_GBK"/>
                <w:color w:val="auto"/>
                <w:sz w:val="18"/>
                <w:szCs w:val="18"/>
                <w:highlight w:val="none"/>
              </w:rPr>
            </w:pPr>
            <w:r>
              <w:rPr>
                <w:rFonts w:hint="eastAsia" w:ascii="方正仿宋_GBK" w:hAnsi="仿宋" w:eastAsia="方正仿宋_GBK"/>
                <w:color w:val="auto"/>
                <w:sz w:val="18"/>
                <w:szCs w:val="18"/>
                <w:highlight w:val="none"/>
              </w:rPr>
              <w:t>4</w:t>
            </w:r>
          </w:p>
        </w:tc>
        <w:tc>
          <w:tcPr>
            <w:tcW w:w="1575" w:type="dxa"/>
            <w:vAlign w:val="center"/>
          </w:tcPr>
          <w:p>
            <w:pPr>
              <w:widowControl/>
              <w:autoSpaceDE w:val="0"/>
              <w:autoSpaceDN w:val="0"/>
              <w:adjustRightInd w:val="0"/>
              <w:jc w:val="center"/>
              <w:rPr>
                <w:rFonts w:ascii="宋体" w:hAnsi="宋体" w:cs="宋体"/>
                <w:color w:val="auto"/>
                <w:sz w:val="18"/>
                <w:szCs w:val="18"/>
                <w:highlight w:val="none"/>
              </w:rPr>
            </w:pPr>
            <w:r>
              <w:rPr>
                <w:rFonts w:hint="eastAsia" w:ascii="宋体" w:hAnsi="宋体" w:cs="宋体"/>
                <w:color w:val="auto"/>
                <w:sz w:val="18"/>
                <w:szCs w:val="18"/>
                <w:highlight w:val="none"/>
              </w:rPr>
              <w:t>道岔桥清洁</w:t>
            </w:r>
          </w:p>
        </w:tc>
        <w:tc>
          <w:tcPr>
            <w:tcW w:w="996" w:type="dxa"/>
            <w:vAlign w:val="center"/>
          </w:tcPr>
          <w:p>
            <w:pPr>
              <w:widowControl/>
              <w:autoSpaceDE w:val="0"/>
              <w:autoSpaceDN w:val="0"/>
              <w:adjustRightInd w:val="0"/>
              <w:jc w:val="center"/>
              <w:rPr>
                <w:rFonts w:ascii="宋体" w:hAnsi="宋体" w:cs="宋体"/>
                <w:color w:val="auto"/>
                <w:sz w:val="18"/>
                <w:szCs w:val="18"/>
                <w:highlight w:val="none"/>
              </w:rPr>
            </w:pPr>
            <w:r>
              <w:rPr>
                <w:rFonts w:hint="eastAsia" w:ascii="宋体" w:hAnsi="宋体" w:cs="宋体"/>
                <w:color w:val="auto"/>
                <w:sz w:val="18"/>
                <w:szCs w:val="18"/>
                <w:highlight w:val="none"/>
              </w:rPr>
              <w:t>㎡</w:t>
            </w:r>
          </w:p>
        </w:tc>
        <w:tc>
          <w:tcPr>
            <w:tcW w:w="1217" w:type="dxa"/>
            <w:vAlign w:val="center"/>
          </w:tcPr>
          <w:p>
            <w:pPr>
              <w:widowControl/>
              <w:autoSpaceDE w:val="0"/>
              <w:autoSpaceDN w:val="0"/>
              <w:adjustRightInd w:val="0"/>
              <w:jc w:val="center"/>
              <w:rPr>
                <w:rFonts w:ascii="宋体" w:hAnsi="宋体" w:cs="宋体"/>
                <w:color w:val="auto"/>
                <w:sz w:val="18"/>
                <w:szCs w:val="18"/>
                <w:highlight w:val="none"/>
              </w:rPr>
            </w:pPr>
            <w:r>
              <w:rPr>
                <w:rFonts w:hint="eastAsia" w:ascii="宋体" w:hAnsi="宋体" w:cs="宋体"/>
                <w:color w:val="auto"/>
                <w:sz w:val="18"/>
                <w:szCs w:val="18"/>
                <w:highlight w:val="none"/>
              </w:rPr>
              <w:t>5535</w:t>
            </w:r>
          </w:p>
        </w:tc>
        <w:tc>
          <w:tcPr>
            <w:tcW w:w="1175" w:type="dxa"/>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20"/>
                <w:szCs w:val="20"/>
                <w:highlight w:val="none"/>
              </w:rPr>
              <w:t>2</w:t>
            </w:r>
          </w:p>
        </w:tc>
        <w:tc>
          <w:tcPr>
            <w:tcW w:w="1525" w:type="dxa"/>
            <w:vAlign w:val="center"/>
          </w:tcPr>
          <w:p>
            <w:pPr>
              <w:jc w:val="center"/>
              <w:rPr>
                <w:rFonts w:ascii="仿宋" w:hAnsi="仿宋" w:eastAsia="仿宋"/>
                <w:color w:val="auto"/>
                <w:sz w:val="22"/>
                <w:highlight w:val="none"/>
              </w:rPr>
            </w:pPr>
          </w:p>
        </w:tc>
        <w:tc>
          <w:tcPr>
            <w:tcW w:w="1200" w:type="dxa"/>
            <w:vAlign w:val="center"/>
          </w:tcPr>
          <w:p>
            <w:pPr>
              <w:jc w:val="center"/>
              <w:rPr>
                <w:rFonts w:ascii="仿宋" w:hAnsi="仿宋" w:eastAsia="仿宋"/>
                <w:color w:val="auto"/>
                <w:sz w:val="22"/>
                <w:highlight w:val="none"/>
              </w:rPr>
            </w:pPr>
          </w:p>
        </w:tc>
        <w:tc>
          <w:tcPr>
            <w:tcW w:w="1200" w:type="dxa"/>
            <w:vAlign w:val="center"/>
          </w:tcPr>
          <w:p>
            <w:pPr>
              <w:jc w:val="center"/>
              <w:rPr>
                <w:rFonts w:ascii="仿宋" w:hAnsi="仿宋" w:eastAsia="仿宋"/>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864" w:type="dxa"/>
            <w:vAlign w:val="center"/>
          </w:tcPr>
          <w:p>
            <w:pPr>
              <w:jc w:val="center"/>
              <w:rPr>
                <w:rFonts w:ascii="方正仿宋_GBK" w:hAnsi="仿宋" w:eastAsia="方正仿宋_GBK"/>
                <w:color w:val="auto"/>
                <w:sz w:val="18"/>
                <w:szCs w:val="18"/>
                <w:highlight w:val="none"/>
              </w:rPr>
            </w:pPr>
            <w:r>
              <w:rPr>
                <w:rFonts w:hint="eastAsia" w:ascii="方正仿宋_GBK" w:hAnsi="仿宋" w:eastAsia="方正仿宋_GBK"/>
                <w:color w:val="auto"/>
                <w:sz w:val="18"/>
                <w:szCs w:val="18"/>
                <w:highlight w:val="none"/>
              </w:rPr>
              <w:t>5</w:t>
            </w:r>
          </w:p>
        </w:tc>
        <w:tc>
          <w:tcPr>
            <w:tcW w:w="1575" w:type="dxa"/>
            <w:vAlign w:val="center"/>
          </w:tcPr>
          <w:p>
            <w:pPr>
              <w:widowControl/>
              <w:autoSpaceDE w:val="0"/>
              <w:autoSpaceDN w:val="0"/>
              <w:adjustRightInd w:val="0"/>
              <w:jc w:val="center"/>
              <w:rPr>
                <w:rFonts w:ascii="宋体" w:hAnsi="宋体" w:cs="宋体"/>
                <w:color w:val="auto"/>
                <w:sz w:val="18"/>
                <w:szCs w:val="18"/>
                <w:highlight w:val="none"/>
              </w:rPr>
            </w:pPr>
            <w:r>
              <w:rPr>
                <w:rFonts w:hint="eastAsia" w:ascii="宋体" w:hAnsi="宋体" w:cs="宋体"/>
                <w:bCs/>
                <w:color w:val="auto"/>
                <w:sz w:val="18"/>
                <w:szCs w:val="18"/>
                <w:highlight w:val="none"/>
              </w:rPr>
              <w:t>区间轨行区路基段清洁卫生及杂草清除</w:t>
            </w:r>
          </w:p>
        </w:tc>
        <w:tc>
          <w:tcPr>
            <w:tcW w:w="996" w:type="dxa"/>
            <w:vAlign w:val="center"/>
          </w:tcPr>
          <w:p>
            <w:pPr>
              <w:widowControl/>
              <w:autoSpaceDE w:val="0"/>
              <w:autoSpaceDN w:val="0"/>
              <w:adjustRightInd w:val="0"/>
              <w:jc w:val="center"/>
              <w:rPr>
                <w:rFonts w:ascii="宋体" w:hAnsi="宋体" w:cs="宋体"/>
                <w:color w:val="auto"/>
                <w:sz w:val="18"/>
                <w:szCs w:val="18"/>
                <w:highlight w:val="none"/>
              </w:rPr>
            </w:pPr>
            <w:r>
              <w:rPr>
                <w:rFonts w:hint="eastAsia" w:ascii="宋体" w:hAnsi="宋体" w:cs="宋体"/>
                <w:color w:val="auto"/>
                <w:sz w:val="18"/>
                <w:szCs w:val="18"/>
                <w:highlight w:val="none"/>
              </w:rPr>
              <w:t>㎡</w:t>
            </w:r>
          </w:p>
        </w:tc>
        <w:tc>
          <w:tcPr>
            <w:tcW w:w="1217" w:type="dxa"/>
            <w:vAlign w:val="center"/>
          </w:tcPr>
          <w:p>
            <w:pPr>
              <w:widowControl/>
              <w:autoSpaceDE w:val="0"/>
              <w:autoSpaceDN w:val="0"/>
              <w:adjustRightInd w:val="0"/>
              <w:jc w:val="center"/>
              <w:rPr>
                <w:rFonts w:ascii="宋体" w:hAnsi="宋体" w:cs="宋体"/>
                <w:color w:val="auto"/>
                <w:sz w:val="18"/>
                <w:szCs w:val="18"/>
                <w:highlight w:val="none"/>
              </w:rPr>
            </w:pPr>
            <w:r>
              <w:rPr>
                <w:rFonts w:hint="eastAsia" w:ascii="宋体" w:hAnsi="宋体" w:cs="宋体"/>
                <w:color w:val="auto"/>
                <w:sz w:val="18"/>
                <w:szCs w:val="18"/>
                <w:highlight w:val="none"/>
              </w:rPr>
              <w:t>20000</w:t>
            </w:r>
          </w:p>
        </w:tc>
        <w:tc>
          <w:tcPr>
            <w:tcW w:w="1175" w:type="dxa"/>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20"/>
                <w:szCs w:val="20"/>
                <w:highlight w:val="none"/>
              </w:rPr>
              <w:t>2</w:t>
            </w:r>
          </w:p>
        </w:tc>
        <w:tc>
          <w:tcPr>
            <w:tcW w:w="1525" w:type="dxa"/>
            <w:vAlign w:val="center"/>
          </w:tcPr>
          <w:p>
            <w:pPr>
              <w:jc w:val="center"/>
              <w:rPr>
                <w:rFonts w:ascii="仿宋" w:hAnsi="仿宋" w:eastAsia="仿宋"/>
                <w:color w:val="auto"/>
                <w:sz w:val="22"/>
                <w:highlight w:val="none"/>
              </w:rPr>
            </w:pPr>
          </w:p>
        </w:tc>
        <w:tc>
          <w:tcPr>
            <w:tcW w:w="1200" w:type="dxa"/>
            <w:vAlign w:val="center"/>
          </w:tcPr>
          <w:p>
            <w:pPr>
              <w:jc w:val="center"/>
              <w:rPr>
                <w:rFonts w:ascii="仿宋" w:hAnsi="仿宋" w:eastAsia="仿宋"/>
                <w:color w:val="auto"/>
                <w:sz w:val="22"/>
                <w:highlight w:val="none"/>
              </w:rPr>
            </w:pPr>
          </w:p>
        </w:tc>
        <w:tc>
          <w:tcPr>
            <w:tcW w:w="1200" w:type="dxa"/>
            <w:vAlign w:val="center"/>
          </w:tcPr>
          <w:p>
            <w:pPr>
              <w:jc w:val="center"/>
              <w:rPr>
                <w:rFonts w:ascii="仿宋" w:hAnsi="仿宋" w:eastAsia="仿宋"/>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864" w:type="dxa"/>
            <w:vAlign w:val="center"/>
          </w:tcPr>
          <w:p>
            <w:pPr>
              <w:jc w:val="center"/>
              <w:rPr>
                <w:rFonts w:ascii="方正仿宋_GBK" w:hAnsi="仿宋" w:eastAsia="方正仿宋_GBK"/>
                <w:color w:val="auto"/>
                <w:sz w:val="18"/>
                <w:szCs w:val="18"/>
                <w:highlight w:val="none"/>
              </w:rPr>
            </w:pPr>
            <w:r>
              <w:rPr>
                <w:rFonts w:hint="eastAsia" w:ascii="方正仿宋_GBK" w:hAnsi="仿宋" w:eastAsia="方正仿宋_GBK"/>
                <w:color w:val="auto"/>
                <w:sz w:val="18"/>
                <w:szCs w:val="18"/>
                <w:highlight w:val="none"/>
              </w:rPr>
              <w:t>6</w:t>
            </w:r>
          </w:p>
        </w:tc>
        <w:tc>
          <w:tcPr>
            <w:tcW w:w="1575" w:type="dxa"/>
            <w:vAlign w:val="center"/>
          </w:tcPr>
          <w:p>
            <w:pPr>
              <w:widowControl/>
              <w:autoSpaceDE w:val="0"/>
              <w:autoSpaceDN w:val="0"/>
              <w:adjustRightInd w:val="0"/>
              <w:jc w:val="center"/>
              <w:rPr>
                <w:rFonts w:ascii="宋体" w:hAnsi="宋体" w:cs="宋体"/>
                <w:color w:val="auto"/>
                <w:sz w:val="18"/>
                <w:szCs w:val="18"/>
                <w:highlight w:val="none"/>
              </w:rPr>
            </w:pPr>
            <w:r>
              <w:rPr>
                <w:rFonts w:hint="eastAsia" w:ascii="宋体" w:hAnsi="宋体" w:cs="宋体"/>
                <w:color w:val="auto"/>
                <w:sz w:val="18"/>
                <w:szCs w:val="18"/>
                <w:highlight w:val="none"/>
              </w:rPr>
              <w:t>雨棚及区间防抛网</w:t>
            </w:r>
          </w:p>
        </w:tc>
        <w:tc>
          <w:tcPr>
            <w:tcW w:w="996" w:type="dxa"/>
            <w:vAlign w:val="center"/>
          </w:tcPr>
          <w:p>
            <w:pPr>
              <w:widowControl/>
              <w:autoSpaceDE w:val="0"/>
              <w:autoSpaceDN w:val="0"/>
              <w:adjustRightInd w:val="0"/>
              <w:jc w:val="center"/>
              <w:rPr>
                <w:rFonts w:ascii="宋体" w:hAnsi="宋体" w:cs="宋体"/>
                <w:color w:val="auto"/>
                <w:sz w:val="18"/>
                <w:szCs w:val="18"/>
                <w:highlight w:val="none"/>
              </w:rPr>
            </w:pPr>
            <w:r>
              <w:rPr>
                <w:rFonts w:hint="eastAsia" w:ascii="宋体" w:hAnsi="宋体" w:cs="宋体"/>
                <w:color w:val="auto"/>
                <w:sz w:val="18"/>
                <w:szCs w:val="18"/>
                <w:highlight w:val="none"/>
              </w:rPr>
              <w:t>㎡</w:t>
            </w:r>
          </w:p>
        </w:tc>
        <w:tc>
          <w:tcPr>
            <w:tcW w:w="1217" w:type="dxa"/>
            <w:vAlign w:val="center"/>
          </w:tcPr>
          <w:p>
            <w:pPr>
              <w:widowControl/>
              <w:autoSpaceDE w:val="0"/>
              <w:autoSpaceDN w:val="0"/>
              <w:adjustRightInd w:val="0"/>
              <w:jc w:val="center"/>
              <w:rPr>
                <w:rFonts w:ascii="宋体" w:hAnsi="宋体" w:cs="宋体"/>
                <w:color w:val="auto"/>
                <w:sz w:val="18"/>
                <w:szCs w:val="18"/>
                <w:highlight w:val="none"/>
              </w:rPr>
            </w:pPr>
            <w:r>
              <w:rPr>
                <w:rFonts w:hint="eastAsia" w:ascii="宋体" w:hAnsi="宋体" w:cs="宋体"/>
                <w:color w:val="auto"/>
                <w:sz w:val="18"/>
                <w:szCs w:val="18"/>
                <w:highlight w:val="none"/>
              </w:rPr>
              <w:t>3000</w:t>
            </w:r>
          </w:p>
        </w:tc>
        <w:tc>
          <w:tcPr>
            <w:tcW w:w="1175" w:type="dxa"/>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20"/>
                <w:szCs w:val="20"/>
                <w:highlight w:val="none"/>
              </w:rPr>
              <w:t>2</w:t>
            </w:r>
          </w:p>
        </w:tc>
        <w:tc>
          <w:tcPr>
            <w:tcW w:w="1525" w:type="dxa"/>
            <w:vAlign w:val="center"/>
          </w:tcPr>
          <w:p>
            <w:pPr>
              <w:jc w:val="center"/>
              <w:rPr>
                <w:rFonts w:ascii="仿宋" w:hAnsi="仿宋" w:eastAsia="仿宋"/>
                <w:color w:val="auto"/>
                <w:sz w:val="22"/>
                <w:highlight w:val="none"/>
              </w:rPr>
            </w:pPr>
          </w:p>
        </w:tc>
        <w:tc>
          <w:tcPr>
            <w:tcW w:w="1200" w:type="dxa"/>
            <w:vAlign w:val="center"/>
          </w:tcPr>
          <w:p>
            <w:pPr>
              <w:jc w:val="center"/>
              <w:rPr>
                <w:rFonts w:ascii="仿宋" w:hAnsi="仿宋" w:eastAsia="仿宋"/>
                <w:color w:val="auto"/>
                <w:sz w:val="22"/>
                <w:highlight w:val="none"/>
              </w:rPr>
            </w:pPr>
          </w:p>
        </w:tc>
        <w:tc>
          <w:tcPr>
            <w:tcW w:w="1200" w:type="dxa"/>
            <w:vAlign w:val="center"/>
          </w:tcPr>
          <w:p>
            <w:pPr>
              <w:jc w:val="center"/>
              <w:rPr>
                <w:rFonts w:ascii="仿宋" w:hAnsi="仿宋" w:eastAsia="仿宋"/>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864" w:type="dxa"/>
            <w:vAlign w:val="center"/>
          </w:tcPr>
          <w:p>
            <w:pPr>
              <w:jc w:val="center"/>
              <w:rPr>
                <w:rFonts w:ascii="方正仿宋_GBK" w:hAnsi="仿宋" w:eastAsia="方正仿宋_GBK"/>
                <w:color w:val="auto"/>
                <w:sz w:val="18"/>
                <w:szCs w:val="18"/>
                <w:highlight w:val="none"/>
              </w:rPr>
            </w:pPr>
            <w:r>
              <w:rPr>
                <w:rFonts w:hint="eastAsia" w:ascii="方正仿宋_GBK" w:hAnsi="仿宋" w:eastAsia="方正仿宋_GBK"/>
                <w:color w:val="auto"/>
                <w:sz w:val="18"/>
                <w:szCs w:val="18"/>
                <w:highlight w:val="none"/>
              </w:rPr>
              <w:t>7</w:t>
            </w:r>
          </w:p>
        </w:tc>
        <w:tc>
          <w:tcPr>
            <w:tcW w:w="1575" w:type="dxa"/>
            <w:vAlign w:val="center"/>
          </w:tcPr>
          <w:p>
            <w:pPr>
              <w:widowControl/>
              <w:autoSpaceDE w:val="0"/>
              <w:autoSpaceDN w:val="0"/>
              <w:adjustRightInd w:val="0"/>
              <w:jc w:val="center"/>
              <w:rPr>
                <w:rFonts w:ascii="宋体" w:hAnsi="宋体" w:cs="宋体"/>
                <w:color w:val="auto"/>
                <w:sz w:val="18"/>
                <w:szCs w:val="18"/>
                <w:highlight w:val="none"/>
              </w:rPr>
            </w:pPr>
            <w:r>
              <w:rPr>
                <w:rFonts w:hint="eastAsia" w:ascii="宋体" w:hAnsi="宋体" w:cs="宋体"/>
                <w:color w:val="auto"/>
                <w:sz w:val="18"/>
                <w:szCs w:val="18"/>
                <w:highlight w:val="none"/>
              </w:rPr>
              <w:t>边坡、挡墙清洁卫生及杂草清除</w:t>
            </w:r>
          </w:p>
        </w:tc>
        <w:tc>
          <w:tcPr>
            <w:tcW w:w="996" w:type="dxa"/>
            <w:vAlign w:val="center"/>
          </w:tcPr>
          <w:p>
            <w:pPr>
              <w:widowControl/>
              <w:autoSpaceDE w:val="0"/>
              <w:autoSpaceDN w:val="0"/>
              <w:adjustRightInd w:val="0"/>
              <w:jc w:val="center"/>
              <w:rPr>
                <w:rFonts w:ascii="宋体" w:hAnsi="宋体" w:cs="宋体"/>
                <w:color w:val="auto"/>
                <w:sz w:val="18"/>
                <w:szCs w:val="18"/>
                <w:highlight w:val="none"/>
              </w:rPr>
            </w:pPr>
            <w:r>
              <w:rPr>
                <w:rFonts w:hint="eastAsia" w:ascii="宋体" w:hAnsi="宋体" w:cs="宋体"/>
                <w:color w:val="auto"/>
                <w:sz w:val="18"/>
                <w:szCs w:val="18"/>
                <w:highlight w:val="none"/>
              </w:rPr>
              <w:t>㎡</w:t>
            </w:r>
          </w:p>
        </w:tc>
        <w:tc>
          <w:tcPr>
            <w:tcW w:w="1217" w:type="dxa"/>
            <w:vAlign w:val="center"/>
          </w:tcPr>
          <w:p>
            <w:pPr>
              <w:widowControl/>
              <w:autoSpaceDE w:val="0"/>
              <w:autoSpaceDN w:val="0"/>
              <w:adjustRightInd w:val="0"/>
              <w:jc w:val="center"/>
              <w:rPr>
                <w:rFonts w:ascii="宋体" w:hAnsi="宋体" w:cs="宋体"/>
                <w:color w:val="auto"/>
                <w:sz w:val="18"/>
                <w:szCs w:val="18"/>
                <w:highlight w:val="none"/>
              </w:rPr>
            </w:pPr>
            <w:r>
              <w:rPr>
                <w:rFonts w:hint="eastAsia" w:ascii="宋体" w:hAnsi="宋体" w:cs="宋体"/>
                <w:color w:val="auto"/>
                <w:sz w:val="18"/>
                <w:szCs w:val="18"/>
                <w:highlight w:val="none"/>
              </w:rPr>
              <w:t>1000</w:t>
            </w:r>
          </w:p>
        </w:tc>
        <w:tc>
          <w:tcPr>
            <w:tcW w:w="1175" w:type="dxa"/>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20"/>
                <w:szCs w:val="20"/>
                <w:highlight w:val="none"/>
              </w:rPr>
              <w:t>2</w:t>
            </w:r>
          </w:p>
        </w:tc>
        <w:tc>
          <w:tcPr>
            <w:tcW w:w="1525" w:type="dxa"/>
            <w:vAlign w:val="center"/>
          </w:tcPr>
          <w:p>
            <w:pPr>
              <w:jc w:val="center"/>
              <w:rPr>
                <w:rFonts w:ascii="仿宋" w:hAnsi="仿宋" w:eastAsia="仿宋"/>
                <w:color w:val="auto"/>
                <w:sz w:val="22"/>
                <w:highlight w:val="none"/>
              </w:rPr>
            </w:pPr>
          </w:p>
        </w:tc>
        <w:tc>
          <w:tcPr>
            <w:tcW w:w="1200" w:type="dxa"/>
            <w:vAlign w:val="center"/>
          </w:tcPr>
          <w:p>
            <w:pPr>
              <w:jc w:val="center"/>
              <w:rPr>
                <w:rFonts w:ascii="仿宋" w:hAnsi="仿宋" w:eastAsia="仿宋"/>
                <w:color w:val="auto"/>
                <w:sz w:val="22"/>
                <w:highlight w:val="none"/>
              </w:rPr>
            </w:pPr>
          </w:p>
        </w:tc>
        <w:tc>
          <w:tcPr>
            <w:tcW w:w="1200" w:type="dxa"/>
            <w:vAlign w:val="center"/>
          </w:tcPr>
          <w:p>
            <w:pPr>
              <w:jc w:val="center"/>
              <w:rPr>
                <w:rFonts w:ascii="仿宋" w:hAnsi="仿宋" w:eastAsia="仿宋"/>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864" w:type="dxa"/>
            <w:vAlign w:val="center"/>
          </w:tcPr>
          <w:p>
            <w:pPr>
              <w:jc w:val="center"/>
              <w:rPr>
                <w:rFonts w:ascii="方正仿宋_GBK" w:hAnsi="仿宋" w:eastAsia="方正仿宋_GBK"/>
                <w:color w:val="auto"/>
                <w:sz w:val="18"/>
                <w:szCs w:val="18"/>
                <w:highlight w:val="none"/>
              </w:rPr>
            </w:pPr>
            <w:r>
              <w:rPr>
                <w:rFonts w:hint="eastAsia" w:ascii="方正仿宋_GBK" w:hAnsi="仿宋" w:eastAsia="方正仿宋_GBK"/>
                <w:color w:val="auto"/>
                <w:sz w:val="18"/>
                <w:szCs w:val="18"/>
                <w:highlight w:val="none"/>
              </w:rPr>
              <w:t>8</w:t>
            </w:r>
          </w:p>
        </w:tc>
        <w:tc>
          <w:tcPr>
            <w:tcW w:w="1575" w:type="dxa"/>
          </w:tcPr>
          <w:p>
            <w:pPr>
              <w:widowControl/>
              <w:autoSpaceDE w:val="0"/>
              <w:autoSpaceDN w:val="0"/>
              <w:adjustRightInd w:val="0"/>
              <w:jc w:val="center"/>
              <w:rPr>
                <w:rFonts w:ascii="宋体" w:hAnsi="宋体" w:eastAsia="宋体" w:cs="宋体"/>
                <w:color w:val="auto"/>
                <w:sz w:val="18"/>
                <w:szCs w:val="18"/>
                <w:highlight w:val="none"/>
              </w:rPr>
            </w:pPr>
            <w:r>
              <w:rPr>
                <w:rFonts w:hint="eastAsia" w:ascii="宋体" w:hAnsi="宋体" w:cs="宋体"/>
                <w:color w:val="auto"/>
                <w:sz w:val="18"/>
                <w:szCs w:val="18"/>
                <w:highlight w:val="none"/>
              </w:rPr>
              <w:t>车站生化池清掏（除平安、大渡口、新山村站）</w:t>
            </w:r>
          </w:p>
        </w:tc>
        <w:tc>
          <w:tcPr>
            <w:tcW w:w="996" w:type="dxa"/>
          </w:tcPr>
          <w:p>
            <w:pPr>
              <w:widowControl/>
              <w:autoSpaceDE w:val="0"/>
              <w:autoSpaceDN w:val="0"/>
              <w:adjustRightInd w:val="0"/>
              <w:jc w:val="center"/>
              <w:rPr>
                <w:rFonts w:ascii="宋体" w:hAnsi="宋体" w:cs="宋体"/>
                <w:color w:val="auto"/>
                <w:sz w:val="18"/>
                <w:szCs w:val="18"/>
                <w:highlight w:val="none"/>
              </w:rPr>
            </w:pPr>
            <w:r>
              <w:rPr>
                <w:rFonts w:hint="eastAsia" w:ascii="宋体" w:hAnsi="宋体" w:cs="宋体"/>
                <w:color w:val="auto"/>
                <w:sz w:val="18"/>
                <w:szCs w:val="18"/>
                <w:highlight w:val="none"/>
              </w:rPr>
              <w:t>m³</w:t>
            </w:r>
          </w:p>
        </w:tc>
        <w:tc>
          <w:tcPr>
            <w:tcW w:w="1217" w:type="dxa"/>
          </w:tcPr>
          <w:p>
            <w:pPr>
              <w:widowControl/>
              <w:autoSpaceDE w:val="0"/>
              <w:autoSpaceDN w:val="0"/>
              <w:adjustRightInd w:val="0"/>
              <w:jc w:val="center"/>
              <w:rPr>
                <w:rFonts w:ascii="宋体" w:hAnsi="宋体" w:eastAsia="宋体" w:cs="宋体"/>
                <w:color w:val="auto"/>
                <w:sz w:val="18"/>
                <w:szCs w:val="18"/>
                <w:highlight w:val="none"/>
              </w:rPr>
            </w:pPr>
            <w:r>
              <w:rPr>
                <w:rFonts w:hint="eastAsia" w:ascii="宋体" w:hAnsi="宋体" w:cs="宋体"/>
                <w:color w:val="auto"/>
                <w:sz w:val="18"/>
                <w:szCs w:val="18"/>
                <w:highlight w:val="none"/>
              </w:rPr>
              <w:t>1139.4</w:t>
            </w:r>
          </w:p>
        </w:tc>
        <w:tc>
          <w:tcPr>
            <w:tcW w:w="1175" w:type="dxa"/>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20"/>
                <w:szCs w:val="20"/>
                <w:highlight w:val="none"/>
              </w:rPr>
              <w:t>4</w:t>
            </w:r>
          </w:p>
        </w:tc>
        <w:tc>
          <w:tcPr>
            <w:tcW w:w="1525" w:type="dxa"/>
            <w:vAlign w:val="center"/>
          </w:tcPr>
          <w:p>
            <w:pPr>
              <w:jc w:val="center"/>
              <w:rPr>
                <w:rFonts w:ascii="仿宋" w:hAnsi="仿宋" w:eastAsia="仿宋"/>
                <w:color w:val="auto"/>
                <w:sz w:val="22"/>
                <w:highlight w:val="none"/>
              </w:rPr>
            </w:pPr>
          </w:p>
        </w:tc>
        <w:tc>
          <w:tcPr>
            <w:tcW w:w="1200" w:type="dxa"/>
            <w:vAlign w:val="center"/>
          </w:tcPr>
          <w:p>
            <w:pPr>
              <w:jc w:val="center"/>
              <w:rPr>
                <w:rFonts w:ascii="仿宋" w:hAnsi="仿宋" w:eastAsia="仿宋"/>
                <w:color w:val="auto"/>
                <w:sz w:val="22"/>
                <w:highlight w:val="none"/>
              </w:rPr>
            </w:pPr>
          </w:p>
        </w:tc>
        <w:tc>
          <w:tcPr>
            <w:tcW w:w="1200" w:type="dxa"/>
            <w:vAlign w:val="center"/>
          </w:tcPr>
          <w:p>
            <w:pPr>
              <w:jc w:val="center"/>
              <w:rPr>
                <w:rFonts w:ascii="仿宋" w:hAnsi="仿宋" w:eastAsia="仿宋"/>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864" w:type="dxa"/>
            <w:vAlign w:val="center"/>
          </w:tcPr>
          <w:p>
            <w:pPr>
              <w:jc w:val="center"/>
              <w:rPr>
                <w:rFonts w:ascii="方正仿宋_GBK" w:hAnsi="仿宋" w:eastAsia="方正仿宋_GBK"/>
                <w:color w:val="auto"/>
                <w:sz w:val="18"/>
                <w:szCs w:val="18"/>
                <w:highlight w:val="none"/>
              </w:rPr>
            </w:pPr>
            <w:r>
              <w:rPr>
                <w:rFonts w:hint="eastAsia" w:ascii="方正仿宋_GBK" w:hAnsi="仿宋" w:eastAsia="方正仿宋_GBK"/>
                <w:color w:val="auto"/>
                <w:sz w:val="18"/>
                <w:szCs w:val="18"/>
                <w:highlight w:val="none"/>
              </w:rPr>
              <w:t>9</w:t>
            </w:r>
          </w:p>
        </w:tc>
        <w:tc>
          <w:tcPr>
            <w:tcW w:w="1575" w:type="dxa"/>
          </w:tcPr>
          <w:p>
            <w:pPr>
              <w:widowControl/>
              <w:autoSpaceDE w:val="0"/>
              <w:autoSpaceDN w:val="0"/>
              <w:adjustRightInd w:val="0"/>
              <w:jc w:val="center"/>
              <w:rPr>
                <w:rFonts w:ascii="宋体" w:hAnsi="宋体" w:eastAsia="宋体" w:cs="宋体"/>
                <w:color w:val="auto"/>
                <w:sz w:val="18"/>
                <w:szCs w:val="18"/>
                <w:highlight w:val="none"/>
              </w:rPr>
            </w:pPr>
            <w:r>
              <w:rPr>
                <w:rFonts w:hint="eastAsia" w:ascii="宋体" w:hAnsi="宋体" w:cs="宋体"/>
                <w:color w:val="auto"/>
                <w:sz w:val="18"/>
                <w:szCs w:val="18"/>
                <w:highlight w:val="none"/>
              </w:rPr>
              <w:t>车站生化池清掏（平安、大渡口、新山村站）</w:t>
            </w:r>
          </w:p>
        </w:tc>
        <w:tc>
          <w:tcPr>
            <w:tcW w:w="996" w:type="dxa"/>
          </w:tcPr>
          <w:p>
            <w:pPr>
              <w:widowControl/>
              <w:autoSpaceDE w:val="0"/>
              <w:autoSpaceDN w:val="0"/>
              <w:adjustRightInd w:val="0"/>
              <w:jc w:val="center"/>
              <w:rPr>
                <w:rFonts w:ascii="宋体" w:hAnsi="宋体" w:cs="宋体"/>
                <w:color w:val="auto"/>
                <w:sz w:val="18"/>
                <w:szCs w:val="18"/>
                <w:highlight w:val="none"/>
              </w:rPr>
            </w:pPr>
            <w:r>
              <w:rPr>
                <w:rFonts w:hint="eastAsia" w:ascii="宋体" w:hAnsi="宋体" w:cs="宋体"/>
                <w:color w:val="auto"/>
                <w:sz w:val="18"/>
                <w:szCs w:val="18"/>
                <w:highlight w:val="none"/>
              </w:rPr>
              <w:t>m³</w:t>
            </w:r>
          </w:p>
        </w:tc>
        <w:tc>
          <w:tcPr>
            <w:tcW w:w="1217" w:type="dxa"/>
          </w:tcPr>
          <w:p>
            <w:pPr>
              <w:widowControl/>
              <w:autoSpaceDE w:val="0"/>
              <w:autoSpaceDN w:val="0"/>
              <w:adjustRightInd w:val="0"/>
              <w:jc w:val="center"/>
              <w:rPr>
                <w:rFonts w:ascii="宋体" w:hAnsi="宋体" w:eastAsia="宋体" w:cs="宋体"/>
                <w:color w:val="auto"/>
                <w:sz w:val="18"/>
                <w:szCs w:val="18"/>
                <w:highlight w:val="none"/>
              </w:rPr>
            </w:pPr>
            <w:r>
              <w:rPr>
                <w:rFonts w:hint="eastAsia" w:ascii="宋体" w:hAnsi="宋体" w:cs="宋体"/>
                <w:color w:val="auto"/>
                <w:sz w:val="18"/>
                <w:szCs w:val="18"/>
                <w:highlight w:val="none"/>
              </w:rPr>
              <w:t>609.76</w:t>
            </w:r>
          </w:p>
        </w:tc>
        <w:tc>
          <w:tcPr>
            <w:tcW w:w="1175" w:type="dxa"/>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20"/>
                <w:szCs w:val="20"/>
                <w:highlight w:val="none"/>
              </w:rPr>
              <w:t>12</w:t>
            </w:r>
          </w:p>
        </w:tc>
        <w:tc>
          <w:tcPr>
            <w:tcW w:w="1525" w:type="dxa"/>
            <w:vAlign w:val="center"/>
          </w:tcPr>
          <w:p>
            <w:pPr>
              <w:jc w:val="center"/>
              <w:rPr>
                <w:rFonts w:ascii="仿宋" w:hAnsi="仿宋" w:eastAsia="仿宋"/>
                <w:color w:val="auto"/>
                <w:sz w:val="22"/>
                <w:highlight w:val="none"/>
              </w:rPr>
            </w:pPr>
          </w:p>
        </w:tc>
        <w:tc>
          <w:tcPr>
            <w:tcW w:w="1200" w:type="dxa"/>
            <w:vAlign w:val="center"/>
          </w:tcPr>
          <w:p>
            <w:pPr>
              <w:jc w:val="center"/>
              <w:rPr>
                <w:rFonts w:ascii="仿宋" w:hAnsi="仿宋" w:eastAsia="仿宋"/>
                <w:color w:val="auto"/>
                <w:sz w:val="22"/>
                <w:highlight w:val="none"/>
              </w:rPr>
            </w:pPr>
          </w:p>
        </w:tc>
        <w:tc>
          <w:tcPr>
            <w:tcW w:w="1200" w:type="dxa"/>
            <w:vAlign w:val="center"/>
          </w:tcPr>
          <w:p>
            <w:pPr>
              <w:jc w:val="center"/>
              <w:rPr>
                <w:rFonts w:ascii="仿宋" w:hAnsi="仿宋" w:eastAsia="仿宋"/>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864" w:type="dxa"/>
            <w:vAlign w:val="center"/>
          </w:tcPr>
          <w:p>
            <w:pPr>
              <w:jc w:val="center"/>
              <w:rPr>
                <w:rFonts w:ascii="方正仿宋_GBK" w:hAnsi="仿宋" w:eastAsia="方正仿宋_GBK"/>
                <w:color w:val="auto"/>
                <w:sz w:val="18"/>
                <w:szCs w:val="18"/>
                <w:highlight w:val="none"/>
              </w:rPr>
            </w:pPr>
            <w:r>
              <w:rPr>
                <w:rFonts w:hint="eastAsia" w:ascii="方正仿宋_GBK" w:hAnsi="仿宋" w:eastAsia="方正仿宋_GBK"/>
                <w:color w:val="auto"/>
                <w:sz w:val="18"/>
                <w:szCs w:val="18"/>
                <w:highlight w:val="none"/>
              </w:rPr>
              <w:t>10</w:t>
            </w:r>
          </w:p>
        </w:tc>
        <w:tc>
          <w:tcPr>
            <w:tcW w:w="1575" w:type="dxa"/>
          </w:tcPr>
          <w:p>
            <w:pPr>
              <w:widowControl/>
              <w:autoSpaceDE w:val="0"/>
              <w:autoSpaceDN w:val="0"/>
              <w:adjustRightInd w:val="0"/>
              <w:jc w:val="center"/>
              <w:rPr>
                <w:rFonts w:ascii="宋体" w:hAnsi="宋体" w:eastAsia="宋体" w:cs="宋体"/>
                <w:color w:val="auto"/>
                <w:sz w:val="18"/>
                <w:szCs w:val="18"/>
                <w:highlight w:val="none"/>
              </w:rPr>
            </w:pPr>
            <w:r>
              <w:rPr>
                <w:rFonts w:hint="eastAsia" w:ascii="宋体" w:hAnsi="宋体" w:cs="宋体"/>
                <w:color w:val="auto"/>
                <w:sz w:val="18"/>
                <w:szCs w:val="18"/>
                <w:highlight w:val="none"/>
              </w:rPr>
              <w:t>污水井清掏</w:t>
            </w:r>
          </w:p>
        </w:tc>
        <w:tc>
          <w:tcPr>
            <w:tcW w:w="996" w:type="dxa"/>
          </w:tcPr>
          <w:p>
            <w:pPr>
              <w:widowControl/>
              <w:autoSpaceDE w:val="0"/>
              <w:autoSpaceDN w:val="0"/>
              <w:adjustRightInd w:val="0"/>
              <w:jc w:val="center"/>
              <w:rPr>
                <w:rFonts w:ascii="宋体" w:hAnsi="宋体" w:cs="宋体"/>
                <w:color w:val="auto"/>
                <w:sz w:val="18"/>
                <w:szCs w:val="18"/>
                <w:highlight w:val="none"/>
              </w:rPr>
            </w:pPr>
            <w:r>
              <w:rPr>
                <w:rFonts w:hint="eastAsia" w:ascii="宋体" w:hAnsi="宋体" w:cs="宋体"/>
                <w:color w:val="auto"/>
                <w:sz w:val="18"/>
                <w:szCs w:val="18"/>
                <w:highlight w:val="none"/>
              </w:rPr>
              <w:t>m³</w:t>
            </w:r>
          </w:p>
        </w:tc>
        <w:tc>
          <w:tcPr>
            <w:tcW w:w="1217" w:type="dxa"/>
          </w:tcPr>
          <w:p>
            <w:pPr>
              <w:widowControl/>
              <w:autoSpaceDE w:val="0"/>
              <w:autoSpaceDN w:val="0"/>
              <w:adjustRightInd w:val="0"/>
              <w:jc w:val="center"/>
              <w:rPr>
                <w:rFonts w:ascii="宋体" w:hAnsi="宋体" w:eastAsia="宋体" w:cs="宋体"/>
                <w:color w:val="auto"/>
                <w:sz w:val="18"/>
                <w:szCs w:val="18"/>
                <w:highlight w:val="none"/>
              </w:rPr>
            </w:pPr>
            <w:r>
              <w:rPr>
                <w:rFonts w:hint="eastAsia" w:ascii="宋体" w:hAnsi="宋体" w:cs="宋体"/>
                <w:color w:val="auto"/>
                <w:sz w:val="18"/>
                <w:szCs w:val="18"/>
                <w:highlight w:val="none"/>
              </w:rPr>
              <w:t>21.66</w:t>
            </w:r>
          </w:p>
        </w:tc>
        <w:tc>
          <w:tcPr>
            <w:tcW w:w="1175" w:type="dxa"/>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20"/>
                <w:szCs w:val="20"/>
                <w:highlight w:val="none"/>
              </w:rPr>
              <w:t>4</w:t>
            </w:r>
          </w:p>
        </w:tc>
        <w:tc>
          <w:tcPr>
            <w:tcW w:w="1525" w:type="dxa"/>
            <w:vAlign w:val="center"/>
          </w:tcPr>
          <w:p>
            <w:pPr>
              <w:jc w:val="center"/>
              <w:rPr>
                <w:rFonts w:ascii="仿宋" w:hAnsi="仿宋" w:eastAsia="仿宋"/>
                <w:color w:val="auto"/>
                <w:sz w:val="22"/>
                <w:highlight w:val="none"/>
              </w:rPr>
            </w:pPr>
          </w:p>
        </w:tc>
        <w:tc>
          <w:tcPr>
            <w:tcW w:w="1200" w:type="dxa"/>
            <w:vAlign w:val="center"/>
          </w:tcPr>
          <w:p>
            <w:pPr>
              <w:jc w:val="center"/>
              <w:rPr>
                <w:rFonts w:ascii="仿宋" w:hAnsi="仿宋" w:eastAsia="仿宋"/>
                <w:color w:val="auto"/>
                <w:sz w:val="22"/>
                <w:highlight w:val="none"/>
              </w:rPr>
            </w:pPr>
          </w:p>
        </w:tc>
        <w:tc>
          <w:tcPr>
            <w:tcW w:w="1200" w:type="dxa"/>
            <w:vAlign w:val="center"/>
          </w:tcPr>
          <w:p>
            <w:pPr>
              <w:jc w:val="center"/>
              <w:rPr>
                <w:rFonts w:ascii="仿宋" w:hAnsi="仿宋" w:eastAsia="仿宋"/>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864" w:type="dxa"/>
            <w:vAlign w:val="center"/>
          </w:tcPr>
          <w:p>
            <w:pPr>
              <w:jc w:val="center"/>
              <w:rPr>
                <w:rFonts w:ascii="方正仿宋_GBK" w:hAnsi="仿宋" w:eastAsia="方正仿宋_GBK"/>
                <w:color w:val="auto"/>
                <w:sz w:val="18"/>
                <w:szCs w:val="18"/>
                <w:highlight w:val="none"/>
              </w:rPr>
            </w:pPr>
            <w:r>
              <w:rPr>
                <w:rFonts w:hint="eastAsia" w:ascii="方正仿宋_GBK" w:hAnsi="仿宋" w:eastAsia="方正仿宋_GBK"/>
                <w:color w:val="auto"/>
                <w:sz w:val="18"/>
                <w:szCs w:val="18"/>
                <w:highlight w:val="none"/>
              </w:rPr>
              <w:t>11</w:t>
            </w:r>
          </w:p>
        </w:tc>
        <w:tc>
          <w:tcPr>
            <w:tcW w:w="1575" w:type="dxa"/>
          </w:tcPr>
          <w:p>
            <w:pPr>
              <w:widowControl/>
              <w:autoSpaceDE w:val="0"/>
              <w:autoSpaceDN w:val="0"/>
              <w:adjustRightInd w:val="0"/>
              <w:jc w:val="center"/>
              <w:rPr>
                <w:rFonts w:ascii="宋体" w:hAnsi="宋体" w:eastAsia="宋体" w:cs="宋体"/>
                <w:color w:val="auto"/>
                <w:sz w:val="18"/>
                <w:szCs w:val="18"/>
                <w:highlight w:val="none"/>
              </w:rPr>
            </w:pPr>
            <w:r>
              <w:rPr>
                <w:rFonts w:hint="eastAsia" w:ascii="宋体" w:hAnsi="宋体" w:cs="宋体"/>
                <w:color w:val="auto"/>
                <w:sz w:val="18"/>
                <w:szCs w:val="18"/>
                <w:highlight w:val="none"/>
              </w:rPr>
              <w:t>隔油池清掏</w:t>
            </w:r>
          </w:p>
        </w:tc>
        <w:tc>
          <w:tcPr>
            <w:tcW w:w="996" w:type="dxa"/>
          </w:tcPr>
          <w:p>
            <w:pPr>
              <w:widowControl/>
              <w:autoSpaceDE w:val="0"/>
              <w:autoSpaceDN w:val="0"/>
              <w:adjustRightInd w:val="0"/>
              <w:jc w:val="center"/>
              <w:rPr>
                <w:rFonts w:ascii="宋体" w:hAnsi="宋体" w:cs="宋体"/>
                <w:color w:val="auto"/>
                <w:sz w:val="18"/>
                <w:szCs w:val="18"/>
                <w:highlight w:val="none"/>
              </w:rPr>
            </w:pPr>
            <w:r>
              <w:rPr>
                <w:rFonts w:hint="eastAsia" w:ascii="宋体" w:hAnsi="宋体" w:cs="宋体"/>
                <w:color w:val="auto"/>
                <w:sz w:val="18"/>
                <w:szCs w:val="18"/>
                <w:highlight w:val="none"/>
              </w:rPr>
              <w:t>m³</w:t>
            </w:r>
          </w:p>
        </w:tc>
        <w:tc>
          <w:tcPr>
            <w:tcW w:w="1217" w:type="dxa"/>
          </w:tcPr>
          <w:p>
            <w:pPr>
              <w:widowControl/>
              <w:autoSpaceDE w:val="0"/>
              <w:autoSpaceDN w:val="0"/>
              <w:adjustRightInd w:val="0"/>
              <w:jc w:val="center"/>
              <w:rPr>
                <w:rFonts w:ascii="宋体" w:hAnsi="宋体" w:eastAsia="宋体" w:cs="宋体"/>
                <w:color w:val="auto"/>
                <w:sz w:val="18"/>
                <w:szCs w:val="18"/>
                <w:highlight w:val="none"/>
              </w:rPr>
            </w:pPr>
            <w:r>
              <w:rPr>
                <w:rFonts w:hint="eastAsia" w:ascii="宋体" w:hAnsi="宋体" w:cs="宋体"/>
                <w:color w:val="auto"/>
                <w:sz w:val="18"/>
                <w:szCs w:val="18"/>
                <w:highlight w:val="none"/>
              </w:rPr>
              <w:t>18</w:t>
            </w:r>
          </w:p>
        </w:tc>
        <w:tc>
          <w:tcPr>
            <w:tcW w:w="1175" w:type="dxa"/>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20"/>
                <w:szCs w:val="20"/>
                <w:highlight w:val="none"/>
              </w:rPr>
              <w:t>12</w:t>
            </w:r>
          </w:p>
        </w:tc>
        <w:tc>
          <w:tcPr>
            <w:tcW w:w="1525" w:type="dxa"/>
            <w:vAlign w:val="center"/>
          </w:tcPr>
          <w:p>
            <w:pPr>
              <w:jc w:val="center"/>
              <w:rPr>
                <w:rFonts w:ascii="仿宋" w:hAnsi="仿宋" w:eastAsia="仿宋"/>
                <w:color w:val="auto"/>
                <w:sz w:val="22"/>
                <w:highlight w:val="none"/>
              </w:rPr>
            </w:pPr>
          </w:p>
        </w:tc>
        <w:tc>
          <w:tcPr>
            <w:tcW w:w="1200" w:type="dxa"/>
            <w:vAlign w:val="center"/>
          </w:tcPr>
          <w:p>
            <w:pPr>
              <w:jc w:val="center"/>
              <w:rPr>
                <w:rFonts w:ascii="仿宋" w:hAnsi="仿宋" w:eastAsia="仿宋"/>
                <w:color w:val="auto"/>
                <w:sz w:val="22"/>
                <w:highlight w:val="none"/>
              </w:rPr>
            </w:pPr>
          </w:p>
        </w:tc>
        <w:tc>
          <w:tcPr>
            <w:tcW w:w="1200" w:type="dxa"/>
            <w:vAlign w:val="center"/>
          </w:tcPr>
          <w:p>
            <w:pPr>
              <w:jc w:val="center"/>
              <w:rPr>
                <w:rFonts w:ascii="仿宋" w:hAnsi="仿宋" w:eastAsia="仿宋"/>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864" w:type="dxa"/>
            <w:vAlign w:val="center"/>
          </w:tcPr>
          <w:p>
            <w:pPr>
              <w:jc w:val="center"/>
              <w:rPr>
                <w:rFonts w:ascii="方正仿宋_GBK" w:hAnsi="仿宋" w:eastAsia="方正仿宋_GBK"/>
                <w:color w:val="auto"/>
                <w:sz w:val="18"/>
                <w:szCs w:val="18"/>
                <w:highlight w:val="none"/>
              </w:rPr>
            </w:pPr>
            <w:r>
              <w:rPr>
                <w:rFonts w:hint="eastAsia" w:ascii="方正仿宋_GBK" w:hAnsi="仿宋" w:eastAsia="方正仿宋_GBK"/>
                <w:color w:val="auto"/>
                <w:sz w:val="18"/>
                <w:szCs w:val="18"/>
                <w:highlight w:val="none"/>
              </w:rPr>
              <w:t>12</w:t>
            </w:r>
          </w:p>
        </w:tc>
        <w:tc>
          <w:tcPr>
            <w:tcW w:w="1575" w:type="dxa"/>
          </w:tcPr>
          <w:p>
            <w:pPr>
              <w:widowControl/>
              <w:autoSpaceDE w:val="0"/>
              <w:autoSpaceDN w:val="0"/>
              <w:adjustRightInd w:val="0"/>
              <w:jc w:val="center"/>
              <w:rPr>
                <w:rFonts w:ascii="宋体" w:hAnsi="宋体" w:cs="宋体"/>
                <w:color w:val="auto"/>
                <w:sz w:val="18"/>
                <w:szCs w:val="18"/>
                <w:highlight w:val="none"/>
              </w:rPr>
            </w:pPr>
            <w:r>
              <w:rPr>
                <w:rFonts w:hint="eastAsia" w:ascii="宋体" w:hAnsi="宋体" w:cs="宋体"/>
                <w:color w:val="auto"/>
                <w:sz w:val="18"/>
                <w:szCs w:val="18"/>
                <w:highlight w:val="none"/>
              </w:rPr>
              <w:t>车站、区间废水池淸掏</w:t>
            </w:r>
          </w:p>
        </w:tc>
        <w:tc>
          <w:tcPr>
            <w:tcW w:w="996" w:type="dxa"/>
          </w:tcPr>
          <w:p>
            <w:pPr>
              <w:widowControl/>
              <w:autoSpaceDE w:val="0"/>
              <w:autoSpaceDN w:val="0"/>
              <w:adjustRightInd w:val="0"/>
              <w:jc w:val="center"/>
              <w:rPr>
                <w:rFonts w:ascii="宋体" w:hAnsi="宋体" w:cs="宋体"/>
                <w:color w:val="auto"/>
                <w:sz w:val="18"/>
                <w:szCs w:val="18"/>
                <w:highlight w:val="none"/>
              </w:rPr>
            </w:pPr>
            <w:r>
              <w:rPr>
                <w:rFonts w:hint="eastAsia" w:ascii="宋体" w:hAnsi="宋体" w:cs="宋体"/>
                <w:color w:val="auto"/>
                <w:sz w:val="18"/>
                <w:szCs w:val="18"/>
                <w:highlight w:val="none"/>
              </w:rPr>
              <w:t>m³</w:t>
            </w:r>
          </w:p>
        </w:tc>
        <w:tc>
          <w:tcPr>
            <w:tcW w:w="1217" w:type="dxa"/>
          </w:tcPr>
          <w:p>
            <w:pPr>
              <w:widowControl/>
              <w:autoSpaceDE w:val="0"/>
              <w:autoSpaceDN w:val="0"/>
              <w:adjustRightInd w:val="0"/>
              <w:jc w:val="center"/>
              <w:rPr>
                <w:rFonts w:ascii="宋体" w:hAnsi="宋体" w:eastAsia="宋体" w:cs="宋体"/>
                <w:color w:val="auto"/>
                <w:sz w:val="18"/>
                <w:szCs w:val="18"/>
                <w:highlight w:val="none"/>
              </w:rPr>
            </w:pPr>
            <w:r>
              <w:rPr>
                <w:rFonts w:hint="eastAsia" w:ascii="宋体" w:hAnsi="宋体" w:cs="宋体"/>
                <w:color w:val="auto"/>
                <w:sz w:val="18"/>
                <w:szCs w:val="18"/>
                <w:highlight w:val="none"/>
              </w:rPr>
              <w:t>55.32</w:t>
            </w:r>
          </w:p>
        </w:tc>
        <w:tc>
          <w:tcPr>
            <w:tcW w:w="1175" w:type="dxa"/>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20"/>
                <w:szCs w:val="20"/>
                <w:highlight w:val="none"/>
              </w:rPr>
              <w:t>1</w:t>
            </w:r>
          </w:p>
        </w:tc>
        <w:tc>
          <w:tcPr>
            <w:tcW w:w="1525" w:type="dxa"/>
            <w:vAlign w:val="center"/>
          </w:tcPr>
          <w:p>
            <w:pPr>
              <w:jc w:val="center"/>
              <w:rPr>
                <w:rFonts w:ascii="仿宋" w:hAnsi="仿宋" w:eastAsia="仿宋"/>
                <w:color w:val="auto"/>
                <w:sz w:val="22"/>
                <w:highlight w:val="none"/>
              </w:rPr>
            </w:pPr>
          </w:p>
        </w:tc>
        <w:tc>
          <w:tcPr>
            <w:tcW w:w="1200" w:type="dxa"/>
            <w:vAlign w:val="center"/>
          </w:tcPr>
          <w:p>
            <w:pPr>
              <w:jc w:val="center"/>
              <w:rPr>
                <w:rFonts w:ascii="仿宋" w:hAnsi="仿宋" w:eastAsia="仿宋"/>
                <w:color w:val="auto"/>
                <w:sz w:val="22"/>
                <w:highlight w:val="none"/>
              </w:rPr>
            </w:pPr>
          </w:p>
        </w:tc>
        <w:tc>
          <w:tcPr>
            <w:tcW w:w="1200" w:type="dxa"/>
            <w:vAlign w:val="center"/>
          </w:tcPr>
          <w:p>
            <w:pPr>
              <w:jc w:val="center"/>
              <w:rPr>
                <w:rFonts w:ascii="仿宋" w:hAnsi="仿宋" w:eastAsia="仿宋"/>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864" w:type="dxa"/>
            <w:vAlign w:val="center"/>
          </w:tcPr>
          <w:p>
            <w:pPr>
              <w:jc w:val="center"/>
              <w:rPr>
                <w:rFonts w:ascii="方正仿宋_GBK" w:hAnsi="仿宋" w:eastAsia="方正仿宋_GBK"/>
                <w:color w:val="auto"/>
                <w:sz w:val="18"/>
                <w:szCs w:val="18"/>
                <w:highlight w:val="none"/>
              </w:rPr>
            </w:pPr>
            <w:r>
              <w:rPr>
                <w:rFonts w:hint="eastAsia" w:ascii="方正仿宋_GBK" w:hAnsi="仿宋" w:eastAsia="方正仿宋_GBK"/>
                <w:color w:val="auto"/>
                <w:sz w:val="18"/>
                <w:szCs w:val="18"/>
                <w:highlight w:val="none"/>
              </w:rPr>
              <w:t>13</w:t>
            </w:r>
          </w:p>
        </w:tc>
        <w:tc>
          <w:tcPr>
            <w:tcW w:w="1575" w:type="dxa"/>
          </w:tcPr>
          <w:p>
            <w:pPr>
              <w:widowControl/>
              <w:autoSpaceDE w:val="0"/>
              <w:autoSpaceDN w:val="0"/>
              <w:adjustRightInd w:val="0"/>
              <w:jc w:val="center"/>
              <w:rPr>
                <w:rFonts w:ascii="宋体" w:hAnsi="宋体" w:cs="宋体"/>
                <w:color w:val="auto"/>
                <w:sz w:val="18"/>
                <w:szCs w:val="18"/>
                <w:highlight w:val="none"/>
              </w:rPr>
            </w:pPr>
            <w:r>
              <w:rPr>
                <w:rFonts w:hint="eastAsia" w:ascii="宋体" w:hAnsi="宋体" w:cs="宋体"/>
                <w:color w:val="auto"/>
                <w:sz w:val="18"/>
                <w:szCs w:val="18"/>
                <w:highlight w:val="none"/>
              </w:rPr>
              <w:t>车站集水井（池）淸掏</w:t>
            </w:r>
          </w:p>
        </w:tc>
        <w:tc>
          <w:tcPr>
            <w:tcW w:w="996" w:type="dxa"/>
          </w:tcPr>
          <w:p>
            <w:pPr>
              <w:widowControl/>
              <w:autoSpaceDE w:val="0"/>
              <w:autoSpaceDN w:val="0"/>
              <w:adjustRightInd w:val="0"/>
              <w:jc w:val="center"/>
              <w:rPr>
                <w:rFonts w:ascii="宋体" w:hAnsi="宋体" w:cs="宋体"/>
                <w:color w:val="auto"/>
                <w:sz w:val="18"/>
                <w:szCs w:val="18"/>
                <w:highlight w:val="none"/>
              </w:rPr>
            </w:pPr>
            <w:r>
              <w:rPr>
                <w:rFonts w:hint="eastAsia" w:ascii="宋体" w:hAnsi="宋体" w:cs="宋体"/>
                <w:color w:val="auto"/>
                <w:sz w:val="18"/>
                <w:szCs w:val="18"/>
                <w:highlight w:val="none"/>
              </w:rPr>
              <w:t>m³</w:t>
            </w:r>
          </w:p>
        </w:tc>
        <w:tc>
          <w:tcPr>
            <w:tcW w:w="1217" w:type="dxa"/>
          </w:tcPr>
          <w:p>
            <w:pPr>
              <w:widowControl/>
              <w:autoSpaceDE w:val="0"/>
              <w:autoSpaceDN w:val="0"/>
              <w:adjustRightInd w:val="0"/>
              <w:jc w:val="center"/>
              <w:rPr>
                <w:rFonts w:ascii="宋体" w:hAnsi="宋体" w:eastAsia="宋体" w:cs="宋体"/>
                <w:color w:val="auto"/>
                <w:sz w:val="18"/>
                <w:szCs w:val="18"/>
                <w:highlight w:val="none"/>
              </w:rPr>
            </w:pPr>
            <w:r>
              <w:rPr>
                <w:rFonts w:hint="eastAsia" w:ascii="宋体" w:hAnsi="宋体" w:cs="宋体"/>
                <w:color w:val="auto"/>
                <w:sz w:val="18"/>
                <w:szCs w:val="18"/>
                <w:highlight w:val="none"/>
              </w:rPr>
              <w:t>253.2</w:t>
            </w:r>
          </w:p>
        </w:tc>
        <w:tc>
          <w:tcPr>
            <w:tcW w:w="1175" w:type="dxa"/>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20"/>
                <w:szCs w:val="20"/>
                <w:highlight w:val="none"/>
              </w:rPr>
              <w:t>1</w:t>
            </w:r>
          </w:p>
        </w:tc>
        <w:tc>
          <w:tcPr>
            <w:tcW w:w="1525" w:type="dxa"/>
            <w:vAlign w:val="center"/>
          </w:tcPr>
          <w:p>
            <w:pPr>
              <w:jc w:val="center"/>
              <w:rPr>
                <w:rFonts w:ascii="仿宋" w:hAnsi="仿宋" w:eastAsia="仿宋"/>
                <w:color w:val="auto"/>
                <w:sz w:val="22"/>
                <w:highlight w:val="none"/>
              </w:rPr>
            </w:pPr>
          </w:p>
        </w:tc>
        <w:tc>
          <w:tcPr>
            <w:tcW w:w="1200" w:type="dxa"/>
            <w:vAlign w:val="center"/>
          </w:tcPr>
          <w:p>
            <w:pPr>
              <w:jc w:val="center"/>
              <w:rPr>
                <w:rFonts w:ascii="仿宋" w:hAnsi="仿宋" w:eastAsia="仿宋"/>
                <w:color w:val="auto"/>
                <w:sz w:val="22"/>
                <w:highlight w:val="none"/>
              </w:rPr>
            </w:pPr>
          </w:p>
        </w:tc>
        <w:tc>
          <w:tcPr>
            <w:tcW w:w="1200" w:type="dxa"/>
            <w:vAlign w:val="center"/>
          </w:tcPr>
          <w:p>
            <w:pPr>
              <w:jc w:val="center"/>
              <w:rPr>
                <w:rFonts w:ascii="仿宋" w:hAnsi="仿宋" w:eastAsia="仿宋"/>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5827" w:type="dxa"/>
            <w:gridSpan w:val="5"/>
            <w:vAlign w:val="center"/>
          </w:tcPr>
          <w:p>
            <w:pPr>
              <w:jc w:val="center"/>
              <w:rPr>
                <w:rFonts w:ascii="仿宋" w:hAnsi="仿宋" w:eastAsia="仿宋"/>
                <w:color w:val="auto"/>
                <w:sz w:val="22"/>
                <w:highlight w:val="none"/>
              </w:rPr>
            </w:pPr>
            <w:r>
              <w:rPr>
                <w:rFonts w:hint="eastAsia" w:ascii="仿宋" w:hAnsi="仿宋" w:eastAsia="仿宋"/>
                <w:color w:val="auto"/>
                <w:sz w:val="22"/>
                <w:highlight w:val="none"/>
              </w:rPr>
              <w:t>合计</w:t>
            </w:r>
          </w:p>
        </w:tc>
        <w:tc>
          <w:tcPr>
            <w:tcW w:w="1525" w:type="dxa"/>
            <w:vAlign w:val="center"/>
          </w:tcPr>
          <w:p>
            <w:pPr>
              <w:jc w:val="center"/>
              <w:rPr>
                <w:rFonts w:ascii="仿宋" w:hAnsi="仿宋" w:eastAsia="仿宋"/>
                <w:color w:val="auto"/>
                <w:sz w:val="22"/>
                <w:highlight w:val="none"/>
              </w:rPr>
            </w:pPr>
          </w:p>
        </w:tc>
        <w:tc>
          <w:tcPr>
            <w:tcW w:w="1200" w:type="dxa"/>
            <w:vAlign w:val="center"/>
          </w:tcPr>
          <w:p>
            <w:pPr>
              <w:jc w:val="center"/>
              <w:rPr>
                <w:rFonts w:ascii="仿宋" w:hAnsi="仿宋" w:eastAsia="仿宋"/>
                <w:color w:val="auto"/>
                <w:sz w:val="22"/>
                <w:highlight w:val="none"/>
              </w:rPr>
            </w:pPr>
          </w:p>
        </w:tc>
        <w:tc>
          <w:tcPr>
            <w:tcW w:w="1200" w:type="dxa"/>
            <w:vAlign w:val="center"/>
          </w:tcPr>
          <w:p>
            <w:pPr>
              <w:jc w:val="center"/>
              <w:rPr>
                <w:rFonts w:ascii="仿宋" w:hAnsi="仿宋" w:eastAsia="仿宋"/>
                <w:color w:val="auto"/>
                <w:sz w:val="22"/>
                <w:highlight w:val="none"/>
              </w:rPr>
            </w:pPr>
          </w:p>
        </w:tc>
      </w:tr>
    </w:tbl>
    <w:p>
      <w:pPr>
        <w:widowControl/>
        <w:snapToGrid w:val="0"/>
        <w:spacing w:before="100" w:beforeAutospacing="1" w:after="100" w:afterAutospacing="1" w:line="360" w:lineRule="auto"/>
        <w:ind w:firstLine="4200" w:firstLineChars="1500"/>
        <w:jc w:val="left"/>
        <w:textAlignment w:val="bottom"/>
        <w:rPr>
          <w:rFonts w:ascii="方正仿宋_GBK" w:hAnsi="方正仿宋_GBK" w:eastAsia="方正仿宋_GBK" w:cs="方正仿宋_GBK"/>
          <w:color w:val="auto"/>
          <w:kern w:val="0"/>
          <w:sz w:val="28"/>
          <w:szCs w:val="28"/>
          <w:highlight w:val="none"/>
        </w:rPr>
      </w:pPr>
    </w:p>
    <w:p>
      <w:pPr>
        <w:widowControl/>
        <w:snapToGrid w:val="0"/>
        <w:spacing w:before="100" w:beforeAutospacing="1" w:after="100" w:afterAutospacing="1" w:line="360" w:lineRule="auto"/>
        <w:ind w:firstLine="4200" w:firstLineChars="1500"/>
        <w:jc w:val="right"/>
        <w:textAlignment w:val="bottom"/>
        <w:rPr>
          <w:rFonts w:ascii="方正仿宋_GBK" w:hAnsi="方正仿宋_GBK" w:eastAsia="方正仿宋_GBK" w:cs="方正仿宋_GBK"/>
          <w:color w:val="auto"/>
          <w:kern w:val="0"/>
          <w:sz w:val="28"/>
          <w:szCs w:val="28"/>
          <w:highlight w:val="none"/>
        </w:rPr>
      </w:pPr>
    </w:p>
    <w:p>
      <w:pPr>
        <w:widowControl/>
        <w:snapToGrid w:val="0"/>
        <w:spacing w:before="100" w:beforeAutospacing="1" w:after="100" w:afterAutospacing="1" w:line="360" w:lineRule="auto"/>
        <w:ind w:firstLine="4200" w:firstLineChars="1500"/>
        <w:jc w:val="right"/>
        <w:textAlignment w:val="bottom"/>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 xml:space="preserve">报价单位名称（盖章）：     </w:t>
      </w:r>
    </w:p>
    <w:p>
      <w:pPr>
        <w:widowControl/>
        <w:snapToGrid w:val="0"/>
        <w:spacing w:before="100" w:beforeAutospacing="1" w:after="100" w:afterAutospacing="1" w:line="360" w:lineRule="auto"/>
        <w:ind w:firstLine="5040" w:firstLineChars="1800"/>
        <w:jc w:val="right"/>
        <w:textAlignment w:val="bottom"/>
        <w:rPr>
          <w:rFonts w:ascii="方正仿宋_GBK" w:hAnsi="方正仿宋_GBK" w:eastAsia="方正仿宋_GBK" w:cs="方正仿宋_GBK"/>
          <w:bCs/>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 </w:t>
      </w:r>
      <w:r>
        <w:rPr>
          <w:rFonts w:hint="eastAsia" w:ascii="方正仿宋_GBK" w:hAnsi="方正仿宋_GBK" w:eastAsia="方正仿宋_GBK" w:cs="方正仿宋_GBK"/>
          <w:bCs/>
          <w:color w:val="auto"/>
          <w:kern w:val="0"/>
          <w:sz w:val="28"/>
          <w:szCs w:val="28"/>
          <w:highlight w:val="none"/>
        </w:rPr>
        <w:t>年  月  日</w:t>
      </w:r>
    </w:p>
    <w:p>
      <w:pPr>
        <w:rPr>
          <w:rFonts w:ascii="方正仿宋_GBK" w:hAnsi="方正仿宋_GBK" w:eastAsia="方正仿宋_GBK" w:cs="方正仿宋_GBK"/>
          <w:color w:val="auto"/>
          <w:sz w:val="28"/>
          <w:szCs w:val="28"/>
          <w:highlight w:val="none"/>
        </w:rPr>
      </w:pPr>
    </w:p>
    <w:p>
      <w:pPr>
        <w:rPr>
          <w:rFonts w:ascii="方正仿宋_GBK" w:hAnsi="方正仿宋_GBK" w:eastAsia="方正仿宋_GBK" w:cs="方正仿宋_GBK"/>
          <w:color w:val="auto"/>
          <w:sz w:val="28"/>
          <w:szCs w:val="28"/>
          <w:highlight w:val="none"/>
        </w:rPr>
      </w:pPr>
    </w:p>
    <w:p>
      <w:pPr>
        <w:rPr>
          <w:rFonts w:hint="eastAsia" w:ascii="方正仿宋_GBK" w:hAnsi="方正仿宋_GBK" w:eastAsia="方正仿宋_GBK" w:cs="方正仿宋_GBK"/>
          <w:color w:val="auto"/>
          <w:sz w:val="28"/>
          <w:szCs w:val="28"/>
          <w:highlight w:val="none"/>
        </w:rPr>
      </w:pPr>
    </w:p>
    <w:p>
      <w:pPr>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格式三   </w:t>
      </w:r>
    </w:p>
    <w:p>
      <w:pPr>
        <w:jc w:val="center"/>
        <w:rPr>
          <w:rFonts w:ascii="方正小标宋_GBK" w:hAnsi="方正小标宋_GBK" w:eastAsia="方正小标宋_GBK" w:cs="方正小标宋_GBK"/>
          <w:b/>
          <w:bCs/>
          <w:color w:val="auto"/>
          <w:sz w:val="36"/>
          <w:szCs w:val="36"/>
          <w:highlight w:val="none"/>
        </w:rPr>
      </w:pPr>
      <w:r>
        <w:rPr>
          <w:rFonts w:hint="eastAsia" w:ascii="方正小标宋_GBK" w:hAnsi="方正小标宋_GBK" w:eastAsia="方正小标宋_GBK" w:cs="方正小标宋_GBK"/>
          <w:b/>
          <w:bCs/>
          <w:color w:val="auto"/>
          <w:sz w:val="36"/>
          <w:szCs w:val="36"/>
          <w:highlight w:val="none"/>
        </w:rPr>
        <w:t>法定代表人资格证明书</w:t>
      </w:r>
    </w:p>
    <w:p>
      <w:pPr>
        <w:spacing w:line="400" w:lineRule="exact"/>
        <w:ind w:firstLine="480" w:firstLineChars="200"/>
        <w:rPr>
          <w:rFonts w:asciiTheme="minorEastAsia" w:hAnsiTheme="minorEastAsia" w:cstheme="minorEastAsia"/>
          <w:color w:val="auto"/>
          <w:sz w:val="24"/>
          <w:highlight w:val="none"/>
        </w:rPr>
      </w:pPr>
    </w:p>
    <w:p>
      <w:pPr>
        <w:widowControl/>
        <w:snapToGrid w:val="0"/>
        <w:spacing w:before="100" w:beforeAutospacing="1" w:after="100" w:afterAutospacing="1" w:line="360" w:lineRule="auto"/>
        <w:ind w:firstLine="560" w:firstLineChars="200"/>
        <w:jc w:val="left"/>
        <w:textAlignment w:val="bottom"/>
        <w:rPr>
          <w:rFonts w:ascii="方正仿宋_GBK" w:hAnsi="方正仿宋_GBK" w:eastAsia="方正仿宋_GBK" w:cs="方正仿宋_GBK"/>
          <w:bCs/>
          <w:color w:val="auto"/>
          <w:kern w:val="0"/>
          <w:sz w:val="28"/>
          <w:szCs w:val="28"/>
          <w:highlight w:val="none"/>
        </w:rPr>
      </w:pPr>
      <w:r>
        <w:rPr>
          <w:rFonts w:hint="eastAsia" w:ascii="方正仿宋_GBK" w:hAnsi="方正仿宋_GBK" w:eastAsia="方正仿宋_GBK" w:cs="方正仿宋_GBK"/>
          <w:bCs/>
          <w:color w:val="auto"/>
          <w:kern w:val="0"/>
          <w:sz w:val="28"/>
          <w:szCs w:val="28"/>
          <w:highlight w:val="none"/>
          <w:u w:val="single"/>
        </w:rPr>
        <w:t xml:space="preserve">         </w:t>
      </w:r>
      <w:r>
        <w:rPr>
          <w:rFonts w:hint="eastAsia" w:ascii="方正仿宋_GBK" w:hAnsi="方正仿宋_GBK" w:eastAsia="方正仿宋_GBK" w:cs="方正仿宋_GBK"/>
          <w:bCs/>
          <w:color w:val="auto"/>
          <w:kern w:val="0"/>
          <w:sz w:val="28"/>
          <w:szCs w:val="28"/>
          <w:highlight w:val="none"/>
        </w:rPr>
        <w:t>（法定代表人姓名）系</w:t>
      </w:r>
      <w:r>
        <w:rPr>
          <w:rFonts w:hint="eastAsia" w:ascii="方正仿宋_GBK" w:hAnsi="方正仿宋_GBK" w:eastAsia="方正仿宋_GBK" w:cs="方正仿宋_GBK"/>
          <w:bCs/>
          <w:color w:val="auto"/>
          <w:kern w:val="0"/>
          <w:sz w:val="28"/>
          <w:szCs w:val="28"/>
          <w:highlight w:val="none"/>
          <w:u w:val="single"/>
        </w:rPr>
        <w:t xml:space="preserve">                          </w:t>
      </w:r>
      <w:r>
        <w:rPr>
          <w:rFonts w:hint="eastAsia" w:ascii="方正仿宋_GBK" w:hAnsi="方正仿宋_GBK" w:eastAsia="方正仿宋_GBK" w:cs="方正仿宋_GBK"/>
          <w:bCs/>
          <w:color w:val="auto"/>
          <w:kern w:val="0"/>
          <w:sz w:val="28"/>
          <w:szCs w:val="28"/>
          <w:highlight w:val="none"/>
        </w:rPr>
        <w:t>（报价单位）的法定代表人。</w:t>
      </w:r>
    </w:p>
    <w:p>
      <w:pPr>
        <w:widowControl/>
        <w:snapToGrid w:val="0"/>
        <w:spacing w:before="100" w:beforeAutospacing="1" w:after="100" w:afterAutospacing="1" w:line="360" w:lineRule="auto"/>
        <w:jc w:val="left"/>
        <w:textAlignment w:val="bottom"/>
        <w:rPr>
          <w:rFonts w:ascii="方正仿宋_GBK" w:hAnsi="方正仿宋_GBK" w:eastAsia="方正仿宋_GBK" w:cs="方正仿宋_GBK"/>
          <w:bCs/>
          <w:color w:val="auto"/>
          <w:kern w:val="0"/>
          <w:sz w:val="28"/>
          <w:szCs w:val="28"/>
          <w:highlight w:val="none"/>
        </w:rPr>
      </w:pPr>
      <w:r>
        <w:rPr>
          <w:rFonts w:ascii="方正仿宋_GBK" w:hAnsi="方正仿宋_GBK" w:eastAsia="方正仿宋_GBK" w:cs="方正仿宋_GBK"/>
          <w:bCs/>
          <w:color w:val="auto"/>
          <w:kern w:val="0"/>
          <w:sz w:val="28"/>
          <w:szCs w:val="28"/>
          <w:highlight w:val="none"/>
        </w:rPr>
        <w:pict>
          <v:shape id="1048" o:spid="_x0000_s2053" o:spt="202" type="#_x0000_t202" style="position:absolute;left:0pt;margin-left:223.5pt;margin-top:39.05pt;height:165.25pt;width:209.1pt;z-index:251660288;v-text-anchor:middle;mso-width-relative:page;mso-height-relative:page;" coordsize="21600,21600" o:gfxdata="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ltEKXWAAAACgEAAA8AAAAAAAAAAQAgAAAA&#10;IgAAAGRycy9kb3ducmV2LnhtbFBLAQIUABQAAAAIAIdO4kC2W6zEDQIAAFgEAAAOAAAAAAAAAAEA&#10;IAAAACUBAABkcnMvZTJvRG9jLnhtbFBLBQYAAAAABgAGAFkBAACkBQAAAAA=&#10;">
            <v:path/>
            <v:fill focussize="0,0"/>
            <v:stroke dashstyle="dash"/>
            <v:imagedata o:title=""/>
            <o:lock v:ext="edit"/>
            <v:textbox>
              <w:txbxContent>
                <w:p>
                  <w:pP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w:r>
      <w:r>
        <w:rPr>
          <w:rFonts w:ascii="方正仿宋_GBK" w:hAnsi="方正仿宋_GBK" w:eastAsia="方正仿宋_GBK" w:cs="方正仿宋_GBK"/>
          <w:bCs/>
          <w:color w:val="auto"/>
          <w:kern w:val="0"/>
          <w:sz w:val="28"/>
          <w:szCs w:val="28"/>
          <w:highlight w:val="none"/>
        </w:rPr>
        <w:pict>
          <v:shape id="1049" o:spid="_x0000_s2052" o:spt="202" type="#_x0000_t202" style="position:absolute;left:0pt;margin-left:0.7pt;margin-top:39.7pt;height:164.55pt;width:206.6pt;z-index:251662336;v-text-anchor:middle;mso-width-relative:page;mso-height-relative:page;" coordsize="21600,21600" o:gfxdata="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520vr1AAAAAgBAAAPAAAAAAAAAAEAIAAAACIA&#10;AABkcnMvZG93bnJldi54bWxQSwECFAAUAAAACACHTuJAGQufsw0CAABYBAAADgAAAAAAAAABACAA&#10;AAAjAQAAZHJzL2Uyb0RvYy54bWxQSwUGAAAAAAYABgBZAQAAogUAAAAA&#10;">
            <v:path/>
            <v:fill focussize="0,0"/>
            <v:stroke dashstyle="dash"/>
            <v:imagedata o:title=""/>
            <o:lock v:ext="edit"/>
            <v:textbox>
              <w:txbxContent>
                <w:p>
                  <w:pPr>
                    <w:jc w:val="center"/>
                    <w:rPr>
                      <w:rFonts w:ascii="仿宋_GB2312" w:hAnsi="宋体" w:eastAsia="仿宋_GB2312"/>
                      <w:sz w:val="32"/>
                      <w:szCs w:val="32"/>
                    </w:rPr>
                  </w:pPr>
                </w:p>
                <w:p>
                  <w:pPr>
                    <w:jc w:val="center"/>
                    <w:rPr>
                      <w:rFonts w:ascii="仿宋_GB2312" w:hAnsi="宋体" w:eastAsia="仿宋_GB2312"/>
                      <w:sz w:val="32"/>
                      <w:szCs w:val="32"/>
                    </w:rPr>
                  </w:pPr>
                </w:p>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（正面）</w:t>
                  </w:r>
                </w:p>
                <w:p>
                  <w:pPr>
                    <w:pStyle w:val="4"/>
                    <w:rPr>
                      <w:rFonts w:ascii="仿宋_GB2312" w:hAnsi="宋体" w:eastAsia="仿宋_GB2312"/>
                      <w:sz w:val="32"/>
                      <w:szCs w:val="32"/>
                    </w:rPr>
                  </w:pPr>
                </w:p>
                <w:p>
                  <w:pPr>
                    <w:pStyle w:val="5"/>
                    <w:rPr>
                      <w:rFonts w:ascii="仿宋_GB2312" w:hAnsi="宋体" w:eastAsia="仿宋_GB2312"/>
                      <w:sz w:val="32"/>
                      <w:szCs w:val="32"/>
                    </w:rPr>
                  </w:pPr>
                </w:p>
                <w:p>
                  <w:pPr>
                    <w:rPr>
                      <w:rFonts w:ascii="仿宋_GB2312" w:hAnsi="宋体" w:eastAsia="仿宋_GB2312"/>
                      <w:sz w:val="32"/>
                      <w:szCs w:val="32"/>
                    </w:rPr>
                  </w:pPr>
                </w:p>
                <w:p>
                  <w:pPr>
                    <w:pStyle w:val="4"/>
                  </w:pPr>
                </w:p>
              </w:txbxContent>
            </v:textbox>
          </v:shape>
        </w:pict>
      </w:r>
      <w:r>
        <w:rPr>
          <w:rFonts w:hint="eastAsia" w:ascii="方正仿宋_GBK" w:hAnsi="方正仿宋_GBK" w:eastAsia="方正仿宋_GBK" w:cs="方正仿宋_GBK"/>
          <w:bCs/>
          <w:color w:val="auto"/>
          <w:kern w:val="0"/>
          <w:sz w:val="28"/>
          <w:szCs w:val="28"/>
          <w:highlight w:val="none"/>
        </w:rPr>
        <w:t>特此证明</w:t>
      </w:r>
    </w:p>
    <w:p>
      <w:pPr>
        <w:widowControl/>
        <w:snapToGrid w:val="0"/>
        <w:spacing w:before="100" w:beforeAutospacing="1" w:after="100" w:afterAutospacing="1" w:line="360" w:lineRule="auto"/>
        <w:jc w:val="left"/>
        <w:textAlignment w:val="bottom"/>
        <w:rPr>
          <w:rFonts w:ascii="方正仿宋_GBK" w:hAnsi="方正仿宋_GBK" w:eastAsia="方正仿宋_GBK" w:cs="方正仿宋_GBK"/>
          <w:bCs/>
          <w:color w:val="auto"/>
          <w:kern w:val="0"/>
          <w:sz w:val="28"/>
          <w:szCs w:val="28"/>
          <w:highlight w:val="none"/>
        </w:rPr>
      </w:pPr>
    </w:p>
    <w:p>
      <w:pPr>
        <w:widowControl/>
        <w:snapToGrid w:val="0"/>
        <w:spacing w:before="100" w:beforeAutospacing="1" w:after="100" w:afterAutospacing="1" w:line="360" w:lineRule="auto"/>
        <w:jc w:val="left"/>
        <w:textAlignment w:val="bottom"/>
        <w:rPr>
          <w:rFonts w:ascii="方正仿宋_GBK" w:hAnsi="方正仿宋_GBK" w:eastAsia="方正仿宋_GBK" w:cs="方正仿宋_GBK"/>
          <w:bCs/>
          <w:color w:val="auto"/>
          <w:kern w:val="0"/>
          <w:sz w:val="28"/>
          <w:szCs w:val="28"/>
          <w:highlight w:val="none"/>
        </w:rPr>
      </w:pPr>
    </w:p>
    <w:p>
      <w:pPr>
        <w:widowControl/>
        <w:snapToGrid w:val="0"/>
        <w:spacing w:before="100" w:beforeAutospacing="1" w:after="100" w:afterAutospacing="1" w:line="360" w:lineRule="auto"/>
        <w:jc w:val="left"/>
        <w:textAlignment w:val="bottom"/>
        <w:rPr>
          <w:rFonts w:ascii="方正仿宋_GBK" w:hAnsi="方正仿宋_GBK" w:eastAsia="方正仿宋_GBK" w:cs="方正仿宋_GBK"/>
          <w:bCs/>
          <w:color w:val="auto"/>
          <w:kern w:val="0"/>
          <w:sz w:val="28"/>
          <w:szCs w:val="28"/>
          <w:highlight w:val="none"/>
        </w:rPr>
      </w:pPr>
    </w:p>
    <w:p>
      <w:pPr>
        <w:widowControl/>
        <w:snapToGrid w:val="0"/>
        <w:spacing w:before="100" w:beforeAutospacing="1" w:after="100" w:afterAutospacing="1" w:line="360" w:lineRule="auto"/>
        <w:jc w:val="left"/>
        <w:textAlignment w:val="bottom"/>
        <w:rPr>
          <w:rFonts w:ascii="方正仿宋_GBK" w:hAnsi="方正仿宋_GBK" w:eastAsia="方正仿宋_GBK" w:cs="方正仿宋_GBK"/>
          <w:bCs/>
          <w:color w:val="auto"/>
          <w:kern w:val="0"/>
          <w:sz w:val="28"/>
          <w:szCs w:val="28"/>
          <w:highlight w:val="none"/>
        </w:rPr>
      </w:pPr>
    </w:p>
    <w:p>
      <w:pPr>
        <w:widowControl/>
        <w:snapToGrid w:val="0"/>
        <w:spacing w:before="100" w:beforeAutospacing="1" w:after="100" w:afterAutospacing="1" w:line="360" w:lineRule="auto"/>
        <w:jc w:val="left"/>
        <w:textAlignment w:val="bottom"/>
        <w:rPr>
          <w:rFonts w:ascii="方正仿宋_GBK" w:hAnsi="方正仿宋_GBK" w:eastAsia="方正仿宋_GBK" w:cs="方正仿宋_GBK"/>
          <w:color w:val="auto"/>
          <w:kern w:val="0"/>
          <w:sz w:val="28"/>
          <w:szCs w:val="28"/>
          <w:highlight w:val="none"/>
        </w:rPr>
      </w:pPr>
    </w:p>
    <w:p>
      <w:pPr>
        <w:widowControl/>
        <w:snapToGrid w:val="0"/>
        <w:spacing w:before="100" w:beforeAutospacing="1" w:after="100" w:afterAutospacing="1" w:line="360" w:lineRule="auto"/>
        <w:ind w:firstLine="4200" w:firstLineChars="1500"/>
        <w:jc w:val="left"/>
        <w:textAlignment w:val="bottom"/>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 xml:space="preserve">报价单位名称（盖章）：     </w:t>
      </w:r>
    </w:p>
    <w:p>
      <w:pPr>
        <w:widowControl/>
        <w:snapToGrid w:val="0"/>
        <w:spacing w:before="100" w:beforeAutospacing="1" w:after="100" w:afterAutospacing="1" w:line="360" w:lineRule="auto"/>
        <w:ind w:firstLine="5040" w:firstLineChars="1800"/>
        <w:jc w:val="left"/>
        <w:textAlignment w:val="bottom"/>
        <w:rPr>
          <w:rFonts w:ascii="方正仿宋_GBK" w:hAnsi="方正仿宋_GBK" w:eastAsia="方正仿宋_GBK" w:cs="方正仿宋_GBK"/>
          <w:bCs/>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 </w:t>
      </w:r>
      <w:r>
        <w:rPr>
          <w:rFonts w:hint="eastAsia" w:ascii="方正仿宋_GBK" w:hAnsi="方正仿宋_GBK" w:eastAsia="方正仿宋_GBK" w:cs="方正仿宋_GBK"/>
          <w:bCs/>
          <w:color w:val="auto"/>
          <w:kern w:val="0"/>
          <w:sz w:val="28"/>
          <w:szCs w:val="28"/>
          <w:highlight w:val="none"/>
        </w:rPr>
        <w:t>年  月  日</w:t>
      </w:r>
    </w:p>
    <w:p>
      <w:pPr>
        <w:widowControl/>
        <w:snapToGrid w:val="0"/>
        <w:spacing w:before="100" w:beforeAutospacing="1" w:after="100" w:afterAutospacing="1" w:line="360" w:lineRule="auto"/>
        <w:jc w:val="left"/>
        <w:textAlignment w:val="bottom"/>
        <w:rPr>
          <w:rFonts w:ascii="方正仿宋_GBK" w:hAnsi="方正仿宋_GBK" w:eastAsia="方正仿宋_GBK" w:cs="方正仿宋_GBK"/>
          <w:bCs/>
          <w:color w:val="auto"/>
          <w:kern w:val="0"/>
          <w:sz w:val="28"/>
          <w:szCs w:val="28"/>
          <w:highlight w:val="none"/>
        </w:rPr>
      </w:pPr>
    </w:p>
    <w:p>
      <w:pPr>
        <w:jc w:val="center"/>
        <w:rPr>
          <w:rFonts w:ascii="方正仿宋_GBK" w:hAnsi="方正仿宋_GBK" w:eastAsia="方正仿宋_GBK" w:cs="方正仿宋_GBK"/>
          <w:color w:val="auto"/>
          <w:sz w:val="28"/>
          <w:szCs w:val="28"/>
          <w:highlight w:val="none"/>
        </w:rPr>
      </w:pPr>
    </w:p>
    <w:p>
      <w:pPr>
        <w:pStyle w:val="2"/>
        <w:rPr>
          <w:color w:val="auto"/>
          <w:highlight w:val="none"/>
        </w:rPr>
      </w:pPr>
    </w:p>
    <w:p>
      <w:pPr>
        <w:rPr>
          <w:rFonts w:ascii="方正仿宋_GBK" w:hAnsi="方正仿宋_GBK" w:eastAsia="方正仿宋_GBK" w:cs="方正仿宋_GBK"/>
          <w:color w:val="auto"/>
          <w:sz w:val="28"/>
          <w:szCs w:val="28"/>
          <w:highlight w:val="none"/>
        </w:rPr>
      </w:pPr>
    </w:p>
    <w:p>
      <w:pPr>
        <w:pStyle w:val="4"/>
        <w:rPr>
          <w:color w:val="auto"/>
          <w:highlight w:val="none"/>
        </w:rPr>
      </w:pPr>
    </w:p>
    <w:p>
      <w:pPr>
        <w:jc w:val="center"/>
        <w:rPr>
          <w:rFonts w:hint="eastAsia" w:ascii="方正小标宋_GBK" w:hAnsi="方正小标宋_GBK" w:eastAsia="方正小标宋_GBK" w:cs="方正小标宋_GBK"/>
          <w:b/>
          <w:bCs/>
          <w:color w:val="auto"/>
          <w:sz w:val="36"/>
          <w:szCs w:val="36"/>
          <w:highlight w:val="none"/>
        </w:rPr>
      </w:pPr>
    </w:p>
    <w:p>
      <w:pPr>
        <w:jc w:val="center"/>
        <w:rPr>
          <w:rFonts w:ascii="方正仿宋_GBK" w:hAnsi="方正仿宋_GBK" w:eastAsia="方正仿宋_GBK" w:cs="方正仿宋_GBK"/>
          <w:b/>
          <w:color w:val="auto"/>
          <w:kern w:val="0"/>
          <w:sz w:val="24"/>
          <w:highlight w:val="none"/>
        </w:rPr>
      </w:pPr>
      <w:r>
        <w:rPr>
          <w:rFonts w:hint="eastAsia" w:ascii="方正小标宋_GBK" w:hAnsi="方正小标宋_GBK" w:eastAsia="方正小标宋_GBK" w:cs="方正小标宋_GBK"/>
          <w:b/>
          <w:bCs/>
          <w:color w:val="auto"/>
          <w:sz w:val="36"/>
          <w:szCs w:val="36"/>
          <w:highlight w:val="none"/>
        </w:rPr>
        <w:t>法定代表人授权委托书</w:t>
      </w:r>
    </w:p>
    <w:p>
      <w:pPr>
        <w:widowControl/>
        <w:snapToGrid w:val="0"/>
        <w:spacing w:before="100" w:beforeAutospacing="1" w:after="100" w:afterAutospacing="1" w:line="360" w:lineRule="auto"/>
        <w:jc w:val="left"/>
        <w:textAlignment w:val="bottom"/>
        <w:rPr>
          <w:rFonts w:ascii="方正仿宋_GBK" w:hAnsi="方正仿宋_GBK" w:eastAsia="方正仿宋_GBK" w:cs="方正仿宋_GBK"/>
          <w:bCs/>
          <w:color w:val="auto"/>
          <w:kern w:val="0"/>
          <w:sz w:val="28"/>
          <w:szCs w:val="28"/>
          <w:highlight w:val="none"/>
        </w:rPr>
      </w:pPr>
      <w:r>
        <w:rPr>
          <w:rFonts w:hint="eastAsia" w:ascii="方正仿宋_GBK" w:hAnsi="方正仿宋_GBK" w:eastAsia="方正仿宋_GBK" w:cs="方正仿宋_GBK"/>
          <w:bCs/>
          <w:color w:val="auto"/>
          <w:kern w:val="0"/>
          <w:sz w:val="28"/>
          <w:szCs w:val="28"/>
          <w:highlight w:val="none"/>
        </w:rPr>
        <w:t>     本授权书声明：注册于</w:t>
      </w:r>
      <w:r>
        <w:rPr>
          <w:rFonts w:hint="eastAsia" w:ascii="方正仿宋_GBK" w:hAnsi="方正仿宋_GBK" w:eastAsia="方正仿宋_GBK" w:cs="方正仿宋_GBK"/>
          <w:bCs/>
          <w:color w:val="auto"/>
          <w:kern w:val="0"/>
          <w:sz w:val="28"/>
          <w:szCs w:val="28"/>
          <w:highlight w:val="none"/>
          <w:u w:val="single"/>
        </w:rPr>
        <w:t>                       （注册地址）</w:t>
      </w:r>
      <w:r>
        <w:rPr>
          <w:rFonts w:hint="eastAsia" w:ascii="方正仿宋_GBK" w:hAnsi="方正仿宋_GBK" w:eastAsia="方正仿宋_GBK" w:cs="方正仿宋_GBK"/>
          <w:bCs/>
          <w:color w:val="auto"/>
          <w:kern w:val="0"/>
          <w:sz w:val="28"/>
          <w:szCs w:val="28"/>
          <w:highlight w:val="none"/>
        </w:rPr>
        <w:t>的</w:t>
      </w:r>
      <w:r>
        <w:rPr>
          <w:rFonts w:hint="eastAsia" w:ascii="方正仿宋_GBK" w:hAnsi="方正仿宋_GBK" w:eastAsia="方正仿宋_GBK" w:cs="方正仿宋_GBK"/>
          <w:bCs/>
          <w:color w:val="auto"/>
          <w:kern w:val="0"/>
          <w:sz w:val="28"/>
          <w:szCs w:val="28"/>
          <w:highlight w:val="none"/>
          <w:u w:val="single"/>
        </w:rPr>
        <w:t>                    （公司名称）</w:t>
      </w:r>
      <w:r>
        <w:rPr>
          <w:rFonts w:hint="eastAsia" w:ascii="方正仿宋_GBK" w:hAnsi="方正仿宋_GBK" w:eastAsia="方正仿宋_GBK" w:cs="方正仿宋_GBK"/>
          <w:bCs/>
          <w:color w:val="auto"/>
          <w:kern w:val="0"/>
          <w:sz w:val="28"/>
          <w:szCs w:val="28"/>
          <w:highlight w:val="none"/>
        </w:rPr>
        <w:t>公司的在下面签字的</w:t>
      </w:r>
      <w:r>
        <w:rPr>
          <w:rFonts w:hint="eastAsia" w:ascii="方正仿宋_GBK" w:hAnsi="方正仿宋_GBK" w:eastAsia="方正仿宋_GBK" w:cs="方正仿宋_GBK"/>
          <w:bCs/>
          <w:color w:val="auto"/>
          <w:kern w:val="0"/>
          <w:sz w:val="28"/>
          <w:szCs w:val="28"/>
          <w:highlight w:val="none"/>
          <w:u w:val="single"/>
        </w:rPr>
        <w:t xml:space="preserve">         </w:t>
      </w:r>
      <w:r>
        <w:rPr>
          <w:rFonts w:hint="eastAsia" w:ascii="方正仿宋_GBK" w:hAnsi="方正仿宋_GBK" w:eastAsia="方正仿宋_GBK" w:cs="方正仿宋_GBK"/>
          <w:bCs/>
          <w:color w:val="auto"/>
          <w:kern w:val="0"/>
          <w:sz w:val="28"/>
          <w:szCs w:val="28"/>
          <w:highlight w:val="none"/>
        </w:rPr>
        <w:t>（法定代表人姓名、职务）代表本公司授权在下面签字的</w:t>
      </w:r>
      <w:r>
        <w:rPr>
          <w:rFonts w:hint="eastAsia" w:ascii="方正仿宋_GBK" w:hAnsi="方正仿宋_GBK" w:eastAsia="方正仿宋_GBK" w:cs="方正仿宋_GBK"/>
          <w:bCs/>
          <w:i/>
          <w:iCs/>
          <w:color w:val="auto"/>
          <w:kern w:val="0"/>
          <w:sz w:val="28"/>
          <w:szCs w:val="28"/>
          <w:highlight w:val="none"/>
          <w:u w:val="single"/>
        </w:rPr>
        <w:t xml:space="preserve">      </w:t>
      </w:r>
      <w:r>
        <w:rPr>
          <w:rFonts w:hint="eastAsia" w:ascii="方正仿宋_GBK" w:hAnsi="方正仿宋_GBK" w:eastAsia="方正仿宋_GBK" w:cs="方正仿宋_GBK"/>
          <w:bCs/>
          <w:color w:val="auto"/>
          <w:kern w:val="0"/>
          <w:sz w:val="28"/>
          <w:szCs w:val="28"/>
          <w:highlight w:val="none"/>
        </w:rPr>
        <w:t>被授权人的姓名、职务）为本公司的合法代理人，就</w:t>
      </w:r>
      <w:r>
        <w:rPr>
          <w:rFonts w:hint="eastAsia" w:ascii="方正仿宋_GBK" w:hAnsi="方正仿宋_GBK" w:eastAsia="方正仿宋_GBK" w:cs="方正仿宋_GBK"/>
          <w:bCs/>
          <w:color w:val="auto"/>
          <w:kern w:val="0"/>
          <w:sz w:val="28"/>
          <w:szCs w:val="28"/>
          <w:highlight w:val="none"/>
          <w:u w:val="single"/>
        </w:rPr>
        <w:t xml:space="preserve"> </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bCs/>
          <w:color w:val="auto"/>
          <w:kern w:val="0"/>
          <w:sz w:val="28"/>
          <w:szCs w:val="28"/>
          <w:highlight w:val="none"/>
          <w:u w:val="single"/>
        </w:rPr>
        <w:t xml:space="preserve"> </w:t>
      </w:r>
      <w:r>
        <w:rPr>
          <w:rFonts w:hint="eastAsia" w:ascii="方正仿宋_GBK" w:hAnsi="方正仿宋_GBK" w:eastAsia="方正仿宋_GBK" w:cs="方正仿宋_GBK"/>
          <w:bCs/>
          <w:color w:val="auto"/>
          <w:kern w:val="0"/>
          <w:sz w:val="28"/>
          <w:szCs w:val="28"/>
          <w:highlight w:val="none"/>
        </w:rPr>
        <w:t>项目的报价以及合同的谈判、签约、执行、完成等全权负责，以本公司名义处理一切与之有关的事务。</w:t>
      </w:r>
    </w:p>
    <w:p>
      <w:pPr>
        <w:widowControl/>
        <w:snapToGrid w:val="0"/>
        <w:spacing w:before="100" w:beforeAutospacing="1" w:after="100" w:afterAutospacing="1" w:line="360" w:lineRule="auto"/>
        <w:ind w:firstLine="560" w:firstLineChars="200"/>
        <w:jc w:val="left"/>
        <w:textAlignment w:val="bottom"/>
        <w:rPr>
          <w:rFonts w:ascii="方正仿宋_GBK" w:hAnsi="方正仿宋_GBK" w:eastAsia="方正仿宋_GBK" w:cs="方正仿宋_GBK"/>
          <w:bCs/>
          <w:color w:val="auto"/>
          <w:kern w:val="0"/>
          <w:sz w:val="28"/>
          <w:szCs w:val="28"/>
          <w:highlight w:val="none"/>
        </w:rPr>
      </w:pPr>
      <w:r>
        <w:rPr>
          <w:rFonts w:hint="eastAsia" w:ascii="方正仿宋_GBK" w:hAnsi="方正仿宋_GBK" w:eastAsia="方正仿宋_GBK" w:cs="方正仿宋_GBK"/>
          <w:bCs/>
          <w:color w:val="auto"/>
          <w:kern w:val="0"/>
          <w:sz w:val="28"/>
          <w:szCs w:val="28"/>
          <w:highlight w:val="none"/>
        </w:rPr>
        <w:t>本授权书于    年   月   日签字生效，特此声明。</w:t>
      </w:r>
    </w:p>
    <w:p>
      <w:pPr>
        <w:widowControl/>
        <w:snapToGrid w:val="0"/>
        <w:spacing w:before="100" w:beforeAutospacing="1" w:after="100" w:afterAutospacing="1" w:line="252" w:lineRule="atLeast"/>
        <w:jc w:val="left"/>
        <w:textAlignment w:val="bottom"/>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 xml:space="preserve">报价单位名称（盖章）：          </w:t>
      </w:r>
    </w:p>
    <w:p>
      <w:pPr>
        <w:widowControl/>
        <w:snapToGrid w:val="0"/>
        <w:spacing w:before="100" w:beforeAutospacing="1" w:after="100" w:afterAutospacing="1" w:line="252" w:lineRule="atLeast"/>
        <w:jc w:val="left"/>
        <w:textAlignment w:val="bottom"/>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报价单位地址：</w:t>
      </w:r>
    </w:p>
    <w:p>
      <w:pPr>
        <w:widowControl/>
        <w:snapToGrid w:val="0"/>
        <w:spacing w:before="100" w:beforeAutospacing="1" w:after="100" w:afterAutospacing="1" w:line="252" w:lineRule="atLeast"/>
        <w:jc w:val="left"/>
        <w:textAlignment w:val="bottom"/>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 xml:space="preserve">授权人（法定代表人）签字：                     </w:t>
      </w:r>
    </w:p>
    <w:p>
      <w:pPr>
        <w:widowControl/>
        <w:snapToGrid w:val="0"/>
        <w:spacing w:before="100" w:beforeAutospacing="1" w:after="100" w:afterAutospacing="1" w:line="252" w:lineRule="atLeast"/>
        <w:jc w:val="left"/>
        <w:textAlignment w:val="bottom"/>
        <w:rPr>
          <w:rFonts w:ascii="方正仿宋_GBK" w:hAnsi="方正仿宋_GBK" w:eastAsia="方正仿宋_GBK" w:cs="方正仿宋_GBK"/>
          <w:bCs/>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被授权人（代理人）签字：  </w:t>
      </w:r>
      <w:r>
        <w:rPr>
          <w:rFonts w:hint="eastAsia" w:ascii="方正仿宋_GBK" w:hAnsi="方正仿宋_GBK" w:eastAsia="方正仿宋_GBK" w:cs="方正仿宋_GBK"/>
          <w:color w:val="auto"/>
          <w:kern w:val="0"/>
          <w:sz w:val="32"/>
          <w:szCs w:val="32"/>
          <w:highlight w:val="none"/>
        </w:rPr>
        <w:t> </w:t>
      </w:r>
    </w:p>
    <w:p>
      <w:pPr>
        <w:widowControl/>
        <w:snapToGrid w:val="0"/>
        <w:spacing w:before="100" w:beforeAutospacing="1" w:after="100" w:afterAutospacing="1" w:line="252" w:lineRule="atLeast"/>
        <w:ind w:firstLine="480"/>
        <w:jc w:val="left"/>
        <w:textAlignment w:val="bottom"/>
        <w:rPr>
          <w:rFonts w:ascii="方正仿宋_GBK" w:hAnsi="方正仿宋_GBK" w:eastAsia="方正仿宋_GBK" w:cs="方正仿宋_GBK"/>
          <w:b/>
          <w:color w:val="auto"/>
          <w:kern w:val="0"/>
          <w:sz w:val="28"/>
          <w:szCs w:val="28"/>
          <w:highlight w:val="none"/>
        </w:rPr>
      </w:pPr>
      <w:r>
        <w:rPr>
          <w:rFonts w:ascii="方正仿宋_GBK" w:hAnsi="方正仿宋_GBK" w:eastAsia="方正仿宋_GBK" w:cs="方正仿宋_GBK"/>
          <w:b/>
          <w:color w:val="auto"/>
          <w:kern w:val="0"/>
          <w:sz w:val="28"/>
          <w:szCs w:val="28"/>
          <w:highlight w:val="none"/>
        </w:rPr>
        <w:pict>
          <v:shape id="_x0000_s2051" o:spid="_x0000_s2051" o:spt="202" type="#_x0000_t202" style="position:absolute;left:0pt;margin-left:235.75pt;margin-top:5.05pt;height:197.2pt;width:234pt;z-index:251661312;mso-width-relative:page;mso-height-relative:page;" coordsize="21600,21600" o:gfxdata="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B3m1eHaAAAACgEAAA8AAAAA&#10;AAAAAQAgAAAAIgAAAGRycy9kb3ducmV2LnhtbFBLAQIUABQAAAAIAIdO4kAOZStbEgIAAEUEAAAO&#10;AAAAAAAAAAEAIAAAACkBAABkcnMvZTJvRG9jLnhtbFBLBQYAAAAABgAGAFkBAACtBQAAAAA=&#10;">
            <v:path/>
            <v:fill focussize="0,0"/>
            <v:stroke weight="1pt" dashstyle="dash"/>
            <v:imagedata o:title=""/>
            <o:lock v:ext="edit"/>
            <v:textbox>
              <w:txbxContent>
                <w:p>
                  <w:pPr>
                    <w:rPr>
                      <w:rFonts w:ascii="仿宋_GB2312" w:hAnsi="仿宋_GB2312" w:eastAsia="仿宋_GB2312" w:cs="仿宋_GB2312"/>
                    </w:rPr>
                  </w:pPr>
                  <w:r>
                    <w:rPr>
                      <w:rFonts w:hint="eastAsia" w:ascii="仿宋_GB2312" w:hAnsi="仿宋_GB2312" w:eastAsia="仿宋_GB2312" w:cs="仿宋_GB2312"/>
                    </w:rPr>
                    <w:t>被授权人身份证复印件（正反面）</w:t>
                  </w:r>
                </w:p>
                <w:p/>
              </w:txbxContent>
            </v:textbox>
          </v:shape>
        </w:pict>
      </w:r>
      <w:r>
        <w:rPr>
          <w:rFonts w:ascii="方正仿宋_GBK" w:hAnsi="方正仿宋_GBK" w:eastAsia="方正仿宋_GBK" w:cs="方正仿宋_GBK"/>
          <w:b/>
          <w:color w:val="auto"/>
          <w:kern w:val="0"/>
          <w:sz w:val="28"/>
          <w:szCs w:val="28"/>
          <w:highlight w:val="none"/>
        </w:rPr>
        <w:pict>
          <v:shape id="_x0000_s2050" o:spid="_x0000_s2050" o:spt="202" type="#_x0000_t202" style="position:absolute;left:0pt;margin-left:-3.2pt;margin-top:5.2pt;height:195.55pt;width:225pt;z-index:251659264;mso-width-relative:page;mso-height-relative:page;" coordsize="21600,21600" o:gfxdata="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vsScDtoAAAAJAQAADwAAAAAA&#10;AAABACAAAAAiAAAAZHJzL2Rvd25yZXYueG1sUEsBAhQAFAAAAAgAh07iQDVQxGYRAgAARQQAAA4A&#10;AAAAAAAAAQAgAAAAKQEAAGRycy9lMm9Eb2MueG1sUEsFBgAAAAAGAAYAWQEAAKwFAAAAAA==&#10;">
            <v:path/>
            <v:fill focussize="0,0"/>
            <v:stroke weight="1pt" dashstyle="dash"/>
            <v:imagedata o:title=""/>
            <o:lock v:ext="edit"/>
            <v:textbox>
              <w:txbxContent>
                <w:p>
                  <w:pPr>
                    <w:rPr>
                      <w:rFonts w:ascii="仿宋_GB2312" w:hAnsi="仿宋_GB2312" w:eastAsia="仿宋_GB2312" w:cs="仿宋_GB2312"/>
                    </w:rPr>
                  </w:pPr>
                  <w:r>
                    <w:rPr>
                      <w:rFonts w:hint="eastAsia" w:ascii="仿宋_GB2312" w:hAnsi="仿宋_GB2312" w:eastAsia="仿宋_GB2312" w:cs="仿宋_GB2312"/>
                    </w:rPr>
                    <w:t>授权人身份证复印件（正反面）</w:t>
                  </w:r>
                </w:p>
              </w:txbxContent>
            </v:textbox>
          </v:shape>
        </w:pict>
      </w:r>
    </w:p>
    <w:p>
      <w:pPr>
        <w:widowControl/>
        <w:snapToGrid w:val="0"/>
        <w:spacing w:before="100" w:beforeAutospacing="1" w:after="100" w:afterAutospacing="1" w:line="252" w:lineRule="atLeast"/>
        <w:ind w:firstLine="480"/>
        <w:jc w:val="left"/>
        <w:textAlignment w:val="bottom"/>
        <w:rPr>
          <w:rFonts w:ascii="方正仿宋_GBK" w:hAnsi="方正仿宋_GBK" w:eastAsia="方正仿宋_GBK" w:cs="方正仿宋_GBK"/>
          <w:b/>
          <w:color w:val="auto"/>
          <w:kern w:val="0"/>
          <w:sz w:val="28"/>
          <w:szCs w:val="28"/>
          <w:highlight w:val="none"/>
        </w:rPr>
      </w:pPr>
    </w:p>
    <w:p>
      <w:pPr>
        <w:widowControl/>
        <w:snapToGrid w:val="0"/>
        <w:spacing w:before="100" w:beforeAutospacing="1" w:after="100" w:afterAutospacing="1" w:line="252" w:lineRule="atLeast"/>
        <w:ind w:firstLine="480"/>
        <w:jc w:val="left"/>
        <w:textAlignment w:val="bottom"/>
        <w:rPr>
          <w:rFonts w:ascii="方正仿宋_GBK" w:hAnsi="方正仿宋_GBK" w:eastAsia="方正仿宋_GBK" w:cs="方正仿宋_GBK"/>
          <w:b/>
          <w:color w:val="auto"/>
          <w:kern w:val="0"/>
          <w:sz w:val="28"/>
          <w:szCs w:val="28"/>
          <w:highlight w:val="none"/>
        </w:rPr>
      </w:pPr>
    </w:p>
    <w:p>
      <w:pPr>
        <w:widowControl/>
        <w:snapToGrid w:val="0"/>
        <w:spacing w:before="100" w:beforeAutospacing="1" w:after="100" w:afterAutospacing="1" w:line="252" w:lineRule="atLeast"/>
        <w:ind w:firstLine="480"/>
        <w:jc w:val="left"/>
        <w:textAlignment w:val="bottom"/>
        <w:rPr>
          <w:rFonts w:ascii="方正仿宋_GBK" w:hAnsi="方正仿宋_GBK" w:eastAsia="方正仿宋_GBK" w:cs="方正仿宋_GBK"/>
          <w:b/>
          <w:color w:val="auto"/>
          <w:kern w:val="0"/>
          <w:sz w:val="28"/>
          <w:szCs w:val="28"/>
          <w:highlight w:val="none"/>
        </w:rPr>
      </w:pPr>
      <w:r>
        <w:rPr>
          <w:rFonts w:hint="eastAsia" w:ascii="方正仿宋_GBK" w:hAnsi="方正仿宋_GBK" w:eastAsia="方正仿宋_GBK" w:cs="方正仿宋_GBK"/>
          <w:b/>
          <w:color w:val="auto"/>
          <w:kern w:val="0"/>
          <w:sz w:val="28"/>
          <w:szCs w:val="28"/>
          <w:highlight w:val="none"/>
        </w:rPr>
        <w:t> </w:t>
      </w:r>
    </w:p>
    <w:p>
      <w:pPr>
        <w:widowControl/>
        <w:spacing w:before="100" w:beforeAutospacing="1" w:after="100" w:afterAutospacing="1" w:line="252" w:lineRule="atLeast"/>
        <w:jc w:val="center"/>
        <w:rPr>
          <w:rFonts w:ascii="方正仿宋_GBK" w:hAnsi="方正仿宋_GBK" w:eastAsia="方正仿宋_GBK" w:cs="方正仿宋_GBK"/>
          <w:b/>
          <w:color w:val="auto"/>
          <w:kern w:val="0"/>
          <w:sz w:val="28"/>
          <w:szCs w:val="28"/>
          <w:highlight w:val="none"/>
        </w:rPr>
      </w:pPr>
      <w:r>
        <w:rPr>
          <w:rFonts w:hint="eastAsia" w:ascii="方正仿宋_GBK" w:hAnsi="方正仿宋_GBK" w:eastAsia="方正仿宋_GBK" w:cs="方正仿宋_GBK"/>
          <w:color w:val="auto"/>
          <w:sz w:val="28"/>
          <w:szCs w:val="28"/>
          <w:highlight w:val="none"/>
        </w:rPr>
        <w:br w:type="page"/>
      </w:r>
    </w:p>
    <w:p>
      <w:pPr>
        <w:widowControl/>
        <w:spacing w:before="100" w:beforeAutospacing="1" w:after="100" w:afterAutospacing="1" w:line="252" w:lineRule="atLeast"/>
        <w:jc w:val="center"/>
        <w:rPr>
          <w:rFonts w:ascii="方正仿宋_GBK" w:hAnsi="方正仿宋_GBK" w:eastAsia="方正仿宋_GBK" w:cs="方正仿宋_GBK"/>
          <w:b/>
          <w:color w:val="auto"/>
          <w:kern w:val="0"/>
          <w:sz w:val="28"/>
          <w:szCs w:val="28"/>
          <w:highlight w:val="none"/>
        </w:rPr>
      </w:pPr>
      <w:r>
        <w:rPr>
          <w:rFonts w:hint="eastAsia" w:ascii="方正仿宋_GBK" w:hAnsi="方正仿宋_GBK" w:eastAsia="方正仿宋_GBK" w:cs="方正仿宋_GBK"/>
          <w:b/>
          <w:color w:val="auto"/>
          <w:kern w:val="0"/>
          <w:sz w:val="28"/>
          <w:szCs w:val="28"/>
          <w:highlight w:val="none"/>
        </w:rPr>
        <w:t xml:space="preserve"> </w:t>
      </w:r>
      <w:r>
        <w:rPr>
          <w:rFonts w:hint="eastAsia" w:ascii="方正仿宋_GBK" w:hAnsi="方正仿宋_GBK" w:eastAsia="方正仿宋_GBK" w:cs="方正仿宋_GBK"/>
          <w:bCs/>
          <w:color w:val="auto"/>
          <w:kern w:val="0"/>
          <w:sz w:val="28"/>
          <w:szCs w:val="28"/>
          <w:highlight w:val="none"/>
        </w:rPr>
        <w:t xml:space="preserve">格式四 </w:t>
      </w:r>
      <w:r>
        <w:rPr>
          <w:rFonts w:hint="eastAsia" w:ascii="方正小标宋_GBK" w:hAnsi="方正小标宋_GBK" w:eastAsia="方正小标宋_GBK" w:cs="方正小标宋_GBK"/>
          <w:b/>
          <w:bCs/>
          <w:color w:val="auto"/>
          <w:sz w:val="36"/>
          <w:szCs w:val="36"/>
          <w:highlight w:val="none"/>
        </w:rPr>
        <w:t>合同文件</w:t>
      </w:r>
    </w:p>
    <w:p>
      <w:pPr>
        <w:widowControl/>
        <w:spacing w:before="100" w:beforeAutospacing="1" w:after="100" w:afterAutospacing="1" w:line="252" w:lineRule="atLeast"/>
        <w:jc w:val="left"/>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合同详见附件</w:t>
      </w:r>
      <w:r>
        <w:rPr>
          <w:rFonts w:ascii="方正仿宋_GBK" w:hAnsi="方正仿宋_GBK" w:eastAsia="方正仿宋_GBK" w:cs="方正仿宋_GBK"/>
          <w:color w:val="auto"/>
          <w:kern w:val="0"/>
          <w:sz w:val="28"/>
          <w:szCs w:val="28"/>
          <w:highlight w:val="none"/>
        </w:rPr>
        <w:t>1</w:t>
      </w:r>
      <w:r>
        <w:rPr>
          <w:rFonts w:hint="eastAsia" w:ascii="方正仿宋_GBK" w:hAnsi="方正仿宋_GBK" w:eastAsia="方正仿宋_GBK" w:cs="方正仿宋_GBK"/>
          <w:color w:val="auto"/>
          <w:kern w:val="0"/>
          <w:sz w:val="28"/>
          <w:szCs w:val="28"/>
          <w:highlight w:val="none"/>
        </w:rPr>
        <w:t>；</w:t>
      </w:r>
    </w:p>
    <w:p>
      <w:pPr>
        <w:rPr>
          <w:color w:val="auto"/>
          <w:highlight w:val="none"/>
        </w:rPr>
      </w:pPr>
    </w:p>
    <w:p>
      <w:pPr>
        <w:widowControl/>
        <w:spacing w:before="100" w:beforeAutospacing="1" w:after="100" w:afterAutospacing="1" w:line="252" w:lineRule="atLeast"/>
        <w:rPr>
          <w:rFonts w:ascii="方正仿宋_GBK" w:hAnsi="方正仿宋_GBK" w:eastAsia="方正仿宋_GBK" w:cs="方正仿宋_GBK"/>
          <w:bCs/>
          <w:color w:val="auto"/>
          <w:kern w:val="0"/>
          <w:sz w:val="28"/>
          <w:szCs w:val="28"/>
          <w:highlight w:val="none"/>
        </w:rPr>
      </w:pPr>
      <w:r>
        <w:rPr>
          <w:rFonts w:hint="eastAsia" w:ascii="方正仿宋_GBK" w:hAnsi="方正仿宋_GBK" w:eastAsia="方正仿宋_GBK" w:cs="方正仿宋_GBK"/>
          <w:b/>
          <w:color w:val="auto"/>
          <w:kern w:val="0"/>
          <w:sz w:val="28"/>
          <w:szCs w:val="28"/>
          <w:highlight w:val="none"/>
        </w:rPr>
        <w:t xml:space="preserve">  </w:t>
      </w:r>
      <w:r>
        <w:rPr>
          <w:rFonts w:hint="eastAsia" w:ascii="方正仿宋_GBK" w:hAnsi="方正仿宋_GBK" w:eastAsia="方正仿宋_GBK" w:cs="方正仿宋_GBK"/>
          <w:bCs/>
          <w:color w:val="auto"/>
          <w:kern w:val="0"/>
          <w:sz w:val="28"/>
          <w:szCs w:val="28"/>
          <w:highlight w:val="none"/>
        </w:rPr>
        <w:t xml:space="preserve"> </w:t>
      </w:r>
    </w:p>
    <w:p>
      <w:pPr>
        <w:widowControl/>
        <w:spacing w:before="100" w:beforeAutospacing="1" w:after="100" w:afterAutospacing="1" w:line="252" w:lineRule="atLeast"/>
        <w:rPr>
          <w:rFonts w:ascii="方正仿宋_GBK" w:hAnsi="方正仿宋_GBK" w:eastAsia="方正仿宋_GBK" w:cs="方正仿宋_GBK"/>
          <w:bCs/>
          <w:color w:val="auto"/>
          <w:kern w:val="0"/>
          <w:sz w:val="28"/>
          <w:szCs w:val="28"/>
          <w:highlight w:val="none"/>
        </w:rPr>
      </w:pPr>
    </w:p>
    <w:p>
      <w:pPr>
        <w:pStyle w:val="2"/>
        <w:rPr>
          <w:rFonts w:ascii="方正仿宋_GBK" w:hAnsi="方正仿宋_GBK" w:eastAsia="方正仿宋_GBK" w:cs="方正仿宋_GBK"/>
          <w:b w:val="0"/>
          <w:color w:val="auto"/>
          <w:kern w:val="0"/>
          <w:sz w:val="28"/>
          <w:szCs w:val="28"/>
          <w:highlight w:val="none"/>
        </w:rPr>
      </w:pPr>
    </w:p>
    <w:p>
      <w:pPr>
        <w:rPr>
          <w:rFonts w:ascii="方正仿宋_GBK" w:hAnsi="方正仿宋_GBK" w:eastAsia="方正仿宋_GBK" w:cs="方正仿宋_GBK"/>
          <w:bCs/>
          <w:color w:val="auto"/>
          <w:kern w:val="0"/>
          <w:sz w:val="28"/>
          <w:szCs w:val="28"/>
          <w:highlight w:val="none"/>
        </w:rPr>
      </w:pPr>
    </w:p>
    <w:p>
      <w:pPr>
        <w:pStyle w:val="2"/>
        <w:rPr>
          <w:rFonts w:ascii="方正仿宋_GBK" w:hAnsi="方正仿宋_GBK" w:eastAsia="方正仿宋_GBK" w:cs="方正仿宋_GBK"/>
          <w:b w:val="0"/>
          <w:color w:val="auto"/>
          <w:kern w:val="0"/>
          <w:sz w:val="28"/>
          <w:szCs w:val="28"/>
          <w:highlight w:val="none"/>
        </w:rPr>
      </w:pPr>
    </w:p>
    <w:p>
      <w:pPr>
        <w:rPr>
          <w:rFonts w:ascii="方正仿宋_GBK" w:hAnsi="方正仿宋_GBK" w:eastAsia="方正仿宋_GBK" w:cs="方正仿宋_GBK"/>
          <w:bCs/>
          <w:color w:val="auto"/>
          <w:kern w:val="0"/>
          <w:sz w:val="28"/>
          <w:szCs w:val="28"/>
          <w:highlight w:val="none"/>
        </w:rPr>
      </w:pPr>
    </w:p>
    <w:p>
      <w:pPr>
        <w:rPr>
          <w:rFonts w:ascii="方正仿宋_GBK" w:hAnsi="方正仿宋_GBK" w:eastAsia="方正仿宋_GBK" w:cs="方正仿宋_GBK"/>
          <w:bCs/>
          <w:color w:val="auto"/>
          <w:kern w:val="0"/>
          <w:sz w:val="28"/>
          <w:szCs w:val="28"/>
          <w:highlight w:val="none"/>
        </w:rPr>
      </w:pPr>
    </w:p>
    <w:p>
      <w:pPr>
        <w:pStyle w:val="2"/>
        <w:rPr>
          <w:color w:val="auto"/>
          <w:highlight w:val="none"/>
        </w:rPr>
      </w:pPr>
    </w:p>
    <w:p>
      <w:pPr>
        <w:pStyle w:val="2"/>
        <w:rPr>
          <w:rFonts w:ascii="方正仿宋_GBK" w:hAnsi="方正仿宋_GBK" w:eastAsia="方正仿宋_GBK" w:cs="方正仿宋_GBK"/>
          <w:b w:val="0"/>
          <w:color w:val="auto"/>
          <w:kern w:val="0"/>
          <w:sz w:val="28"/>
          <w:szCs w:val="28"/>
          <w:highlight w:val="none"/>
        </w:rPr>
      </w:pPr>
    </w:p>
    <w:p>
      <w:pPr>
        <w:pStyle w:val="2"/>
        <w:rPr>
          <w:color w:val="auto"/>
          <w:highlight w:val="none"/>
        </w:rPr>
      </w:pPr>
    </w:p>
    <w:p>
      <w:pPr>
        <w:rPr>
          <w:color w:val="auto"/>
          <w:highlight w:val="none"/>
        </w:rPr>
      </w:pPr>
    </w:p>
    <w:p>
      <w:pPr>
        <w:rPr>
          <w:color w:val="auto"/>
          <w:highlight w:val="none"/>
        </w:rPr>
      </w:pPr>
    </w:p>
    <w:p>
      <w:pPr>
        <w:pStyle w:val="2"/>
        <w:rPr>
          <w:color w:val="auto"/>
          <w:highlight w:val="none"/>
        </w:rPr>
      </w:pPr>
    </w:p>
    <w:p>
      <w:pPr>
        <w:rPr>
          <w:color w:val="auto"/>
          <w:highlight w:val="none"/>
        </w:rPr>
      </w:pPr>
    </w:p>
    <w:p>
      <w:pPr>
        <w:rPr>
          <w:color w:val="auto"/>
          <w:highlight w:val="none"/>
        </w:rPr>
      </w:pPr>
    </w:p>
    <w:p>
      <w:pPr>
        <w:rPr>
          <w:color w:val="auto"/>
          <w:highlight w:val="none"/>
        </w:rPr>
      </w:pPr>
    </w:p>
    <w:p>
      <w:pPr>
        <w:widowControl/>
        <w:spacing w:before="100" w:beforeAutospacing="1" w:after="100" w:afterAutospacing="1" w:line="252" w:lineRule="atLeast"/>
        <w:jc w:val="center"/>
        <w:rPr>
          <w:rFonts w:hint="eastAsia" w:ascii="方正仿宋_GBK" w:hAnsi="方正仿宋_GBK" w:eastAsia="方正仿宋_GBK" w:cs="方正仿宋_GBK"/>
          <w:bCs/>
          <w:color w:val="auto"/>
          <w:kern w:val="0"/>
          <w:sz w:val="28"/>
          <w:szCs w:val="28"/>
          <w:highlight w:val="none"/>
        </w:rPr>
      </w:pPr>
    </w:p>
    <w:p>
      <w:pPr>
        <w:widowControl/>
        <w:spacing w:before="100" w:beforeAutospacing="1" w:after="100" w:afterAutospacing="1" w:line="252" w:lineRule="atLeast"/>
        <w:jc w:val="center"/>
        <w:rPr>
          <w:rFonts w:hint="eastAsia" w:ascii="方正仿宋_GBK" w:hAnsi="方正仿宋_GBK" w:eastAsia="方正仿宋_GBK" w:cs="方正仿宋_GBK"/>
          <w:bCs/>
          <w:color w:val="auto"/>
          <w:kern w:val="0"/>
          <w:sz w:val="28"/>
          <w:szCs w:val="28"/>
          <w:highlight w:val="none"/>
        </w:rPr>
      </w:pPr>
    </w:p>
    <w:p>
      <w:pPr>
        <w:widowControl/>
        <w:spacing w:before="100" w:beforeAutospacing="1" w:after="100" w:afterAutospacing="1" w:line="252" w:lineRule="atLeast"/>
        <w:jc w:val="center"/>
        <w:rPr>
          <w:rFonts w:ascii="方正小标宋_GBK" w:hAnsi="方正小标宋_GBK" w:eastAsia="方正仿宋_GBK" w:cs="方正小标宋_GBK"/>
          <w:b/>
          <w:bCs/>
          <w:color w:val="auto"/>
          <w:sz w:val="36"/>
          <w:szCs w:val="36"/>
          <w:highlight w:val="none"/>
        </w:rPr>
      </w:pPr>
      <w:r>
        <w:rPr>
          <w:rFonts w:hint="eastAsia" w:ascii="方正仿宋_GBK" w:hAnsi="方正仿宋_GBK" w:eastAsia="方正仿宋_GBK" w:cs="方正仿宋_GBK"/>
          <w:bCs/>
          <w:color w:val="auto"/>
          <w:kern w:val="0"/>
          <w:sz w:val="28"/>
          <w:szCs w:val="28"/>
          <w:highlight w:val="none"/>
        </w:rPr>
        <w:t xml:space="preserve">格式五 </w:t>
      </w:r>
      <w:r>
        <w:rPr>
          <w:rFonts w:hint="eastAsia" w:ascii="方正小标宋_GBK" w:hAnsi="方正小标宋_GBK" w:eastAsia="方正小标宋_GBK" w:cs="方正小标宋_GBK"/>
          <w:b/>
          <w:bCs/>
          <w:color w:val="auto"/>
          <w:sz w:val="36"/>
          <w:szCs w:val="36"/>
          <w:highlight w:val="none"/>
        </w:rPr>
        <w:t>商务部分</w:t>
      </w:r>
    </w:p>
    <w:p>
      <w:pPr>
        <w:widowControl/>
        <w:spacing w:before="100" w:beforeAutospacing="1" w:after="100" w:afterAutospacing="1" w:line="252" w:lineRule="atLeast"/>
        <w:jc w:val="left"/>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格式自拟</w:t>
      </w:r>
    </w:p>
    <w:p>
      <w:pPr>
        <w:widowControl/>
        <w:spacing w:before="100" w:beforeAutospacing="1" w:after="100" w:afterAutospacing="1" w:line="252" w:lineRule="atLeast"/>
        <w:jc w:val="left"/>
        <w:rPr>
          <w:rFonts w:ascii="方正仿宋_GBK" w:hAnsi="方正仿宋_GBK" w:eastAsia="方正仿宋_GBK" w:cs="方正仿宋_GBK"/>
          <w:color w:val="auto"/>
          <w:kern w:val="0"/>
          <w:sz w:val="28"/>
          <w:szCs w:val="28"/>
          <w:highlight w:val="none"/>
        </w:rPr>
      </w:pPr>
    </w:p>
    <w:p>
      <w:pPr>
        <w:widowControl/>
        <w:spacing w:before="100" w:beforeAutospacing="1" w:after="100" w:afterAutospacing="1" w:line="252" w:lineRule="atLeast"/>
        <w:jc w:val="center"/>
        <w:rPr>
          <w:rFonts w:ascii="方正仿宋_GBK" w:hAnsi="方正仿宋_GBK" w:eastAsia="方正仿宋_GBK" w:cs="方正仿宋_GBK"/>
          <w:b/>
          <w:color w:val="auto"/>
          <w:kern w:val="0"/>
          <w:sz w:val="28"/>
          <w:szCs w:val="28"/>
          <w:highlight w:val="none"/>
        </w:rPr>
      </w:pPr>
    </w:p>
    <w:p>
      <w:pPr>
        <w:widowControl/>
        <w:spacing w:before="100" w:beforeAutospacing="1" w:after="100" w:afterAutospacing="1" w:line="252" w:lineRule="atLeast"/>
        <w:jc w:val="center"/>
        <w:rPr>
          <w:rFonts w:ascii="方正小标宋_GBK" w:hAnsi="方正小标宋_GBK" w:eastAsia="方正仿宋_GBK" w:cs="方正小标宋_GBK"/>
          <w:b/>
          <w:bCs/>
          <w:color w:val="auto"/>
          <w:sz w:val="36"/>
          <w:szCs w:val="36"/>
          <w:highlight w:val="none"/>
        </w:rPr>
      </w:pPr>
      <w:r>
        <w:rPr>
          <w:rFonts w:hint="eastAsia" w:ascii="方正仿宋_GBK" w:hAnsi="方正仿宋_GBK" w:eastAsia="方正仿宋_GBK" w:cs="方正仿宋_GBK"/>
          <w:bCs/>
          <w:color w:val="auto"/>
          <w:kern w:val="0"/>
          <w:sz w:val="28"/>
          <w:szCs w:val="28"/>
          <w:highlight w:val="none"/>
        </w:rPr>
        <w:t xml:space="preserve">格式六 </w:t>
      </w:r>
      <w:r>
        <w:rPr>
          <w:rFonts w:hint="eastAsia" w:ascii="方正小标宋_GBK" w:hAnsi="方正小标宋_GBK" w:eastAsia="方正小标宋_GBK" w:cs="方正小标宋_GBK"/>
          <w:b/>
          <w:bCs/>
          <w:color w:val="auto"/>
          <w:sz w:val="36"/>
          <w:szCs w:val="36"/>
          <w:highlight w:val="none"/>
        </w:rPr>
        <w:t>技术部分</w:t>
      </w:r>
    </w:p>
    <w:p>
      <w:pPr>
        <w:widowControl/>
        <w:spacing w:before="100" w:beforeAutospacing="1" w:after="100" w:afterAutospacing="1" w:line="252" w:lineRule="atLeast"/>
        <w:jc w:val="left"/>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格式自拟</w:t>
      </w:r>
    </w:p>
    <w:p>
      <w:pPr>
        <w:widowControl/>
        <w:spacing w:before="100" w:beforeAutospacing="1" w:after="100" w:afterAutospacing="1" w:line="252" w:lineRule="atLeast"/>
        <w:jc w:val="left"/>
        <w:rPr>
          <w:rFonts w:ascii="方正仿宋_GBK" w:hAnsi="方正仿宋_GBK" w:eastAsia="方正仿宋_GBK" w:cs="方正仿宋_GBK"/>
          <w:color w:val="auto"/>
          <w:kern w:val="0"/>
          <w:sz w:val="28"/>
          <w:szCs w:val="28"/>
          <w:highlight w:val="none"/>
        </w:rPr>
      </w:pPr>
    </w:p>
    <w:p>
      <w:pPr>
        <w:widowControl/>
        <w:spacing w:before="100" w:beforeAutospacing="1" w:after="100" w:afterAutospacing="1" w:line="252" w:lineRule="atLeast"/>
        <w:jc w:val="left"/>
        <w:rPr>
          <w:rFonts w:ascii="方正仿宋_GBK" w:hAnsi="方正仿宋_GBK" w:eastAsia="方正仿宋_GBK" w:cs="方正仿宋_GBK"/>
          <w:color w:val="auto"/>
          <w:kern w:val="0"/>
          <w:sz w:val="28"/>
          <w:szCs w:val="28"/>
          <w:highlight w:val="none"/>
        </w:rPr>
      </w:pPr>
    </w:p>
    <w:p>
      <w:pPr>
        <w:widowControl/>
        <w:spacing w:before="100" w:beforeAutospacing="1" w:after="100" w:afterAutospacing="1" w:line="252" w:lineRule="atLeast"/>
        <w:jc w:val="center"/>
        <w:rPr>
          <w:rFonts w:ascii="方正小标宋_GBK" w:hAnsi="方正小标宋_GBK" w:eastAsia="方正仿宋_GBK" w:cs="方正小标宋_GBK"/>
          <w:b/>
          <w:bCs/>
          <w:color w:val="auto"/>
          <w:sz w:val="36"/>
          <w:szCs w:val="36"/>
          <w:highlight w:val="none"/>
        </w:rPr>
      </w:pPr>
      <w:r>
        <w:rPr>
          <w:rFonts w:hint="eastAsia" w:ascii="方正仿宋_GBK" w:hAnsi="方正仿宋_GBK" w:eastAsia="方正仿宋_GBK" w:cs="方正仿宋_GBK"/>
          <w:bCs/>
          <w:color w:val="auto"/>
          <w:kern w:val="0"/>
          <w:sz w:val="28"/>
          <w:szCs w:val="28"/>
          <w:highlight w:val="none"/>
        </w:rPr>
        <w:t xml:space="preserve">格式七 </w:t>
      </w:r>
      <w:r>
        <w:rPr>
          <w:rFonts w:hint="eastAsia" w:ascii="方正小标宋_GBK" w:hAnsi="方正小标宋_GBK" w:eastAsia="方正小标宋_GBK" w:cs="方正小标宋_GBK"/>
          <w:b/>
          <w:bCs/>
          <w:color w:val="auto"/>
          <w:sz w:val="36"/>
          <w:szCs w:val="36"/>
          <w:highlight w:val="none"/>
        </w:rPr>
        <w:t>报价部分</w:t>
      </w:r>
    </w:p>
    <w:p>
      <w:pPr>
        <w:widowControl/>
        <w:spacing w:before="100" w:beforeAutospacing="1" w:after="100" w:afterAutospacing="1" w:line="252" w:lineRule="atLeast"/>
        <w:jc w:val="left"/>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格式自拟</w:t>
      </w:r>
    </w:p>
    <w:p>
      <w:pPr>
        <w:widowControl/>
        <w:spacing w:before="100" w:beforeAutospacing="1" w:after="100" w:afterAutospacing="1" w:line="252" w:lineRule="atLeast"/>
        <w:jc w:val="center"/>
        <w:rPr>
          <w:rFonts w:ascii="方正仿宋_GBK" w:hAnsi="方正仿宋_GBK" w:eastAsia="方正仿宋_GBK" w:cs="方正仿宋_GBK"/>
          <w:b/>
          <w:color w:val="auto"/>
          <w:kern w:val="0"/>
          <w:sz w:val="28"/>
          <w:szCs w:val="28"/>
          <w:highlight w:val="none"/>
        </w:rPr>
      </w:pPr>
    </w:p>
    <w:p>
      <w:pPr>
        <w:widowControl/>
        <w:spacing w:before="100" w:beforeAutospacing="1" w:after="100" w:afterAutospacing="1" w:line="252" w:lineRule="atLeast"/>
        <w:jc w:val="center"/>
        <w:rPr>
          <w:rFonts w:ascii="方正仿宋_GBK" w:hAnsi="方正仿宋_GBK" w:eastAsia="方正仿宋_GBK" w:cs="方正仿宋_GBK"/>
          <w:b/>
          <w:color w:val="auto"/>
          <w:kern w:val="0"/>
          <w:sz w:val="28"/>
          <w:szCs w:val="28"/>
          <w:highlight w:val="none"/>
        </w:rPr>
      </w:pPr>
    </w:p>
    <w:p>
      <w:pPr>
        <w:widowControl/>
        <w:spacing w:before="100" w:beforeAutospacing="1" w:after="100" w:afterAutospacing="1" w:line="252" w:lineRule="atLeast"/>
        <w:jc w:val="center"/>
        <w:rPr>
          <w:rFonts w:ascii="方正仿宋_GBK" w:hAnsi="方正仿宋_GBK" w:eastAsia="方正仿宋_GBK" w:cs="方正仿宋_GBK"/>
          <w:b/>
          <w:color w:val="auto"/>
          <w:kern w:val="0"/>
          <w:sz w:val="28"/>
          <w:szCs w:val="28"/>
          <w:highlight w:val="none"/>
        </w:rPr>
      </w:pPr>
    </w:p>
    <w:p>
      <w:pPr>
        <w:widowControl/>
        <w:spacing w:before="100" w:beforeAutospacing="1" w:after="100" w:afterAutospacing="1" w:line="252" w:lineRule="atLeast"/>
        <w:jc w:val="center"/>
        <w:rPr>
          <w:rFonts w:ascii="方正仿宋_GBK" w:hAnsi="方正仿宋_GBK" w:eastAsia="方正仿宋_GBK" w:cs="方正仿宋_GBK"/>
          <w:b/>
          <w:color w:val="auto"/>
          <w:kern w:val="0"/>
          <w:sz w:val="28"/>
          <w:szCs w:val="28"/>
          <w:highlight w:val="none"/>
        </w:rPr>
      </w:pPr>
    </w:p>
    <w:p/>
    <w:p>
      <w:pPr>
        <w:pStyle w:val="2"/>
      </w:pPr>
    </w:p>
    <w:p>
      <w:pPr>
        <w:spacing w:line="541" w:lineRule="exact"/>
        <w:jc w:val="center"/>
        <w:rPr>
          <w:rFonts w:hint="eastAsia"/>
          <w:lang w:val="en-US" w:eastAsia="zh-CN"/>
        </w:rPr>
      </w:pPr>
    </w:p>
    <w:p>
      <w:pPr>
        <w:spacing w:line="541" w:lineRule="exact"/>
        <w:jc w:val="center"/>
        <w:rPr>
          <w:rFonts w:hint="eastAsia"/>
          <w:lang w:val="en-US" w:eastAsia="zh-CN"/>
        </w:rPr>
      </w:pPr>
    </w:p>
    <w:p>
      <w:pPr>
        <w:spacing w:line="541" w:lineRule="exact"/>
        <w:jc w:val="center"/>
        <w:rPr>
          <w:rFonts w:hint="eastAsia"/>
          <w:lang w:val="en-US" w:eastAsia="zh-CN"/>
        </w:rPr>
      </w:pPr>
    </w:p>
    <w:p>
      <w:pPr>
        <w:spacing w:line="541" w:lineRule="exact"/>
        <w:jc w:val="center"/>
        <w:rPr>
          <w:rFonts w:hint="eastAsia"/>
          <w:lang w:val="en-US" w:eastAsia="zh-CN"/>
        </w:rPr>
      </w:pPr>
    </w:p>
    <w:p>
      <w:pPr>
        <w:spacing w:line="541" w:lineRule="exact"/>
        <w:jc w:val="center"/>
        <w:rPr>
          <w:rFonts w:hint="eastAsia" w:ascii="方正小标宋_GBK" w:hAnsi="方正小标宋_GBK" w:eastAsia="方正小标宋_GBK" w:cs="方正小标宋_GBK"/>
          <w:b/>
          <w:bCs/>
          <w:color w:val="000000"/>
          <w:sz w:val="32"/>
          <w:szCs w:val="32"/>
        </w:rPr>
      </w:pPr>
      <w:r>
        <w:rPr>
          <w:rFonts w:hint="eastAsia"/>
          <w:lang w:val="en-US" w:eastAsia="zh-CN"/>
        </w:rPr>
        <w:t>附件1</w:t>
      </w:r>
      <w:r>
        <w:rPr>
          <w:rFonts w:hint="eastAsia" w:ascii="方正小标宋_GBK" w:hAnsi="方正小标宋_GBK" w:eastAsia="方正小标宋_GBK" w:cs="方正小标宋_GBK"/>
          <w:b/>
          <w:bCs/>
          <w:color w:val="000000"/>
          <w:sz w:val="32"/>
          <w:szCs w:val="32"/>
          <w:u w:val="single"/>
          <w:lang w:val="en-US" w:eastAsia="zh-CN"/>
        </w:rPr>
        <w:t>轨道2号线</w:t>
      </w:r>
      <w:r>
        <w:rPr>
          <w:rFonts w:hint="eastAsia" w:ascii="方正小标宋_GBK" w:hAnsi="方正小标宋_GBK" w:eastAsia="方正小标宋_GBK" w:cs="方正小标宋_GBK"/>
          <w:b/>
          <w:bCs/>
          <w:color w:val="000000"/>
          <w:sz w:val="32"/>
          <w:szCs w:val="32"/>
          <w:u w:val="single"/>
        </w:rPr>
        <w:t xml:space="preserve"> </w:t>
      </w:r>
      <w:r>
        <w:rPr>
          <w:rFonts w:hint="eastAsia" w:ascii="方正小标宋_GBK" w:hAnsi="方正小标宋_GBK" w:eastAsia="方正小标宋_GBK" w:cs="方正小标宋_GBK"/>
          <w:b/>
          <w:bCs/>
          <w:color w:val="000000"/>
          <w:sz w:val="32"/>
          <w:szCs w:val="32"/>
          <w:lang w:eastAsia="zh-CN"/>
        </w:rPr>
        <w:t>轨行区、沟渠池井</w:t>
      </w:r>
      <w:r>
        <w:rPr>
          <w:rFonts w:hint="eastAsia" w:ascii="方正小标宋_GBK" w:hAnsi="方正小标宋_GBK" w:eastAsia="方正小标宋_GBK" w:cs="方正小标宋_GBK"/>
          <w:b/>
          <w:bCs/>
          <w:color w:val="000000"/>
          <w:sz w:val="32"/>
          <w:szCs w:val="32"/>
        </w:rPr>
        <w:t>清掏</w:t>
      </w:r>
      <w:r>
        <w:rPr>
          <w:rFonts w:hint="eastAsia" w:ascii="方正小标宋_GBK" w:hAnsi="方正小标宋_GBK" w:eastAsia="方正小标宋_GBK" w:cs="方正小标宋_GBK"/>
          <w:b/>
          <w:bCs/>
          <w:color w:val="000000"/>
          <w:sz w:val="32"/>
          <w:szCs w:val="32"/>
          <w:lang w:val="en-US" w:eastAsia="zh-CN"/>
        </w:rPr>
        <w:t>冲洗及抽排</w:t>
      </w:r>
      <w:r>
        <w:rPr>
          <w:rFonts w:hint="eastAsia" w:ascii="方正小标宋_GBK" w:hAnsi="方正小标宋_GBK" w:eastAsia="方正小标宋_GBK" w:cs="方正小标宋_GBK"/>
          <w:b/>
          <w:bCs/>
          <w:color w:val="000000"/>
          <w:sz w:val="32"/>
          <w:szCs w:val="32"/>
        </w:rPr>
        <w:t>项目</w:t>
      </w:r>
    </w:p>
    <w:p>
      <w:pPr>
        <w:spacing w:line="541" w:lineRule="exact"/>
        <w:jc w:val="center"/>
        <w:rPr>
          <w:rFonts w:hint="eastAsia" w:ascii="方正小标宋_GBK" w:hAnsi="方正小标宋_GBK" w:eastAsia="方正小标宋_GBK" w:cs="方正小标宋_GBK"/>
          <w:color w:val="000000"/>
          <w:sz w:val="32"/>
          <w:szCs w:val="32"/>
        </w:rPr>
      </w:pPr>
      <w:r>
        <w:rPr>
          <w:rFonts w:hint="eastAsia" w:ascii="方正小标宋_GBK" w:hAnsi="方正小标宋_GBK" w:eastAsia="方正小标宋_GBK" w:cs="方正小标宋_GBK"/>
          <w:b/>
          <w:bCs/>
          <w:color w:val="000000"/>
          <w:sz w:val="32"/>
          <w:szCs w:val="32"/>
          <w:lang w:val="en-US" w:eastAsia="zh-CN"/>
        </w:rPr>
        <w:t>服务合同</w:t>
      </w:r>
    </w:p>
    <w:p>
      <w:pPr>
        <w:spacing w:line="560" w:lineRule="exact"/>
        <w:ind w:firstLine="480" w:firstLineChars="200"/>
        <w:rPr>
          <w:rFonts w:hint="eastAsia" w:asciiTheme="minorEastAsia" w:hAnsiTheme="minorEastAsia" w:cstheme="minorEastAsia"/>
          <w:color w:val="000000"/>
          <w:sz w:val="24"/>
          <w:szCs w:val="24"/>
        </w:rPr>
      </w:pPr>
    </w:p>
    <w:p>
      <w:pPr>
        <w:spacing w:line="560" w:lineRule="exact"/>
        <w:ind w:firstLine="480" w:firstLineChars="200"/>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cstheme="minorEastAsia"/>
          <w:color w:val="000000"/>
          <w:sz w:val="24"/>
          <w:szCs w:val="24"/>
        </w:rPr>
        <w:t>甲方：</w:t>
      </w:r>
      <w:r>
        <w:rPr>
          <w:rFonts w:hint="eastAsia" w:asciiTheme="minorEastAsia" w:hAnsiTheme="minorEastAsia" w:cstheme="minorEastAsia"/>
          <w:color w:val="000000"/>
          <w:sz w:val="24"/>
          <w:szCs w:val="24"/>
          <w:lang w:val="en-US" w:eastAsia="zh-CN"/>
        </w:rPr>
        <w:t>重庆通邑物业管理有限公司</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乙方：</w:t>
      </w:r>
    </w:p>
    <w:p>
      <w:pPr>
        <w:spacing w:line="560" w:lineRule="exact"/>
        <w:ind w:firstLine="480" w:firstLineChars="200"/>
        <w:rPr>
          <w:rFonts w:hint="eastAsia" w:asciiTheme="minorEastAsia" w:hAnsiTheme="minorEastAsia" w:cstheme="minorEastAsia"/>
          <w:color w:val="000000"/>
          <w:sz w:val="24"/>
          <w:szCs w:val="24"/>
        </w:rPr>
      </w:pPr>
    </w:p>
    <w:p>
      <w:pPr>
        <w:spacing w:line="560" w:lineRule="exact"/>
        <w:ind w:firstLine="480" w:firstLineChars="200"/>
        <w:rPr>
          <w:color w:val="000000"/>
          <w:sz w:val="26"/>
          <w:szCs w:val="26"/>
        </w:rPr>
      </w:pPr>
      <w:r>
        <w:rPr>
          <w:rFonts w:hint="eastAsia" w:asciiTheme="minorEastAsia" w:hAnsiTheme="minorEastAsia" w:cstheme="minorEastAsia"/>
          <w:color w:val="000000"/>
          <w:sz w:val="24"/>
          <w:szCs w:val="24"/>
        </w:rPr>
        <w:t>根据《中华人民共和国</w:t>
      </w:r>
      <w:r>
        <w:rPr>
          <w:rFonts w:hint="eastAsia" w:asciiTheme="minorEastAsia" w:hAnsiTheme="minorEastAsia" w:cstheme="minorEastAsia"/>
          <w:color w:val="000000"/>
          <w:sz w:val="24"/>
          <w:szCs w:val="24"/>
          <w:lang w:val="en-US" w:eastAsia="zh-CN"/>
        </w:rPr>
        <w:t>民法典</w:t>
      </w:r>
      <w:r>
        <w:rPr>
          <w:rFonts w:hint="eastAsia" w:asciiTheme="minorEastAsia" w:hAnsiTheme="minorEastAsia" w:cstheme="minorEastAsia"/>
          <w:color w:val="000000"/>
          <w:sz w:val="24"/>
          <w:szCs w:val="24"/>
        </w:rPr>
        <w:t>》等有关法律、法规的规定，在自愿、平等、协商一致的基础上，双方就</w:t>
      </w:r>
      <w:r>
        <w:rPr>
          <w:rFonts w:hint="eastAsia" w:asciiTheme="minorEastAsia" w:hAnsiTheme="minorEastAsia" w:cstheme="minorEastAsia"/>
          <w:color w:val="000000"/>
          <w:sz w:val="24"/>
          <w:szCs w:val="24"/>
          <w:lang w:val="en-US" w:eastAsia="zh-CN"/>
        </w:rPr>
        <w:t>轨道2号线</w:t>
      </w:r>
      <w:r>
        <w:rPr>
          <w:rFonts w:hint="eastAsia" w:asciiTheme="minorEastAsia" w:hAnsiTheme="minorEastAsia" w:cstheme="minorEastAsia"/>
          <w:color w:val="000000"/>
          <w:sz w:val="24"/>
          <w:szCs w:val="24"/>
          <w:lang w:eastAsia="zh-CN"/>
        </w:rPr>
        <w:t>轨行区、沟渠池井</w:t>
      </w:r>
      <w:r>
        <w:rPr>
          <w:rFonts w:hint="eastAsia" w:asciiTheme="minorEastAsia" w:hAnsiTheme="minorEastAsia" w:cstheme="minorEastAsia"/>
          <w:color w:val="000000"/>
          <w:sz w:val="24"/>
          <w:szCs w:val="24"/>
        </w:rPr>
        <w:t>清掏</w:t>
      </w:r>
      <w:r>
        <w:rPr>
          <w:rFonts w:hint="eastAsia" w:asciiTheme="minorEastAsia" w:hAnsiTheme="minorEastAsia" w:cstheme="minorEastAsia"/>
          <w:color w:val="000000"/>
          <w:sz w:val="24"/>
          <w:szCs w:val="24"/>
          <w:lang w:val="en-US" w:eastAsia="zh-CN"/>
        </w:rPr>
        <w:t>冲洗</w:t>
      </w:r>
      <w:r>
        <w:rPr>
          <w:rFonts w:hint="eastAsia" w:asciiTheme="minorEastAsia" w:hAnsiTheme="minorEastAsia" w:cstheme="minorEastAsia"/>
          <w:color w:val="000000"/>
          <w:sz w:val="24"/>
          <w:szCs w:val="24"/>
        </w:rPr>
        <w:t>及</w:t>
      </w:r>
      <w:r>
        <w:rPr>
          <w:rFonts w:hint="eastAsia" w:asciiTheme="minorEastAsia" w:hAnsiTheme="minorEastAsia" w:cstheme="minorEastAsia"/>
          <w:color w:val="000000"/>
          <w:sz w:val="24"/>
          <w:szCs w:val="24"/>
          <w:lang w:eastAsia="zh-CN"/>
        </w:rPr>
        <w:t>抽排</w:t>
      </w:r>
      <w:r>
        <w:rPr>
          <w:rFonts w:hint="eastAsia" w:asciiTheme="minorEastAsia" w:hAnsiTheme="minorEastAsia" w:cstheme="minorEastAsia"/>
          <w:color w:val="000000"/>
          <w:sz w:val="24"/>
          <w:szCs w:val="24"/>
        </w:rPr>
        <w:t>项目的实施事宜，订立本合同。</w:t>
      </w:r>
    </w:p>
    <w:p>
      <w:pPr>
        <w:numPr>
          <w:ilvl w:val="0"/>
          <w:numId w:val="0"/>
        </w:numPr>
        <w:spacing w:line="399" w:lineRule="exact"/>
        <w:ind w:firstLine="522" w:firstLineChars="200"/>
        <w:rPr>
          <w:color w:val="000000"/>
          <w:sz w:val="26"/>
          <w:szCs w:val="26"/>
        </w:rPr>
      </w:pPr>
      <w:r>
        <w:rPr>
          <w:rFonts w:hint="eastAsia"/>
          <w:b/>
          <w:bCs/>
          <w:color w:val="000000"/>
          <w:sz w:val="26"/>
          <w:szCs w:val="26"/>
          <w:lang w:val="en-US" w:eastAsia="zh-CN"/>
        </w:rPr>
        <w:t xml:space="preserve">第一章 </w:t>
      </w:r>
      <w:r>
        <w:rPr>
          <w:b/>
          <w:bCs/>
          <w:color w:val="000000"/>
          <w:sz w:val="26"/>
          <w:szCs w:val="26"/>
        </w:rPr>
        <w:t>服务范围及概况</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第一条 服务区域基本情况</w:t>
      </w:r>
    </w:p>
    <w:p>
      <w:pPr>
        <w:spacing w:line="560" w:lineRule="exact"/>
        <w:ind w:firstLine="480" w:firstLineChars="20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cstheme="minorEastAsia"/>
          <w:color w:val="000000"/>
          <w:sz w:val="24"/>
          <w:szCs w:val="24"/>
        </w:rPr>
        <w:t>服务区域名称：</w:t>
      </w:r>
      <w:r>
        <w:rPr>
          <w:rFonts w:hint="eastAsia" w:asciiTheme="minorEastAsia" w:hAnsiTheme="minorEastAsia" w:cstheme="minorEastAsia"/>
          <w:color w:val="000000"/>
          <w:sz w:val="24"/>
          <w:szCs w:val="24"/>
          <w:u w:val="none"/>
          <w:lang w:val="en-US" w:eastAsia="zh-CN"/>
        </w:rPr>
        <w:t>轨道2号线</w:t>
      </w:r>
      <w:r>
        <w:rPr>
          <w:rFonts w:hint="eastAsia" w:asciiTheme="minorEastAsia" w:hAnsiTheme="minorEastAsia" w:cstheme="minorEastAsia"/>
          <w:color w:val="000000"/>
          <w:sz w:val="24"/>
          <w:szCs w:val="24"/>
        </w:rPr>
        <w:t>路段</w:t>
      </w:r>
      <w:r>
        <w:rPr>
          <w:rFonts w:hint="eastAsia" w:asciiTheme="minorEastAsia" w:hAnsiTheme="minorEastAsia" w:cstheme="minorEastAsia"/>
          <w:color w:val="000000"/>
          <w:sz w:val="24"/>
          <w:szCs w:val="24"/>
          <w:lang w:eastAsia="zh-CN"/>
        </w:rPr>
        <w:t>。</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lang w:val="en-US" w:eastAsia="zh-CN"/>
        </w:rPr>
        <w:t>第二条  项目</w:t>
      </w:r>
      <w:r>
        <w:rPr>
          <w:rFonts w:hint="eastAsia" w:asciiTheme="minorEastAsia" w:hAnsiTheme="minorEastAsia" w:cstheme="minorEastAsia"/>
          <w:color w:val="000000"/>
          <w:sz w:val="24"/>
          <w:szCs w:val="24"/>
        </w:rPr>
        <w:t>概况：</w:t>
      </w:r>
    </w:p>
    <w:p>
      <w:pPr>
        <w:spacing w:line="560" w:lineRule="exact"/>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cstheme="minorEastAsia"/>
          <w:color w:val="000000"/>
          <w:sz w:val="24"/>
          <w:szCs w:val="24"/>
          <w:highlight w:val="none"/>
          <w:lang w:eastAsia="zh-CN"/>
        </w:rPr>
        <w:t>轨道</w:t>
      </w:r>
      <w:r>
        <w:rPr>
          <w:rFonts w:hint="eastAsia" w:asciiTheme="minorEastAsia" w:hAnsiTheme="minorEastAsia" w:eastAsiaTheme="minorEastAsia" w:cstheme="minorEastAsia"/>
          <w:color w:val="000000"/>
          <w:sz w:val="24"/>
          <w:szCs w:val="24"/>
          <w:highlight w:val="none"/>
        </w:rPr>
        <w:t>2号线沿线区间隧道（上下行，含辅助线、出入段线）内水沟、隧道底面及底面以上1米范围隧道壁、高架区段（道岔桥）的冲洗；沿线隧道及高架道岔桥排水沟、排水暗沟、排水管、落水管等排水设施的清掏、疏通、清掏物的清扫、人工转运（转运距离平均约1公里）；区间隧道排水设施清掏物通过装袋后，需10t的渣车二次转运至符合规定的渣场处理；排水暗沟及暗管疏通；区间轨行区路基段清洁卫生及杂草清除；区间雨棚及防抛网清洁卫生；区间边坡挡墙清洁卫生及杂草清除；区间垃圾二次转运及处置。</w:t>
      </w:r>
    </w:p>
    <w:p>
      <w:pPr>
        <w:spacing w:line="560" w:lineRule="exact"/>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 xml:space="preserve"> </w:t>
      </w:r>
      <w:r>
        <w:rPr>
          <w:rFonts w:hint="eastAsia" w:asciiTheme="minorEastAsia" w:hAnsiTheme="minorEastAsia" w:cstheme="minorEastAsia"/>
          <w:color w:val="000000"/>
          <w:sz w:val="24"/>
          <w:szCs w:val="24"/>
          <w:highlight w:val="none"/>
          <w:lang w:eastAsia="zh-CN"/>
        </w:rPr>
        <w:t>轨道</w:t>
      </w:r>
      <w:r>
        <w:rPr>
          <w:rFonts w:hint="eastAsia" w:asciiTheme="minorEastAsia" w:hAnsiTheme="minorEastAsia" w:eastAsiaTheme="minorEastAsia" w:cstheme="minorEastAsia"/>
          <w:color w:val="000000"/>
          <w:sz w:val="24"/>
          <w:szCs w:val="24"/>
          <w:highlight w:val="none"/>
        </w:rPr>
        <w:t>2号线 24 座车站较场口站至大江站所属车站、变电所包括但不限于：污水池、生化池清掏；未接入市政管网的生化池临时抽排；集水坑清掏；车站泵房清掏。包含但不限于揭板、清掏、疏通、检查、维护及清掏物外运至符合规定的渣场处理、弃倒及盖板复原等；乙方每月应对沿线车站、变电所生化池、污水池气体浓度检测一次，当月末前将数据报运营对口部门；所有的人员、机具、车辆运输、二次转运、污水处理等均由乙方自行组织予以实施，施工中必须做好防毒安全措施，人员下池必须检测沼气浓度，乙方在施工中应加强通风、防毒，防止人员中毒，按时、按量、按要求完成清掏、疏通、检查等工作。</w:t>
      </w:r>
    </w:p>
    <w:p>
      <w:pPr>
        <w:keepNext w:val="0"/>
        <w:keepLines w:val="0"/>
        <w:suppressLineNumbers w:val="0"/>
        <w:spacing w:before="0" w:beforeAutospacing="0" w:after="0" w:afterAutospacing="0" w:line="560" w:lineRule="exact"/>
        <w:ind w:left="0" w:right="0" w:firstLine="480" w:firstLineChars="200"/>
        <w:rPr>
          <w:rFonts w:hint="eastAsia" w:asciiTheme="minorEastAsia" w:hAnsiTheme="minorEastAsia" w:eastAsiaTheme="minorEastAsia" w:cstheme="minorEastAsia"/>
          <w:color w:val="000000"/>
          <w:sz w:val="24"/>
          <w:szCs w:val="24"/>
          <w:highlight w:val="none"/>
        </w:rPr>
      </w:pPr>
    </w:p>
    <w:p>
      <w:pPr>
        <w:spacing w:line="560" w:lineRule="exact"/>
        <w:ind w:firstLine="480" w:firstLineChars="200"/>
        <w:rPr>
          <w:rFonts w:hint="eastAsia" w:asciiTheme="minorEastAsia" w:hAnsiTheme="minorEastAsia" w:cstheme="minorEastAsia"/>
          <w:color w:val="000000"/>
          <w:sz w:val="24"/>
          <w:szCs w:val="24"/>
          <w:highlight w:val="none"/>
          <w:lang w:eastAsia="zh-CN"/>
        </w:rPr>
      </w:pPr>
      <w:r>
        <w:rPr>
          <w:rFonts w:hint="eastAsia" w:asciiTheme="minorEastAsia" w:hAnsiTheme="minorEastAsia" w:cstheme="minorEastAsia"/>
          <w:color w:val="000000"/>
          <w:sz w:val="24"/>
          <w:szCs w:val="24"/>
          <w:highlight w:val="none"/>
          <w:lang w:val="en-US" w:eastAsia="zh-CN"/>
        </w:rPr>
        <w:t>体量及暂定频率</w:t>
      </w:r>
      <w:r>
        <w:rPr>
          <w:rFonts w:hint="eastAsia" w:asciiTheme="minorEastAsia" w:hAnsiTheme="minorEastAsia" w:cstheme="minorEastAsia"/>
          <w:color w:val="000000"/>
          <w:sz w:val="24"/>
          <w:szCs w:val="24"/>
          <w:highlight w:val="none"/>
          <w:lang w:eastAsia="zh-CN"/>
        </w:rPr>
        <w:t>见附件3。</w:t>
      </w:r>
    </w:p>
    <w:p>
      <w:pPr>
        <w:spacing w:line="560" w:lineRule="exact"/>
        <w:ind w:firstLine="482" w:firstLineChars="200"/>
        <w:rPr>
          <w:rFonts w:hint="eastAsia" w:asciiTheme="minorEastAsia" w:hAnsiTheme="minorEastAsia" w:cstheme="minorEastAsia"/>
          <w:b/>
          <w:bCs/>
          <w:color w:val="000000"/>
          <w:sz w:val="24"/>
          <w:szCs w:val="24"/>
        </w:rPr>
      </w:pPr>
      <w:r>
        <w:rPr>
          <w:rFonts w:hint="eastAsia" w:asciiTheme="minorEastAsia" w:hAnsiTheme="minorEastAsia" w:cstheme="minorEastAsia"/>
          <w:b/>
          <w:bCs/>
          <w:color w:val="000000"/>
          <w:sz w:val="24"/>
          <w:szCs w:val="24"/>
        </w:rPr>
        <w:t>注：1．实际作业频率根据现场实际情况确定，最终结算工程量以实际完成工程量为准，</w:t>
      </w:r>
      <w:r>
        <w:rPr>
          <w:rFonts w:hint="eastAsia" w:asciiTheme="minorEastAsia" w:hAnsiTheme="minorEastAsia" w:cstheme="minorEastAsia"/>
          <w:b/>
          <w:bCs/>
          <w:color w:val="000000"/>
          <w:sz w:val="24"/>
          <w:szCs w:val="24"/>
          <w:lang w:eastAsia="zh-CN"/>
        </w:rPr>
        <w:t>附件3上</w:t>
      </w:r>
      <w:r>
        <w:rPr>
          <w:rFonts w:hint="eastAsia" w:asciiTheme="minorEastAsia" w:hAnsiTheme="minorEastAsia" w:cstheme="minorEastAsia"/>
          <w:b/>
          <w:bCs/>
          <w:color w:val="000000"/>
          <w:sz w:val="24"/>
          <w:szCs w:val="24"/>
        </w:rPr>
        <w:t>作业频率和工程量均为预估。</w:t>
      </w:r>
    </w:p>
    <w:p>
      <w:pPr>
        <w:spacing w:line="560" w:lineRule="exact"/>
        <w:ind w:firstLine="480" w:firstLineChars="200"/>
      </w:pPr>
      <w:r>
        <w:rPr>
          <w:rFonts w:hint="eastAsia" w:asciiTheme="minorEastAsia" w:hAnsiTheme="minorEastAsia" w:cstheme="minorEastAsia"/>
          <w:color w:val="000000"/>
          <w:sz w:val="24"/>
          <w:szCs w:val="24"/>
        </w:rPr>
        <w:t>第</w:t>
      </w:r>
      <w:r>
        <w:rPr>
          <w:rFonts w:hint="eastAsia" w:asciiTheme="minorEastAsia" w:hAnsiTheme="minorEastAsia" w:cstheme="minorEastAsia"/>
          <w:color w:val="000000"/>
          <w:sz w:val="24"/>
          <w:szCs w:val="24"/>
          <w:lang w:val="en-US"/>
        </w:rPr>
        <w:t>三</w:t>
      </w:r>
      <w:r>
        <w:rPr>
          <w:rFonts w:hint="eastAsia" w:asciiTheme="minorEastAsia" w:hAnsiTheme="minorEastAsia" w:cstheme="minorEastAsia"/>
          <w:color w:val="000000"/>
          <w:sz w:val="24"/>
          <w:szCs w:val="24"/>
        </w:rPr>
        <w:t>条 乙方提供服务的受益人为甲方使用人，甲乙双方均应对履行本合同承担相应的责任。</w:t>
      </w:r>
    </w:p>
    <w:p>
      <w:pPr>
        <w:numPr>
          <w:ilvl w:val="-1"/>
          <w:numId w:val="0"/>
        </w:numPr>
        <w:spacing w:line="399" w:lineRule="exact"/>
        <w:ind w:firstLine="562" w:firstLineChars="200"/>
        <w:rPr>
          <w:b/>
          <w:bCs/>
          <w:color w:val="000000"/>
          <w:sz w:val="28"/>
        </w:rPr>
      </w:pPr>
      <w:r>
        <w:rPr>
          <w:rFonts w:hint="eastAsia"/>
          <w:b/>
          <w:bCs/>
          <w:color w:val="000000"/>
          <w:sz w:val="28"/>
          <w:lang w:val="en-US" w:eastAsia="zh-CN"/>
        </w:rPr>
        <w:t xml:space="preserve">第二章 </w:t>
      </w:r>
      <w:r>
        <w:rPr>
          <w:b/>
          <w:bCs/>
          <w:color w:val="000000"/>
          <w:sz w:val="28"/>
        </w:rPr>
        <w:t>服务事项及要求</w:t>
      </w:r>
    </w:p>
    <w:p>
      <w:pPr>
        <w:spacing w:line="399" w:lineRule="exact"/>
        <w:ind w:firstLine="760"/>
        <w:rPr>
          <w:color w:val="000000"/>
          <w:sz w:val="26"/>
        </w:rPr>
      </w:pP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第四条 根据甲方委托要求，乙方提供服务的主要内容有：</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4.1服务要求：乙方负责承担隧道冲洗、车站和隧道的排水沟、泵房（含暗管）、排水暗沟及减振浮置板道床排水沟的淤泥、泥沙清掏、疏通，轨行区垃圾清扫、垃圾二次转运及车站、隧道垃圾清运工作，所有的人员、机具、车辆运输、二次转运等均由乙方自行组织予以实施，施工中必须做好安全防护措施。按时、按量、按要求完成冲洗、清掏、清扫、清运及二次转运等工作。必要时应积极参与排水设施相关的应急抢险工作，严格按照甲方要求，做到随叫随到。</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4.2服务周期：正常情况下，隧道排水沟和泵房及减振浮置板道床排水沟的清掏的工作周期原则上为每季度一次；隧道冲洗的工作周期原则上为每半年一次；隧道排水设施清掏垃圾清运及二次转运的工作周期原则上为每月一次，针对特殊情况可适当增加或减少作业频率，实际作业次数以甲方通知为准。</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4.3乙方作业时应遵守甲方的相关规定，不得影响轨道交通的正常运营，工作完成后及时清理现场，确保作业现场的清洁卫生。</w:t>
      </w:r>
    </w:p>
    <w:p/>
    <w:p/>
    <w:p>
      <w:pPr>
        <w:ind w:firstLine="562" w:firstLineChars="200"/>
        <w:rPr>
          <w:b/>
          <w:bCs/>
          <w:sz w:val="22"/>
        </w:rPr>
      </w:pPr>
      <w:r>
        <w:rPr>
          <w:b/>
          <w:bCs/>
          <w:color w:val="000000"/>
          <w:sz w:val="28"/>
        </w:rPr>
        <w:t>第三章 服务质量</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第五条</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乙方作业后质量应满足国家环境相关要求。其中，隧道排水沟清掏时：确保线路设施设备处于完好技术状态，具备正常行车条件；排水沟横截沟不应有大块硬物、塑料制品，泥沙或钙化物淤积厚度不高于1厘米，排水正常无堵塞现象；排水沟及联络通道无遗留物。</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隧道冲洗时：将道床内灰尘、淤泥、石子冲洗干净，不得残留任何杂物；冲洗完成后保证隧道壁无明显污渍，列车通行时无明显扬尘。</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轨行区垃圾清扫及处置时：清扫后的区域无明显垃圾、易燃物堆积；不得因垃圾堆积出现火情、异味等情况，影响车站的正常运营及轨道集团的对外形象。</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隧道排水设施清掏垃圾清运及二次转运时：将隧道排水设施清掏出的垃圾用编织袋装好封口，及时将编织袋转移至安全区域堆放，采取措施对易滚落的编织袋进行固定，确保堆放后的编织袋不影响列车的正常运行；隧道内堆放的清掏垃圾不得超过1个月，清掏垃圾转运至指定车场后必须在当日安排大型渣车进行二次转运。</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同时，乙方应</w:t>
      </w:r>
      <w:r>
        <w:rPr>
          <w:rFonts w:hint="eastAsia" w:asciiTheme="minorEastAsia" w:hAnsiTheme="minorEastAsia" w:cstheme="minorEastAsia"/>
          <w:color w:val="000000"/>
          <w:sz w:val="24"/>
          <w:szCs w:val="24"/>
          <w:lang w:val="en-US" w:eastAsia="zh-CN"/>
        </w:rPr>
        <w:t>于作业完成后</w:t>
      </w:r>
      <w:r>
        <w:rPr>
          <w:rFonts w:hint="eastAsia" w:asciiTheme="minorEastAsia" w:hAnsiTheme="minorEastAsia" w:cstheme="minorEastAsia"/>
          <w:color w:val="000000"/>
          <w:sz w:val="24"/>
          <w:szCs w:val="24"/>
        </w:rPr>
        <w:t>提供完善的</w:t>
      </w:r>
      <w:r>
        <w:rPr>
          <w:rFonts w:hint="eastAsia" w:asciiTheme="minorEastAsia" w:hAnsiTheme="minorEastAsia" w:cstheme="minorEastAsia"/>
          <w:color w:val="000000"/>
          <w:sz w:val="24"/>
          <w:szCs w:val="24"/>
          <w:lang w:val="en-US" w:eastAsia="zh-CN"/>
        </w:rPr>
        <w:t>验收</w:t>
      </w:r>
      <w:r>
        <w:rPr>
          <w:rFonts w:hint="eastAsia" w:asciiTheme="minorEastAsia" w:hAnsiTheme="minorEastAsia" w:cstheme="minorEastAsia"/>
          <w:color w:val="000000"/>
          <w:sz w:val="24"/>
          <w:szCs w:val="24"/>
        </w:rPr>
        <w:t>报告，甲方在验收报告上签字确认；作业中必须做好安全防护措施，应按时、按量、按要求完成合同约定工作，作业过程中应严格按照甲方的相关规定执行，不得影响甲方的正常运营及生产秩序。</w:t>
      </w:r>
    </w:p>
    <w:p>
      <w:pPr>
        <w:spacing w:line="396" w:lineRule="exact"/>
        <w:ind w:firstLine="760"/>
      </w:pPr>
    </w:p>
    <w:p>
      <w:pPr>
        <w:spacing w:line="396" w:lineRule="exact"/>
        <w:ind w:firstLine="620"/>
        <w:rPr>
          <w:b/>
          <w:bCs/>
          <w:sz w:val="22"/>
        </w:rPr>
      </w:pPr>
      <w:r>
        <w:rPr>
          <w:b/>
          <w:bCs/>
          <w:color w:val="000000"/>
          <w:sz w:val="28"/>
        </w:rPr>
        <w:t>第四章 服务费用</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 xml:space="preserve">第六条 </w:t>
      </w:r>
    </w:p>
    <w:p>
      <w:pPr>
        <w:spacing w:line="560" w:lineRule="exact"/>
        <w:ind w:left="0" w:leftChars="0"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本合同</w:t>
      </w:r>
      <w:r>
        <w:rPr>
          <w:rFonts w:hint="eastAsia" w:asciiTheme="minorEastAsia" w:hAnsiTheme="minorEastAsia" w:cstheme="minorEastAsia"/>
          <w:color w:val="000000"/>
          <w:sz w:val="24"/>
          <w:szCs w:val="24"/>
          <w:lang w:val="en-US" w:eastAsia="zh-CN"/>
        </w:rPr>
        <w:t>执行期</w:t>
      </w:r>
      <w:r>
        <w:rPr>
          <w:rFonts w:hint="eastAsia" w:asciiTheme="minorEastAsia" w:hAnsiTheme="minorEastAsia" w:cstheme="minorEastAsia"/>
          <w:color w:val="000000"/>
          <w:sz w:val="24"/>
          <w:szCs w:val="24"/>
        </w:rPr>
        <w:t>为</w:t>
      </w:r>
      <w:r>
        <w:rPr>
          <w:rFonts w:hint="eastAsia" w:asciiTheme="minorEastAsia" w:hAnsiTheme="minorEastAsia" w:cstheme="minorEastAsia"/>
          <w:color w:val="000000"/>
          <w:sz w:val="24"/>
          <w:szCs w:val="24"/>
          <w:lang w:val="en-US" w:eastAsia="zh-CN"/>
        </w:rPr>
        <w:t>一</w:t>
      </w:r>
      <w:r>
        <w:rPr>
          <w:rFonts w:hint="eastAsia" w:asciiTheme="minorEastAsia" w:hAnsiTheme="minorEastAsia" w:cstheme="minorEastAsia"/>
          <w:color w:val="000000"/>
          <w:sz w:val="24"/>
          <w:szCs w:val="24"/>
        </w:rPr>
        <w:t>年。</w:t>
      </w:r>
      <w:r>
        <w:rPr>
          <w:rFonts w:hint="eastAsia" w:asciiTheme="minorEastAsia" w:hAnsiTheme="minorEastAsia" w:cstheme="minorEastAsia"/>
          <w:color w:val="000000"/>
          <w:sz w:val="24"/>
          <w:szCs w:val="24"/>
          <w:lang w:val="en-US" w:eastAsia="zh-CN"/>
        </w:rPr>
        <w:t>合同含税总价为</w:t>
      </w:r>
      <w:r>
        <w:rPr>
          <w:rFonts w:hint="eastAsia" w:asciiTheme="minorEastAsia" w:hAnsiTheme="minorEastAsia" w:cstheme="minorEastAsia"/>
          <w:color w:val="000000"/>
          <w:sz w:val="24"/>
          <w:szCs w:val="24"/>
          <w:u w:val="none"/>
          <w:lang w:val="en-US" w:eastAsia="zh-CN"/>
        </w:rPr>
        <w:t>【      】</w:t>
      </w:r>
      <w:r>
        <w:rPr>
          <w:rFonts w:hint="eastAsia" w:asciiTheme="minorEastAsia" w:hAnsiTheme="minorEastAsia" w:cstheme="minorEastAsia"/>
          <w:color w:val="000000"/>
          <w:sz w:val="24"/>
          <w:szCs w:val="24"/>
        </w:rPr>
        <w:t>（</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cstheme="minorEastAsia"/>
          <w:color w:val="000000"/>
          <w:sz w:val="24"/>
          <w:szCs w:val="24"/>
        </w:rPr>
        <w:t>小写：元）</w:t>
      </w:r>
      <w:r>
        <w:rPr>
          <w:rFonts w:hint="eastAsia" w:asciiTheme="minorEastAsia" w:hAnsiTheme="minorEastAsia" w:cstheme="minorEastAsia"/>
          <w:color w:val="000000"/>
          <w:sz w:val="24"/>
          <w:szCs w:val="24"/>
          <w:lang w:eastAsia="zh-CN"/>
        </w:rPr>
        <w:t>，</w:t>
      </w:r>
      <w:r>
        <w:rPr>
          <w:rFonts w:hint="eastAsia" w:asciiTheme="minorEastAsia" w:hAnsiTheme="minorEastAsia" w:cstheme="minorEastAsia"/>
          <w:color w:val="000000"/>
          <w:sz w:val="24"/>
          <w:szCs w:val="24"/>
          <w:lang w:val="en-US" w:eastAsia="zh-CN"/>
        </w:rPr>
        <w:t>合同不含税总价为</w:t>
      </w:r>
      <w:r>
        <w:rPr>
          <w:rFonts w:hint="eastAsia" w:asciiTheme="minorEastAsia" w:hAnsiTheme="minorEastAsia" w:cstheme="minorEastAsia"/>
          <w:color w:val="000000"/>
          <w:sz w:val="24"/>
          <w:szCs w:val="24"/>
          <w:u w:val="none"/>
          <w:lang w:val="en-US" w:eastAsia="zh-CN"/>
        </w:rPr>
        <w:t>【      】</w:t>
      </w:r>
      <w:r>
        <w:rPr>
          <w:rFonts w:hint="eastAsia" w:asciiTheme="minorEastAsia" w:hAnsiTheme="minorEastAsia" w:cstheme="minorEastAsia"/>
          <w:color w:val="000000"/>
          <w:sz w:val="24"/>
          <w:szCs w:val="24"/>
        </w:rPr>
        <w:t>（</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cstheme="minorEastAsia"/>
          <w:color w:val="000000"/>
          <w:sz w:val="24"/>
          <w:szCs w:val="24"/>
        </w:rPr>
        <w:t>小写：元）。最终以甲方审核确认的实际完成工程量乘以对应</w:t>
      </w:r>
      <w:r>
        <w:rPr>
          <w:rFonts w:hint="eastAsia" w:asciiTheme="minorEastAsia" w:hAnsiTheme="minorEastAsia" w:cstheme="minorEastAsia"/>
          <w:color w:val="000000"/>
          <w:sz w:val="24"/>
          <w:szCs w:val="24"/>
          <w:lang w:val="en-US" w:eastAsia="zh-CN"/>
        </w:rPr>
        <w:t>单</w:t>
      </w:r>
      <w:r>
        <w:rPr>
          <w:rFonts w:hint="eastAsia" w:asciiTheme="minorEastAsia" w:hAnsiTheme="minorEastAsia" w:cstheme="minorEastAsia"/>
          <w:color w:val="000000"/>
          <w:sz w:val="24"/>
          <w:szCs w:val="24"/>
        </w:rPr>
        <w:t>价据实结算</w:t>
      </w:r>
      <w:r>
        <w:rPr>
          <w:rFonts w:hint="eastAsia" w:asciiTheme="minorEastAsia" w:hAnsiTheme="minorEastAsia" w:cstheme="minorEastAsia"/>
          <w:color w:val="000000"/>
          <w:sz w:val="24"/>
          <w:szCs w:val="24"/>
          <w:lang w:eastAsia="zh-CN"/>
        </w:rPr>
        <w:t>（单项价格见附件</w:t>
      </w:r>
      <w:r>
        <w:rPr>
          <w:rFonts w:hint="eastAsia" w:asciiTheme="minorEastAsia" w:hAnsiTheme="minorEastAsia" w:cstheme="minorEastAsia"/>
          <w:color w:val="000000"/>
          <w:sz w:val="24"/>
          <w:szCs w:val="24"/>
          <w:lang w:val="en-US" w:eastAsia="zh-CN"/>
        </w:rPr>
        <w:t>3</w:t>
      </w:r>
      <w:r>
        <w:rPr>
          <w:rFonts w:hint="eastAsia" w:asciiTheme="minorEastAsia" w:hAnsiTheme="minorEastAsia" w:cstheme="minorEastAsia"/>
          <w:color w:val="000000"/>
          <w:sz w:val="24"/>
          <w:szCs w:val="24"/>
          <w:lang w:eastAsia="zh-CN"/>
        </w:rPr>
        <w:t>）</w:t>
      </w:r>
      <w:r>
        <w:rPr>
          <w:rFonts w:hint="eastAsia" w:asciiTheme="minorEastAsia" w:hAnsiTheme="minorEastAsia" w:cstheme="minorEastAsia"/>
          <w:color w:val="000000"/>
          <w:sz w:val="24"/>
          <w:szCs w:val="24"/>
        </w:rPr>
        <w:t>。</w:t>
      </w:r>
    </w:p>
    <w:p>
      <w:pPr>
        <w:spacing w:line="560" w:lineRule="exact"/>
        <w:ind w:firstLine="480" w:firstLineChars="200"/>
        <w:rPr>
          <w:rFonts w:hint="eastAsia" w:asciiTheme="minorEastAsia" w:hAnsiTheme="minorEastAsia" w:cstheme="minorEastAsia"/>
          <w:b w:val="0"/>
          <w:bCs w:val="0"/>
          <w:color w:val="000000"/>
          <w:sz w:val="24"/>
          <w:szCs w:val="24"/>
        </w:rPr>
      </w:pPr>
      <w:r>
        <w:rPr>
          <w:rFonts w:hint="eastAsia" w:asciiTheme="minorEastAsia" w:hAnsiTheme="minorEastAsia" w:cstheme="minorEastAsia"/>
          <w:b w:val="0"/>
          <w:bCs w:val="0"/>
          <w:color w:val="000000"/>
          <w:sz w:val="24"/>
          <w:szCs w:val="24"/>
        </w:rPr>
        <w:t>第七条 服务费用支付方式</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7.1</w:t>
      </w:r>
      <w:r>
        <w:rPr>
          <w:rFonts w:hint="eastAsia" w:asciiTheme="minorEastAsia" w:hAnsiTheme="minorEastAsia" w:cstheme="minorEastAsia"/>
          <w:color w:val="000000"/>
          <w:sz w:val="24"/>
          <w:szCs w:val="24"/>
          <w:lang w:val="en-US" w:eastAsia="zh-CN"/>
        </w:rPr>
        <w:t>付款方式：按次结算，通过转账方式付款。</w:t>
      </w:r>
      <w:r>
        <w:rPr>
          <w:rFonts w:hint="eastAsia" w:asciiTheme="minorEastAsia" w:hAnsiTheme="minorEastAsia" w:cstheme="minorEastAsia"/>
          <w:color w:val="000000"/>
          <w:sz w:val="24"/>
          <w:szCs w:val="24"/>
          <w:lang w:eastAsia="zh-CN"/>
        </w:rPr>
        <w:t>每次</w:t>
      </w:r>
      <w:r>
        <w:rPr>
          <w:rFonts w:hint="eastAsia" w:asciiTheme="minorEastAsia" w:hAnsiTheme="minorEastAsia" w:cstheme="minorEastAsia"/>
          <w:color w:val="000000"/>
          <w:sz w:val="24"/>
          <w:szCs w:val="24"/>
          <w:lang w:val="en-US" w:eastAsia="zh-CN"/>
        </w:rPr>
        <w:t>应付金额计算方式为</w:t>
      </w:r>
      <w:r>
        <w:rPr>
          <w:rFonts w:hint="eastAsia" w:asciiTheme="minorEastAsia" w:hAnsiTheme="minorEastAsia" w:cstheme="minorEastAsia"/>
          <w:color w:val="000000"/>
          <w:sz w:val="24"/>
          <w:szCs w:val="24"/>
        </w:rPr>
        <w:t>甲方验收确认的</w:t>
      </w:r>
      <w:r>
        <w:rPr>
          <w:rFonts w:hint="eastAsia" w:asciiTheme="minorEastAsia" w:hAnsiTheme="minorEastAsia" w:cstheme="minorEastAsia"/>
          <w:color w:val="000000"/>
          <w:sz w:val="24"/>
          <w:szCs w:val="24"/>
          <w:lang w:eastAsia="zh-CN"/>
        </w:rPr>
        <w:t>单项</w:t>
      </w:r>
      <w:r>
        <w:rPr>
          <w:rFonts w:hint="eastAsia" w:asciiTheme="minorEastAsia" w:hAnsiTheme="minorEastAsia" w:cstheme="minorEastAsia"/>
          <w:color w:val="000000"/>
          <w:sz w:val="24"/>
          <w:szCs w:val="24"/>
        </w:rPr>
        <w:t>实际工程量乘以单价</w:t>
      </w:r>
      <w:r>
        <w:rPr>
          <w:rFonts w:hint="eastAsia" w:asciiTheme="minorEastAsia" w:hAnsiTheme="minorEastAsia" w:cstheme="minorEastAsia"/>
          <w:color w:val="000000"/>
          <w:sz w:val="24"/>
          <w:szCs w:val="24"/>
          <w:lang w:eastAsia="zh-CN"/>
        </w:rPr>
        <w:t>之和</w:t>
      </w:r>
      <w:r>
        <w:rPr>
          <w:rFonts w:hint="eastAsia" w:asciiTheme="minorEastAsia" w:hAnsiTheme="minorEastAsia" w:cstheme="minorEastAsia"/>
          <w:color w:val="000000"/>
          <w:sz w:val="24"/>
          <w:szCs w:val="24"/>
        </w:rPr>
        <w:t>。乙方应向甲方提交支付申请，并提供符合甲方要求的、合法</w:t>
      </w:r>
      <w:r>
        <w:rPr>
          <w:rFonts w:hint="eastAsia" w:asciiTheme="minorEastAsia" w:hAnsiTheme="minorEastAsia" w:cstheme="minorEastAsia"/>
          <w:color w:val="000000"/>
          <w:sz w:val="24"/>
          <w:szCs w:val="24"/>
          <w:lang w:val="en-US" w:eastAsia="zh-CN"/>
        </w:rPr>
        <w:t>等额</w:t>
      </w:r>
      <w:r>
        <w:rPr>
          <w:rFonts w:hint="eastAsia" w:asciiTheme="minorEastAsia" w:hAnsiTheme="minorEastAsia" w:cstheme="minorEastAsia"/>
          <w:color w:val="000000"/>
          <w:sz w:val="24"/>
          <w:szCs w:val="24"/>
        </w:rPr>
        <w:t>增值税专用发票，如乙方未提交发票的，甲方有权推迟付款直至乙方提交符合甲方要求的、合法</w:t>
      </w:r>
      <w:r>
        <w:rPr>
          <w:rFonts w:hint="eastAsia" w:asciiTheme="minorEastAsia" w:hAnsiTheme="minorEastAsia" w:cstheme="minorEastAsia"/>
          <w:color w:val="000000"/>
          <w:sz w:val="24"/>
          <w:szCs w:val="24"/>
          <w:lang w:val="en-US" w:eastAsia="zh-CN"/>
        </w:rPr>
        <w:t>等额</w:t>
      </w:r>
      <w:r>
        <w:rPr>
          <w:rFonts w:hint="eastAsia" w:asciiTheme="minorEastAsia" w:hAnsiTheme="minorEastAsia" w:cstheme="minorEastAsia"/>
          <w:color w:val="000000"/>
          <w:sz w:val="24"/>
          <w:szCs w:val="24"/>
        </w:rPr>
        <w:t>增值税专用发票，且无需承担违约责任。本合同执行过程</w:t>
      </w:r>
      <w:r>
        <w:rPr>
          <w:rFonts w:hint="eastAsia" w:asciiTheme="minorEastAsia" w:hAnsiTheme="minorEastAsia" w:cstheme="minorEastAsia"/>
          <w:color w:val="000000"/>
          <w:sz w:val="24"/>
          <w:szCs w:val="24"/>
          <w:lang w:val="en-US" w:eastAsia="zh-CN"/>
        </w:rPr>
        <w:t>中</w:t>
      </w:r>
      <w:r>
        <w:rPr>
          <w:rFonts w:hint="eastAsia" w:asciiTheme="minorEastAsia" w:hAnsiTheme="minorEastAsia" w:cstheme="minorEastAsia"/>
          <w:color w:val="000000"/>
          <w:sz w:val="24"/>
          <w:szCs w:val="24"/>
        </w:rPr>
        <w:t>，所有</w:t>
      </w:r>
      <w:r>
        <w:rPr>
          <w:rFonts w:hint="eastAsia" w:asciiTheme="minorEastAsia" w:hAnsiTheme="minorEastAsia" w:cstheme="minorEastAsia"/>
          <w:color w:val="000000"/>
          <w:sz w:val="24"/>
          <w:szCs w:val="24"/>
          <w:lang w:val="en-US" w:eastAsia="zh-CN"/>
        </w:rPr>
        <w:t>的</w:t>
      </w:r>
      <w:r>
        <w:rPr>
          <w:rFonts w:hint="eastAsia" w:asciiTheme="minorEastAsia" w:hAnsiTheme="minorEastAsia" w:cstheme="minorEastAsia"/>
          <w:color w:val="000000"/>
          <w:sz w:val="24"/>
          <w:szCs w:val="24"/>
        </w:rPr>
        <w:t>考核、记录表单、事件处理书面文书须经双方代表签字认可，作为款项结算支付的依据。</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7.</w:t>
      </w:r>
      <w:r>
        <w:rPr>
          <w:rFonts w:hint="eastAsia" w:asciiTheme="minorEastAsia" w:hAnsiTheme="minorEastAsia" w:cstheme="minorEastAsia"/>
          <w:color w:val="000000"/>
          <w:sz w:val="24"/>
          <w:szCs w:val="24"/>
          <w:lang w:val="en-US" w:eastAsia="zh-CN"/>
        </w:rPr>
        <w:t>2</w:t>
      </w:r>
      <w:r>
        <w:rPr>
          <w:rFonts w:hint="eastAsia" w:asciiTheme="minorEastAsia" w:hAnsiTheme="minorEastAsia" w:cstheme="minorEastAsia"/>
          <w:color w:val="000000"/>
          <w:sz w:val="24"/>
          <w:szCs w:val="24"/>
        </w:rPr>
        <w:t>甲方开票信息及账户：</w:t>
      </w:r>
    </w:p>
    <w:p>
      <w:pPr>
        <w:keepNext w:val="0"/>
        <w:keepLines w:val="0"/>
        <w:pageBreakBefore w:val="0"/>
        <w:kinsoku/>
        <w:wordWrap/>
        <w:overflowPunct/>
        <w:topLinePunct w:val="0"/>
        <w:autoSpaceDE/>
        <w:autoSpaceDN/>
        <w:bidi w:val="0"/>
        <w:spacing w:line="560" w:lineRule="exact"/>
        <w:ind w:firstLine="760" w:firstLineChars="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公司名称</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eastAsia="zh-CN"/>
        </w:rPr>
        <w:t>重庆通邑物业管理有限公司</w:t>
      </w:r>
    </w:p>
    <w:p>
      <w:pPr>
        <w:keepNext w:val="0"/>
        <w:keepLines w:val="0"/>
        <w:pageBreakBefore w:val="0"/>
        <w:kinsoku/>
        <w:wordWrap/>
        <w:overflowPunct/>
        <w:topLinePunct w:val="0"/>
        <w:autoSpaceDE/>
        <w:autoSpaceDN/>
        <w:bidi w:val="0"/>
        <w:spacing w:line="560" w:lineRule="exact"/>
        <w:ind w:firstLine="760" w:firstLineChars="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社会信用代码：915000003460632872</w:t>
      </w:r>
    </w:p>
    <w:p>
      <w:pPr>
        <w:keepNext w:val="0"/>
        <w:keepLines w:val="0"/>
        <w:pageBreakBefore w:val="0"/>
        <w:kinsoku/>
        <w:wordWrap/>
        <w:overflowPunct/>
        <w:topLinePunct w:val="0"/>
        <w:autoSpaceDE/>
        <w:autoSpaceDN/>
        <w:bidi w:val="0"/>
        <w:spacing w:line="560" w:lineRule="exact"/>
        <w:ind w:firstLine="760" w:firstLineChars="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银行账号：</w:t>
      </w:r>
      <w:r>
        <w:rPr>
          <w:rFonts w:hint="eastAsia" w:asciiTheme="minorEastAsia" w:hAnsiTheme="minorEastAsia" w:eastAsiaTheme="minorEastAsia" w:cstheme="minorEastAsia"/>
          <w:color w:val="000000"/>
          <w:sz w:val="24"/>
          <w:szCs w:val="24"/>
          <w:lang w:val="en-US" w:eastAsia="zh-CN"/>
        </w:rPr>
        <w:t>695138171</w:t>
      </w:r>
    </w:p>
    <w:p>
      <w:pPr>
        <w:keepNext w:val="0"/>
        <w:keepLines w:val="0"/>
        <w:pageBreakBefore w:val="0"/>
        <w:kinsoku/>
        <w:wordWrap/>
        <w:overflowPunct/>
        <w:topLinePunct w:val="0"/>
        <w:autoSpaceDE/>
        <w:autoSpaceDN/>
        <w:bidi w:val="0"/>
        <w:spacing w:line="560" w:lineRule="exact"/>
        <w:ind w:firstLine="760" w:firstLineChars="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开户银行：</w:t>
      </w:r>
      <w:r>
        <w:rPr>
          <w:rFonts w:hint="eastAsia" w:asciiTheme="minorEastAsia" w:hAnsiTheme="minorEastAsia" w:eastAsiaTheme="minorEastAsia" w:cstheme="minorEastAsia"/>
          <w:color w:val="000000"/>
          <w:sz w:val="24"/>
          <w:szCs w:val="24"/>
          <w:lang w:eastAsia="zh-CN"/>
        </w:rPr>
        <w:t>民生银行南坪支行</w:t>
      </w:r>
      <w:r>
        <w:rPr>
          <w:rFonts w:hint="eastAsia" w:asciiTheme="minorEastAsia" w:hAnsiTheme="minorEastAsia" w:eastAsiaTheme="minorEastAsia" w:cstheme="minorEastAsia"/>
          <w:color w:val="000000"/>
          <w:sz w:val="24"/>
          <w:szCs w:val="24"/>
        </w:rPr>
        <w:t xml:space="preserve"> </w:t>
      </w:r>
    </w:p>
    <w:p>
      <w:pPr>
        <w:keepNext w:val="0"/>
        <w:keepLines w:val="0"/>
        <w:pageBreakBefore w:val="0"/>
        <w:kinsoku/>
        <w:wordWrap/>
        <w:overflowPunct/>
        <w:topLinePunct w:val="0"/>
        <w:autoSpaceDE/>
        <w:autoSpaceDN/>
        <w:bidi w:val="0"/>
        <w:spacing w:line="560" w:lineRule="exact"/>
        <w:ind w:firstLine="760" w:firstLineChars="0"/>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公司地址及电话：重庆市南岸区腾龙大道58号，023-61751773</w:t>
      </w:r>
    </w:p>
    <w:p>
      <w:pPr>
        <w:spacing w:line="560" w:lineRule="exact"/>
        <w:ind w:firstLine="760" w:firstLineChars="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7.</w:t>
      </w:r>
      <w:r>
        <w:rPr>
          <w:rFonts w:hint="eastAsia" w:asciiTheme="minorEastAsia" w:hAnsiTheme="minorEastAsia" w:cstheme="minorEastAsia"/>
          <w:color w:val="000000"/>
          <w:sz w:val="24"/>
          <w:szCs w:val="24"/>
          <w:lang w:val="en-US" w:eastAsia="zh-CN"/>
        </w:rPr>
        <w:t>3</w:t>
      </w:r>
      <w:r>
        <w:rPr>
          <w:rFonts w:hint="eastAsia" w:asciiTheme="minorEastAsia" w:hAnsiTheme="minorEastAsia" w:cstheme="minorEastAsia"/>
          <w:color w:val="000000"/>
          <w:sz w:val="24"/>
          <w:szCs w:val="24"/>
        </w:rPr>
        <w:t>乙方指定收款账户：</w:t>
      </w:r>
    </w:p>
    <w:p>
      <w:pPr>
        <w:keepNext w:val="0"/>
        <w:keepLines w:val="0"/>
        <w:pageBreakBefore w:val="0"/>
        <w:kinsoku/>
        <w:wordWrap/>
        <w:overflowPunct/>
        <w:topLinePunct w:val="0"/>
        <w:autoSpaceDE/>
        <w:autoSpaceDN/>
        <w:bidi w:val="0"/>
        <w:spacing w:line="560" w:lineRule="exact"/>
        <w:ind w:firstLine="760" w:firstLineChars="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公司名称</w:t>
      </w:r>
      <w:r>
        <w:rPr>
          <w:rFonts w:hint="eastAsia" w:asciiTheme="minorEastAsia" w:hAnsiTheme="minorEastAsia" w:eastAsiaTheme="minorEastAsia" w:cstheme="minorEastAsia"/>
          <w:color w:val="000000"/>
          <w:sz w:val="24"/>
          <w:szCs w:val="24"/>
        </w:rPr>
        <w:t>：</w:t>
      </w:r>
    </w:p>
    <w:p>
      <w:pPr>
        <w:keepNext w:val="0"/>
        <w:keepLines w:val="0"/>
        <w:pageBreakBefore w:val="0"/>
        <w:kinsoku/>
        <w:wordWrap/>
        <w:overflowPunct/>
        <w:topLinePunct w:val="0"/>
        <w:autoSpaceDE/>
        <w:autoSpaceDN/>
        <w:bidi w:val="0"/>
        <w:spacing w:line="560" w:lineRule="exact"/>
        <w:ind w:firstLine="760" w:firstLineChars="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社会信用代码：</w:t>
      </w:r>
    </w:p>
    <w:p>
      <w:pPr>
        <w:keepNext w:val="0"/>
        <w:keepLines w:val="0"/>
        <w:pageBreakBefore w:val="0"/>
        <w:kinsoku/>
        <w:wordWrap/>
        <w:overflowPunct/>
        <w:topLinePunct w:val="0"/>
        <w:autoSpaceDE/>
        <w:autoSpaceDN/>
        <w:bidi w:val="0"/>
        <w:spacing w:line="560" w:lineRule="exact"/>
        <w:ind w:firstLine="760" w:firstLineChars="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银行账号：</w:t>
      </w:r>
    </w:p>
    <w:p>
      <w:pPr>
        <w:keepNext w:val="0"/>
        <w:keepLines w:val="0"/>
        <w:pageBreakBefore w:val="0"/>
        <w:kinsoku/>
        <w:wordWrap/>
        <w:overflowPunct/>
        <w:topLinePunct w:val="0"/>
        <w:autoSpaceDE/>
        <w:autoSpaceDN/>
        <w:bidi w:val="0"/>
        <w:spacing w:line="560" w:lineRule="exact"/>
        <w:ind w:firstLine="760" w:firstLineChars="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开户银行： </w:t>
      </w:r>
    </w:p>
    <w:p>
      <w:pPr>
        <w:spacing w:line="560" w:lineRule="exact"/>
        <w:ind w:firstLine="760" w:firstLineChars="0"/>
        <w:rPr>
          <w:rFonts w:hint="eastAsia" w:asciiTheme="minorEastAsia" w:hAnsi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公司地址及电话：</w:t>
      </w:r>
    </w:p>
    <w:p>
      <w:pPr>
        <w:spacing w:line="560" w:lineRule="exact"/>
        <w:ind w:firstLine="76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第八条 履约担保</w:t>
      </w:r>
    </w:p>
    <w:p>
      <w:pPr>
        <w:spacing w:line="560" w:lineRule="exact"/>
        <w:ind w:firstLine="480" w:firstLineChars="200"/>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cstheme="minorEastAsia"/>
          <w:color w:val="000000"/>
          <w:sz w:val="24"/>
          <w:szCs w:val="24"/>
          <w:lang w:val="en-US" w:eastAsia="zh-CN"/>
        </w:rPr>
        <w:t>8.1</w:t>
      </w:r>
      <w:r>
        <w:rPr>
          <w:rFonts w:hint="eastAsia" w:asciiTheme="minorEastAsia" w:hAnsiTheme="minorEastAsia" w:eastAsiaTheme="minorEastAsia" w:cstheme="minorEastAsia"/>
          <w:bCs w:val="0"/>
          <w:color w:val="000000"/>
          <w:sz w:val="24"/>
          <w:szCs w:val="24"/>
        </w:rPr>
        <w:t>履约保证金</w:t>
      </w:r>
      <w:r>
        <w:rPr>
          <w:rFonts w:hint="eastAsia" w:asciiTheme="minorEastAsia" w:hAnsiTheme="minorEastAsia" w:eastAsiaTheme="minorEastAsia" w:cstheme="minorEastAsia"/>
          <w:bCs w:val="0"/>
          <w:color w:val="000000"/>
          <w:sz w:val="24"/>
          <w:szCs w:val="24"/>
          <w:u w:val="none"/>
        </w:rPr>
        <w:t>￥</w:t>
      </w:r>
      <w:r>
        <w:rPr>
          <w:rFonts w:hint="eastAsia" w:asciiTheme="minorEastAsia" w:hAnsiTheme="minorEastAsia" w:eastAsiaTheme="minorEastAsia" w:cstheme="minorEastAsia"/>
          <w:bCs w:val="0"/>
          <w:color w:val="000000"/>
          <w:sz w:val="24"/>
          <w:szCs w:val="24"/>
          <w:u w:val="none"/>
          <w:lang w:val="en-US" w:eastAsia="zh-CN"/>
        </w:rPr>
        <w:t>5</w:t>
      </w:r>
      <w:r>
        <w:rPr>
          <w:rFonts w:hint="eastAsia" w:asciiTheme="minorEastAsia" w:hAnsiTheme="minorEastAsia" w:eastAsiaTheme="minorEastAsia" w:cstheme="minorEastAsia"/>
          <w:bCs w:val="0"/>
          <w:color w:val="000000"/>
          <w:sz w:val="24"/>
          <w:szCs w:val="24"/>
          <w:u w:val="none"/>
        </w:rPr>
        <w:t>0000元（</w:t>
      </w:r>
      <w:r>
        <w:rPr>
          <w:rFonts w:hint="eastAsia" w:asciiTheme="minorEastAsia" w:hAnsiTheme="minorEastAsia" w:eastAsiaTheme="minorEastAsia" w:cstheme="minorEastAsia"/>
          <w:bCs w:val="0"/>
          <w:color w:val="000000"/>
          <w:sz w:val="24"/>
          <w:szCs w:val="24"/>
        </w:rPr>
        <w:t>大写：</w:t>
      </w:r>
      <w:r>
        <w:rPr>
          <w:rFonts w:hint="eastAsia" w:asciiTheme="minorEastAsia" w:hAnsiTheme="minorEastAsia" w:eastAsiaTheme="minorEastAsia" w:cstheme="minorEastAsia"/>
          <w:bCs w:val="0"/>
          <w:color w:val="000000"/>
          <w:sz w:val="24"/>
          <w:szCs w:val="24"/>
          <w:lang w:eastAsia="zh-CN"/>
        </w:rPr>
        <w:t>伍</w:t>
      </w:r>
      <w:r>
        <w:rPr>
          <w:rFonts w:hint="eastAsia" w:asciiTheme="minorEastAsia" w:hAnsiTheme="minorEastAsia" w:eastAsiaTheme="minorEastAsia" w:cstheme="minorEastAsia"/>
          <w:bCs w:val="0"/>
          <w:color w:val="000000"/>
          <w:sz w:val="24"/>
          <w:szCs w:val="24"/>
        </w:rPr>
        <w:t>万元整）。乙方的比选保证金直接转为履约保证金。甲方开具等额的收款收据给乙方，该履约保证金由甲方无息保管。</w:t>
      </w:r>
      <w:r>
        <w:rPr>
          <w:rFonts w:hint="eastAsia" w:asciiTheme="minorEastAsia" w:hAnsiTheme="minorEastAsia" w:cstheme="minorEastAsia"/>
          <w:color w:val="000000"/>
          <w:sz w:val="24"/>
          <w:szCs w:val="24"/>
        </w:rPr>
        <w:t>履约保证金在合同期满，且经确认</w:t>
      </w:r>
      <w:r>
        <w:rPr>
          <w:rFonts w:hint="eastAsia" w:asciiTheme="minorEastAsia" w:hAnsiTheme="minorEastAsia" w:cstheme="minorEastAsia"/>
          <w:color w:val="000000"/>
          <w:sz w:val="24"/>
          <w:szCs w:val="24"/>
          <w:lang w:val="en-US" w:eastAsia="zh-CN"/>
        </w:rPr>
        <w:t>乙方</w:t>
      </w:r>
      <w:r>
        <w:rPr>
          <w:rFonts w:hint="eastAsia" w:asciiTheme="minorEastAsia" w:hAnsiTheme="minorEastAsia" w:cstheme="minorEastAsia"/>
          <w:color w:val="000000"/>
          <w:sz w:val="24"/>
          <w:szCs w:val="24"/>
        </w:rPr>
        <w:t>无违约欠款或其他应付未付款项后</w:t>
      </w:r>
      <w:r>
        <w:rPr>
          <w:rFonts w:hint="eastAsia" w:asciiTheme="minorEastAsia" w:hAnsiTheme="minorEastAsia" w:cstheme="minorEastAsia"/>
          <w:color w:val="000000"/>
          <w:sz w:val="24"/>
          <w:szCs w:val="24"/>
          <w:lang w:val="en-US" w:eastAsia="zh-CN"/>
        </w:rPr>
        <w:t xml:space="preserve">   无息退还</w:t>
      </w:r>
      <w:r>
        <w:rPr>
          <w:rFonts w:hint="eastAsia" w:asciiTheme="minorEastAsia" w:hAnsiTheme="minorEastAsia" w:cstheme="minorEastAsia"/>
          <w:color w:val="000000"/>
          <w:sz w:val="24"/>
          <w:szCs w:val="24"/>
        </w:rPr>
        <w:t>。</w:t>
      </w:r>
      <w:r>
        <w:rPr>
          <w:rFonts w:hint="eastAsia" w:asciiTheme="minorEastAsia" w:hAnsiTheme="minorEastAsia" w:cstheme="minorEastAsia"/>
          <w:color w:val="000000"/>
          <w:sz w:val="24"/>
          <w:szCs w:val="24"/>
          <w:lang w:val="en-US" w:eastAsia="zh-CN"/>
        </w:rPr>
        <w:t>甲方退还履约保证金前，乙方应按照甲方要求办理退还手续及向甲方交还保证金收据原件，否则甲方有权拒绝退还履约保证金。</w:t>
      </w:r>
    </w:p>
    <w:p>
      <w:pPr>
        <w:spacing w:line="560" w:lineRule="exact"/>
        <w:ind w:firstLine="480" w:firstLineChars="200"/>
        <w:rPr>
          <w:rFonts w:hint="eastAsia" w:asciiTheme="minorEastAsia" w:hAnsiTheme="minorEastAsia" w:cstheme="minorEastAsia"/>
          <w:color w:val="000000"/>
          <w:sz w:val="24"/>
          <w:szCs w:val="24"/>
          <w:lang w:val="en-US" w:eastAsia="zh-CN"/>
        </w:rPr>
      </w:pPr>
      <w:r>
        <w:rPr>
          <w:rFonts w:hint="eastAsia" w:asciiTheme="minorEastAsia" w:hAnsiTheme="minorEastAsia" w:cstheme="minorEastAsia"/>
          <w:color w:val="000000"/>
          <w:sz w:val="24"/>
          <w:szCs w:val="24"/>
          <w:lang w:val="en-US" w:eastAsia="zh-CN"/>
        </w:rPr>
        <w:t>8.2 乙方在服务过程中因违约产生违约金或给甲方造成损失的，甲方有权从履约保证金中扣除违约金及损失赔偿金，履约保证金不足以扣除的，甲方有权要求乙方另行赔偿。</w:t>
      </w:r>
    </w:p>
    <w:p>
      <w:pPr>
        <w:spacing w:line="560" w:lineRule="exact"/>
        <w:ind w:firstLine="480" w:firstLineChars="200"/>
        <w:rPr>
          <w:rFonts w:hint="eastAsia" w:asciiTheme="minorEastAsia" w:hAnsiTheme="minorEastAsia" w:cstheme="minorEastAsia"/>
          <w:color w:val="000000"/>
          <w:sz w:val="24"/>
          <w:szCs w:val="24"/>
          <w:lang w:val="en-US" w:eastAsia="zh-CN"/>
        </w:rPr>
      </w:pPr>
      <w:r>
        <w:rPr>
          <w:rFonts w:hint="eastAsia" w:asciiTheme="minorEastAsia" w:hAnsiTheme="minorEastAsia" w:cstheme="minorEastAsia"/>
          <w:color w:val="000000"/>
          <w:sz w:val="24"/>
          <w:szCs w:val="24"/>
          <w:lang w:val="en-US" w:eastAsia="zh-CN"/>
        </w:rPr>
        <w:t>8.3 履约保证金低于本条第1款履约保证金金额的80%时，乙方应在甲方通知之日起三日内补足。逾期未补足的，每逾期1日，应按未补足金额的20%向甲方支付违约金，逾期超过三日的，甲方有权解除合同。</w:t>
      </w:r>
    </w:p>
    <w:p>
      <w:pPr>
        <w:spacing w:line="560" w:lineRule="exact"/>
        <w:ind w:firstLine="760"/>
        <w:rPr>
          <w:rFonts w:hint="eastAsia" w:asciiTheme="minorEastAsia" w:hAnsiTheme="minorEastAsia" w:eastAsiaTheme="minorEastAsia" w:cstheme="minorEastAsia"/>
          <w:color w:val="000000"/>
          <w:sz w:val="24"/>
          <w:szCs w:val="24"/>
          <w:lang w:val="en-US" w:eastAsia="zh-CN"/>
        </w:rPr>
      </w:pPr>
    </w:p>
    <w:p>
      <w:pPr>
        <w:spacing w:line="560" w:lineRule="exact"/>
        <w:ind w:firstLine="760"/>
        <w:rPr>
          <w:rFonts w:hint="eastAsia" w:asciiTheme="minorEastAsia" w:hAnsiTheme="minorEastAsia" w:cstheme="minorEastAsia"/>
          <w:b/>
          <w:bCs/>
          <w:color w:val="000000"/>
          <w:sz w:val="24"/>
          <w:szCs w:val="24"/>
        </w:rPr>
      </w:pPr>
      <w:r>
        <w:rPr>
          <w:rFonts w:hint="eastAsia" w:asciiTheme="minorEastAsia" w:hAnsiTheme="minorEastAsia" w:cstheme="minorEastAsia"/>
          <w:b/>
          <w:bCs/>
          <w:color w:val="000000"/>
          <w:sz w:val="24"/>
          <w:szCs w:val="24"/>
        </w:rPr>
        <w:t>第五章 双方权利义务</w:t>
      </w:r>
    </w:p>
    <w:p>
      <w:pPr>
        <w:spacing w:line="560" w:lineRule="exact"/>
        <w:ind w:firstLine="76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第九条 甲方权利义务</w:t>
      </w:r>
    </w:p>
    <w:p>
      <w:pPr>
        <w:spacing w:line="560" w:lineRule="exact"/>
        <w:ind w:firstLine="76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9.1 甲方有权要求乙方按相关作业时间段进行施工作业。</w:t>
      </w:r>
    </w:p>
    <w:p>
      <w:pPr>
        <w:spacing w:line="560" w:lineRule="exact"/>
        <w:ind w:firstLine="76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9.2 甲方有权要求乙方签订保证安全施工的责任书。</w:t>
      </w:r>
    </w:p>
    <w:p>
      <w:pPr>
        <w:spacing w:line="560" w:lineRule="exact"/>
        <w:ind w:firstLine="76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9.3 甲方有权督促乙方按时、按量、按要求完成冲洗、清掏及清运等工作。</w:t>
      </w:r>
    </w:p>
    <w:p>
      <w:pPr>
        <w:spacing w:line="560" w:lineRule="exact"/>
        <w:ind w:firstLine="76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9.4 甲方对工作项目进行检查并签字确认，确定是否达到相应工作要求。</w:t>
      </w:r>
    </w:p>
    <w:p>
      <w:pPr>
        <w:spacing w:line="560" w:lineRule="exact"/>
        <w:ind w:firstLine="76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9.5 乙方未满足甲方规定的作业要求，经甲方提出整改，</w:t>
      </w:r>
      <w:r>
        <w:rPr>
          <w:rFonts w:hint="eastAsia" w:asciiTheme="minorEastAsia" w:hAnsiTheme="minorEastAsia" w:cstheme="minorEastAsia"/>
          <w:color w:val="000000"/>
          <w:sz w:val="24"/>
          <w:szCs w:val="24"/>
          <w:lang w:val="en-US" w:eastAsia="zh-CN"/>
        </w:rPr>
        <w:t>乙方拒绝整改或</w:t>
      </w:r>
      <w:r>
        <w:rPr>
          <w:rFonts w:hint="eastAsia" w:asciiTheme="minorEastAsia" w:hAnsiTheme="minorEastAsia" w:cstheme="minorEastAsia"/>
          <w:color w:val="000000"/>
          <w:sz w:val="24"/>
          <w:szCs w:val="24"/>
        </w:rPr>
        <w:t>整改后乙方仍未达到作业要求时甲方有权终止协议不予支付相关费用。</w:t>
      </w:r>
    </w:p>
    <w:p>
      <w:pPr>
        <w:spacing w:line="560" w:lineRule="exact"/>
        <w:ind w:firstLine="76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9.6 甲方应在乙方进场施工前做好本单位相关部门的协调工作。</w:t>
      </w:r>
    </w:p>
    <w:p>
      <w:pPr>
        <w:spacing w:line="560" w:lineRule="exact"/>
        <w:ind w:firstLine="76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9.7 甲方应当按合同要求支付本协议约定的费用。</w:t>
      </w:r>
    </w:p>
    <w:p>
      <w:pPr>
        <w:spacing w:line="560" w:lineRule="exact"/>
        <w:ind w:firstLine="76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第十条 乙方权利义务</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10.1 乙方有权按合同要求收取本协议约定的费用。</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10.2 乙方应严格遵守甲方的规章制度安全作业（乙方相关安全制度、操作流程应提交甲方备案），确保乙方工作人员的安全，在作业过程中发生任何安全事故（包括但不限于乙方工作人员自身遭受损害，对第三方合法权益造成损害等）由乙方负责处理并自行承担相应责任，甲方不承担任何责任。</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10.3 乙方在工作中应安全作业，若因乙方的行为致使甲方财产损失或人员伤害，应向甲方承担赔偿责任。</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10.4 乙方在工作中，负责承担合同规定的作业内容，所有的人员、机具、材料、车辆运输、二次转运等均由乙方自行组织予以实施。</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10.5 乙方应提前做好施工准备，按时、按要求达到作业质量标准，确保甲方的正常工作。</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10.6 乙方在施工中必须接受甲方的检查。</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10.7 乙方在施工中必须做好周边环境的清洁工作，确保无污物遗留，作业完成后及时清理现场，确保作业现场的清洁卫生。</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10.8 乙方在施工中必须做好安全防护措施，作业中的一切安全事故由乙方自行负责。</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10.9 乙方因工作不及时或工作失误，致使甲方设备无法正常使用给甲方造成损失，其责任由乙方承担并赔偿甲方全部损失。</w:t>
      </w:r>
    </w:p>
    <w:p>
      <w:pPr>
        <w:spacing w:line="560" w:lineRule="exact"/>
        <w:ind w:firstLine="760"/>
        <w:rPr>
          <w:rFonts w:hint="eastAsia" w:asciiTheme="minorEastAsia" w:hAnsiTheme="minorEastAsia" w:cstheme="minorEastAsia"/>
          <w:b/>
          <w:bCs/>
          <w:color w:val="000000"/>
          <w:sz w:val="24"/>
          <w:szCs w:val="24"/>
        </w:rPr>
      </w:pPr>
      <w:r>
        <w:rPr>
          <w:rFonts w:hint="eastAsia" w:asciiTheme="minorEastAsia" w:hAnsiTheme="minorEastAsia" w:cstheme="minorEastAsia"/>
          <w:b/>
          <w:bCs/>
          <w:color w:val="000000"/>
          <w:sz w:val="24"/>
          <w:szCs w:val="24"/>
        </w:rPr>
        <w:t>第六章合同期限</w:t>
      </w:r>
    </w:p>
    <w:p>
      <w:pPr>
        <w:numPr>
          <w:ilvl w:val="0"/>
          <w:numId w:val="5"/>
        </w:num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highlight w:val="none"/>
        </w:rPr>
        <w:t>本合同服务期限为</w:t>
      </w:r>
      <w:r>
        <w:rPr>
          <w:rFonts w:hint="eastAsia" w:asciiTheme="minorEastAsia" w:hAnsiTheme="minorEastAsia" w:cstheme="minorEastAsia"/>
          <w:color w:val="000000"/>
          <w:sz w:val="24"/>
          <w:szCs w:val="24"/>
          <w:highlight w:val="none"/>
          <w:lang w:val="en-US" w:eastAsia="zh-CN"/>
        </w:rPr>
        <w:t>一</w:t>
      </w:r>
      <w:r>
        <w:rPr>
          <w:rFonts w:hint="eastAsia" w:asciiTheme="minorEastAsia" w:hAnsiTheme="minorEastAsia" w:cstheme="minorEastAsia"/>
          <w:color w:val="000000"/>
          <w:sz w:val="24"/>
          <w:szCs w:val="24"/>
          <w:highlight w:val="none"/>
        </w:rPr>
        <w:t>年，暂定</w:t>
      </w:r>
      <w:r>
        <w:rPr>
          <w:rFonts w:hint="eastAsia" w:asciiTheme="minorEastAsia" w:hAnsiTheme="minorEastAsia" w:cstheme="minorEastAsia"/>
          <w:color w:val="000000"/>
          <w:sz w:val="24"/>
          <w:szCs w:val="24"/>
        </w:rPr>
        <w:t xml:space="preserve">     年   月 日起至   年   月  日止。最终时间以甲方通知为准。</w:t>
      </w:r>
    </w:p>
    <w:p>
      <w:pPr>
        <w:spacing w:line="560" w:lineRule="exact"/>
        <w:ind w:firstLine="480" w:firstLineChars="200"/>
        <w:rPr>
          <w:rFonts w:hint="eastAsia" w:asciiTheme="minorEastAsia" w:hAnsiTheme="minorEastAsia" w:cstheme="minorEastAsia"/>
          <w:color w:val="000000"/>
          <w:sz w:val="24"/>
          <w:szCs w:val="24"/>
        </w:rPr>
      </w:pPr>
    </w:p>
    <w:p>
      <w:pPr>
        <w:spacing w:line="560" w:lineRule="exact"/>
        <w:ind w:firstLine="482" w:firstLineChars="200"/>
        <w:rPr>
          <w:rFonts w:hint="eastAsia" w:asciiTheme="minorEastAsia" w:hAnsiTheme="minorEastAsia" w:cstheme="minorEastAsia"/>
          <w:b/>
          <w:bCs/>
          <w:color w:val="000000"/>
          <w:sz w:val="24"/>
          <w:szCs w:val="24"/>
        </w:rPr>
      </w:pPr>
      <w:r>
        <w:rPr>
          <w:rFonts w:hint="eastAsia" w:asciiTheme="minorEastAsia" w:hAnsiTheme="minorEastAsia" w:cstheme="minorEastAsia"/>
          <w:b/>
          <w:bCs/>
          <w:color w:val="000000"/>
          <w:sz w:val="24"/>
          <w:szCs w:val="24"/>
        </w:rPr>
        <w:t>第七章 违约责任</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第十四条 如由甲方原因引起工期滞后，乙方不承担相应责任，</w:t>
      </w:r>
      <w:r>
        <w:rPr>
          <w:rFonts w:hint="eastAsia" w:asciiTheme="minorEastAsia" w:hAnsiTheme="minorEastAsia" w:cstheme="minorEastAsia"/>
          <w:color w:val="000000"/>
          <w:sz w:val="24"/>
          <w:szCs w:val="24"/>
          <w:lang w:val="en-US" w:eastAsia="zh-CN"/>
        </w:rPr>
        <w:t>且</w:t>
      </w:r>
      <w:r>
        <w:rPr>
          <w:rFonts w:hint="eastAsia" w:asciiTheme="minorEastAsia" w:hAnsiTheme="minorEastAsia" w:cstheme="minorEastAsia"/>
          <w:color w:val="000000"/>
          <w:sz w:val="24"/>
          <w:szCs w:val="24"/>
        </w:rPr>
        <w:t>不得对甲方索赔。</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第十五条 合同履行期间，因甲方原因要求需停止验收工作或解除合同时，按验收完成实际工作量</w:t>
      </w:r>
      <w:r>
        <w:rPr>
          <w:rFonts w:hint="eastAsia" w:asciiTheme="minorEastAsia" w:hAnsiTheme="minorEastAsia" w:cstheme="minorEastAsia"/>
          <w:color w:val="000000"/>
          <w:sz w:val="24"/>
          <w:szCs w:val="24"/>
          <w:lang w:val="en-US" w:eastAsia="zh-CN"/>
        </w:rPr>
        <w:t>据实结算</w:t>
      </w:r>
      <w:r>
        <w:rPr>
          <w:rFonts w:hint="eastAsia" w:asciiTheme="minorEastAsia" w:hAnsiTheme="minorEastAsia" w:cstheme="minorEastAsia"/>
          <w:color w:val="000000"/>
          <w:sz w:val="24"/>
          <w:szCs w:val="24"/>
        </w:rPr>
        <w:t>费用。</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第十六条</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cstheme="minorEastAsia"/>
          <w:color w:val="000000"/>
          <w:sz w:val="24"/>
          <w:szCs w:val="24"/>
        </w:rPr>
        <w:t>因甲方原因或双方均不可预见、不可避免的原因造成乙方返工、停工、误工，甲方应顺延工期。</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lang w:val="en-US" w:eastAsia="zh-CN"/>
        </w:rPr>
        <w:t>第十七条 若乙方未按本合同约定全面履行义务或履行义务不符合本合同约定或甲方要求，乙方向甲方支付1000-5000违约金，同时，甲方有权要求乙方限期进行整改或解除本合同，对甲方造成的损失，乙方应承担赔偿责任。</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第十</w:t>
      </w:r>
      <w:r>
        <w:rPr>
          <w:rFonts w:hint="eastAsia" w:asciiTheme="minorEastAsia" w:hAnsiTheme="minorEastAsia" w:cstheme="minorEastAsia"/>
          <w:color w:val="000000"/>
          <w:sz w:val="24"/>
          <w:szCs w:val="24"/>
          <w:lang w:val="en-US" w:eastAsia="zh-CN"/>
        </w:rPr>
        <w:t>八</w:t>
      </w:r>
      <w:r>
        <w:rPr>
          <w:rFonts w:hint="eastAsia" w:asciiTheme="minorEastAsia" w:hAnsiTheme="minorEastAsia" w:cstheme="minorEastAsia"/>
          <w:color w:val="000000"/>
          <w:sz w:val="24"/>
          <w:szCs w:val="24"/>
        </w:rPr>
        <w:t>条 乙方提供的验收成果质量不符合本合同和相关规范要求，乙方负责无偿重新返工，以满足甲方的要求。若因乙方验收成果质量不符合上述要求而给甲方造成损失，乙方应承担相应的法律责任，并负责赔偿由此给甲方造成的一切损失。</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第十</w:t>
      </w:r>
      <w:r>
        <w:rPr>
          <w:rFonts w:hint="eastAsia" w:asciiTheme="minorEastAsia" w:hAnsiTheme="minorEastAsia" w:cstheme="minorEastAsia"/>
          <w:color w:val="000000"/>
          <w:sz w:val="24"/>
          <w:szCs w:val="24"/>
          <w:lang w:val="en-US" w:eastAsia="zh-CN"/>
        </w:rPr>
        <w:t>九</w:t>
      </w:r>
      <w:r>
        <w:rPr>
          <w:rFonts w:hint="eastAsia" w:asciiTheme="minorEastAsia" w:hAnsiTheme="minorEastAsia" w:cstheme="minorEastAsia"/>
          <w:color w:val="000000"/>
          <w:sz w:val="24"/>
          <w:szCs w:val="24"/>
        </w:rPr>
        <w:t>条 乙方擅白转包、分包本合同下甲方委托的工作，一经发现甲方有权单方面解除合同，且不承担任何责任。由此造成的全部损失应由乙方负责赔偿。</w:t>
      </w:r>
    </w:p>
    <w:p>
      <w:pPr>
        <w:spacing w:line="560" w:lineRule="exact"/>
        <w:ind w:firstLine="480" w:firstLineChars="200"/>
        <w:rPr>
          <w:rFonts w:hint="eastAsia" w:asciiTheme="minorEastAsia" w:hAnsiTheme="minorEastAsia" w:cstheme="minorEastAsia"/>
          <w:color w:val="000000"/>
          <w:sz w:val="24"/>
          <w:szCs w:val="24"/>
          <w:lang w:val="en-US" w:eastAsia="zh-CN"/>
        </w:rPr>
      </w:pPr>
      <w:r>
        <w:rPr>
          <w:rFonts w:hint="eastAsia" w:asciiTheme="minorEastAsia" w:hAnsiTheme="minorEastAsia" w:cstheme="minorEastAsia"/>
          <w:color w:val="000000"/>
          <w:sz w:val="24"/>
          <w:szCs w:val="24"/>
          <w:lang w:val="en-US" w:eastAsia="zh-CN"/>
        </w:rPr>
        <w:t>第二十条 乙方违约解除、终止合同或因乙方违约导致甲方解除、终止合同的，履约保证金不予退还，且乙方应向甲方支付50000元违约金。</w:t>
      </w:r>
    </w:p>
    <w:p>
      <w:pPr>
        <w:spacing w:line="560" w:lineRule="exact"/>
        <w:ind w:firstLine="480" w:firstLineChars="200"/>
        <w:rPr>
          <w:rFonts w:hint="eastAsia" w:asciiTheme="minorEastAsia" w:hAnsiTheme="minorEastAsia" w:cstheme="minorEastAsia"/>
          <w:color w:val="000000"/>
          <w:sz w:val="24"/>
          <w:szCs w:val="24"/>
          <w:lang w:val="en-US" w:eastAsia="zh-CN"/>
        </w:rPr>
      </w:pPr>
      <w:r>
        <w:rPr>
          <w:rFonts w:hint="eastAsia" w:asciiTheme="minorEastAsia" w:hAnsiTheme="minorEastAsia" w:cstheme="minorEastAsia"/>
          <w:color w:val="000000"/>
          <w:sz w:val="24"/>
          <w:szCs w:val="24"/>
          <w:lang w:val="en-US" w:eastAsia="zh-CN"/>
        </w:rPr>
        <w:t>第二十一条 因乙方违约产生的违约金、赔偿金等，甲方有权从应付款项及履约保证金中予以扣除，不足以抵扣的，甲方有权就不足部分向乙方追偿。</w:t>
      </w:r>
    </w:p>
    <w:p>
      <w:pPr>
        <w:spacing w:line="560" w:lineRule="exact"/>
        <w:ind w:firstLine="760"/>
        <w:rPr>
          <w:rFonts w:hint="eastAsia" w:asciiTheme="minorEastAsia" w:hAnsiTheme="minorEastAsia" w:eastAsiaTheme="minorEastAsia" w:cstheme="minorEastAsia"/>
          <w:color w:val="000000"/>
          <w:sz w:val="24"/>
          <w:szCs w:val="24"/>
          <w:lang w:val="en-US" w:eastAsia="zh-CN"/>
        </w:rPr>
      </w:pPr>
    </w:p>
    <w:p>
      <w:pPr>
        <w:spacing w:line="560" w:lineRule="exact"/>
        <w:ind w:firstLine="482" w:firstLineChars="200"/>
        <w:rPr>
          <w:rFonts w:hint="eastAsia" w:asciiTheme="minorEastAsia" w:hAnsiTheme="minorEastAsia" w:cstheme="minorEastAsia"/>
          <w:b/>
          <w:bCs/>
          <w:color w:val="000000"/>
          <w:sz w:val="24"/>
          <w:szCs w:val="24"/>
        </w:rPr>
      </w:pPr>
      <w:r>
        <w:rPr>
          <w:rFonts w:hint="eastAsia" w:asciiTheme="minorEastAsia" w:hAnsiTheme="minorEastAsia" w:cstheme="minorEastAsia"/>
          <w:b/>
          <w:bCs/>
          <w:color w:val="000000"/>
          <w:sz w:val="24"/>
          <w:szCs w:val="24"/>
        </w:rPr>
        <w:t>第八章 附则</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第</w:t>
      </w:r>
      <w:r>
        <w:rPr>
          <w:rFonts w:hint="eastAsia" w:asciiTheme="minorEastAsia" w:hAnsiTheme="minorEastAsia" w:cstheme="minorEastAsia"/>
          <w:color w:val="000000"/>
          <w:sz w:val="24"/>
          <w:szCs w:val="24"/>
          <w:lang w:val="en-US" w:eastAsia="zh-CN"/>
        </w:rPr>
        <w:t>二</w:t>
      </w:r>
      <w:r>
        <w:rPr>
          <w:rFonts w:hint="eastAsia" w:asciiTheme="minorEastAsia" w:hAnsiTheme="minorEastAsia" w:cstheme="minorEastAsia"/>
          <w:color w:val="000000"/>
          <w:sz w:val="24"/>
          <w:szCs w:val="24"/>
        </w:rPr>
        <w:t>十</w:t>
      </w:r>
      <w:r>
        <w:rPr>
          <w:rFonts w:hint="eastAsia" w:asciiTheme="minorEastAsia" w:hAnsiTheme="minorEastAsia" w:cstheme="minorEastAsia"/>
          <w:color w:val="000000"/>
          <w:sz w:val="24"/>
          <w:szCs w:val="24"/>
          <w:lang w:val="en-US" w:eastAsia="zh-CN"/>
        </w:rPr>
        <w:t>二</w:t>
      </w:r>
      <w:r>
        <w:rPr>
          <w:rFonts w:hint="eastAsia" w:asciiTheme="minorEastAsia" w:hAnsiTheme="minorEastAsia" w:cstheme="minorEastAsia"/>
          <w:color w:val="000000"/>
          <w:sz w:val="24"/>
          <w:szCs w:val="24"/>
        </w:rPr>
        <w:t>条 本合同未尽事宜，双方可协商解决并签订补充协议，补充协议与本合同具有同等效力。</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第二十</w:t>
      </w:r>
      <w:r>
        <w:rPr>
          <w:rFonts w:hint="eastAsia" w:asciiTheme="minorEastAsia" w:hAnsiTheme="minorEastAsia" w:cstheme="minorEastAsia"/>
          <w:color w:val="000000"/>
          <w:sz w:val="24"/>
          <w:szCs w:val="24"/>
          <w:lang w:val="en-US" w:eastAsia="zh-CN"/>
        </w:rPr>
        <w:t>三</w:t>
      </w:r>
      <w:r>
        <w:rPr>
          <w:rFonts w:hint="eastAsia" w:asciiTheme="minorEastAsia" w:hAnsiTheme="minorEastAsia" w:cstheme="minorEastAsia"/>
          <w:color w:val="000000"/>
          <w:sz w:val="24"/>
          <w:szCs w:val="24"/>
        </w:rPr>
        <w:t>条 本合同执行期间，如遇不可抗力，致使合同无法履行时，双方应按有关法律规定及时协商处理。</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第二十</w:t>
      </w:r>
      <w:r>
        <w:rPr>
          <w:rFonts w:hint="eastAsia" w:asciiTheme="minorEastAsia" w:hAnsiTheme="minorEastAsia" w:cstheme="minorEastAsia"/>
          <w:color w:val="000000"/>
          <w:sz w:val="24"/>
          <w:szCs w:val="24"/>
          <w:lang w:val="en-US" w:eastAsia="zh-CN"/>
        </w:rPr>
        <w:t>四</w:t>
      </w:r>
      <w:r>
        <w:rPr>
          <w:rFonts w:hint="eastAsia" w:asciiTheme="minorEastAsia" w:hAnsiTheme="minorEastAsia" w:cstheme="minorEastAsia"/>
          <w:color w:val="000000"/>
          <w:sz w:val="24"/>
          <w:szCs w:val="24"/>
        </w:rPr>
        <w:t>条 本合同在履行过程中如发生争议，双方应协商解决，如果不能协商一致，双方均有权向甲方所在地人民法院起诉。</w:t>
      </w:r>
      <w:r>
        <w:rPr>
          <w:rFonts w:hint="eastAsia" w:asciiTheme="minorEastAsia" w:hAnsiTheme="minorEastAsia" w:cstheme="minorEastAsia"/>
          <w:color w:val="000000"/>
          <w:sz w:val="24"/>
          <w:szCs w:val="24"/>
          <w:lang w:val="en-US" w:eastAsia="zh-CN"/>
        </w:rPr>
        <w:t>因履行本合同发生的律师费、调查费、保全费、诉讼费、公告催告费等维权费用均由违约方承担。</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第二十</w:t>
      </w:r>
      <w:r>
        <w:rPr>
          <w:rFonts w:hint="eastAsia" w:asciiTheme="minorEastAsia" w:hAnsiTheme="minorEastAsia" w:cstheme="minorEastAsia"/>
          <w:color w:val="000000"/>
          <w:sz w:val="24"/>
          <w:szCs w:val="24"/>
          <w:lang w:val="en-US" w:eastAsia="zh-CN"/>
        </w:rPr>
        <w:t>五</w:t>
      </w:r>
      <w:r>
        <w:rPr>
          <w:rFonts w:hint="eastAsia" w:asciiTheme="minorEastAsia" w:hAnsiTheme="minorEastAsia" w:cstheme="minorEastAsia"/>
          <w:color w:val="000000"/>
          <w:sz w:val="24"/>
          <w:szCs w:val="24"/>
        </w:rPr>
        <w:t>条 合同期满本合同自然终止，期满条件应严格按照“第六章 合同期限”条款要求执行。</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第二十</w:t>
      </w:r>
      <w:r>
        <w:rPr>
          <w:rFonts w:hint="eastAsia" w:asciiTheme="minorEastAsia" w:hAnsiTheme="minorEastAsia" w:cstheme="minorEastAsia"/>
          <w:color w:val="000000"/>
          <w:sz w:val="24"/>
          <w:szCs w:val="24"/>
          <w:lang w:val="en-US" w:eastAsia="zh-CN"/>
        </w:rPr>
        <w:t>六</w:t>
      </w:r>
      <w:r>
        <w:rPr>
          <w:rFonts w:hint="eastAsia" w:asciiTheme="minorEastAsia" w:hAnsiTheme="minorEastAsia" w:cstheme="minorEastAsia"/>
          <w:color w:val="000000"/>
          <w:sz w:val="24"/>
          <w:szCs w:val="24"/>
        </w:rPr>
        <w:t>条 本合同一式柒份，正本贰份，双方各执壹份:副本伍份，甲方执肆份，乙方执壹份，正副本均具有同等法律效力。</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第二十</w:t>
      </w:r>
      <w:r>
        <w:rPr>
          <w:rFonts w:hint="eastAsia" w:asciiTheme="minorEastAsia" w:hAnsiTheme="minorEastAsia" w:cstheme="minorEastAsia"/>
          <w:color w:val="000000"/>
          <w:sz w:val="24"/>
          <w:szCs w:val="24"/>
          <w:lang w:val="en-US" w:eastAsia="zh-CN"/>
        </w:rPr>
        <w:t>七</w:t>
      </w:r>
      <w:r>
        <w:rPr>
          <w:rFonts w:hint="eastAsia" w:asciiTheme="minorEastAsia" w:hAnsiTheme="minorEastAsia" w:cstheme="minorEastAsia"/>
          <w:color w:val="000000"/>
          <w:sz w:val="24"/>
          <w:szCs w:val="24"/>
        </w:rPr>
        <w:t>条 本合同经双方法定代表人或委托代理人签字并加盖合同专用章(或公章)且乙方提供履约担保后生效。</w:t>
      </w:r>
    </w:p>
    <w:p>
      <w:pPr>
        <w:spacing w:line="560" w:lineRule="exact"/>
        <w:ind w:firstLine="480" w:firstLineChars="200"/>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cstheme="minorEastAsia"/>
          <w:color w:val="000000"/>
          <w:sz w:val="24"/>
          <w:szCs w:val="24"/>
          <w:lang w:val="en-US" w:eastAsia="zh-CN"/>
        </w:rPr>
        <w:t>第二十八条   本合同记载的联系地址及方式作为双方工作往来及发生争议时人民法院送达法律文书（包括但不限于传票、通知书、告知书、裁定书、调解书、判决书）的地址及方式，一方未书面变更前按照该地址及方式送达的视为有效送达。</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第九章 合同附件</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附件 1 廉洁协议</w:t>
      </w:r>
    </w:p>
    <w:p>
      <w:pPr>
        <w:spacing w:line="560" w:lineRule="exact"/>
        <w:ind w:firstLine="480" w:firstLineChars="200"/>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cstheme="minorEastAsia"/>
          <w:color w:val="000000"/>
          <w:sz w:val="24"/>
          <w:szCs w:val="24"/>
        </w:rPr>
        <w:t>附件2 安全</w:t>
      </w:r>
      <w:r>
        <w:rPr>
          <w:rFonts w:hint="eastAsia" w:asciiTheme="minorEastAsia" w:hAnsiTheme="minorEastAsia" w:cstheme="minorEastAsia"/>
          <w:color w:val="000000"/>
          <w:sz w:val="24"/>
          <w:szCs w:val="24"/>
          <w:lang w:eastAsia="zh-CN"/>
        </w:rPr>
        <w:t>管理</w:t>
      </w:r>
      <w:r>
        <w:rPr>
          <w:rFonts w:hint="eastAsia" w:asciiTheme="minorEastAsia" w:hAnsiTheme="minorEastAsia" w:cstheme="minorEastAsia"/>
          <w:color w:val="000000"/>
          <w:sz w:val="24"/>
          <w:szCs w:val="24"/>
        </w:rPr>
        <w:t>协议</w:t>
      </w:r>
      <w:r>
        <w:rPr>
          <w:rFonts w:hint="eastAsia" w:asciiTheme="minorEastAsia" w:hAnsiTheme="minorEastAsia" w:cstheme="minorEastAsia"/>
          <w:color w:val="000000"/>
          <w:sz w:val="24"/>
          <w:szCs w:val="24"/>
          <w:lang w:eastAsia="zh-CN"/>
        </w:rPr>
        <w:t>书</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附件</w:t>
      </w:r>
      <w:r>
        <w:rPr>
          <w:rFonts w:hint="eastAsia" w:asciiTheme="minorEastAsia" w:hAnsiTheme="minorEastAsia" w:cstheme="minorEastAsia"/>
          <w:color w:val="000000"/>
          <w:sz w:val="24"/>
          <w:szCs w:val="24"/>
          <w:lang w:val="en-US" w:eastAsia="zh-CN"/>
        </w:rPr>
        <w:t>3</w:t>
      </w:r>
      <w:r>
        <w:rPr>
          <w:rFonts w:hint="eastAsia" w:asciiTheme="minorEastAsia" w:hAnsiTheme="minorEastAsia" w:cstheme="minorEastAsia"/>
          <w:color w:val="000000"/>
          <w:sz w:val="24"/>
          <w:szCs w:val="24"/>
        </w:rPr>
        <w:t>合同费用清单</w:t>
      </w:r>
    </w:p>
    <w:p>
      <w:pPr>
        <w:spacing w:line="560" w:lineRule="exact"/>
        <w:ind w:firstLine="760"/>
        <w:rPr>
          <w:rFonts w:hint="eastAsia" w:asciiTheme="minorEastAsia" w:hAnsiTheme="minorEastAsia" w:cstheme="minorEastAsia"/>
          <w:color w:val="000000"/>
          <w:sz w:val="24"/>
          <w:szCs w:val="24"/>
        </w:rPr>
      </w:pPr>
    </w:p>
    <w:p>
      <w:pPr>
        <w:spacing w:line="440" w:lineRule="exact"/>
        <w:ind w:firstLine="720" w:firstLineChars="300"/>
        <w:rPr>
          <w:rFonts w:hint="eastAsia"/>
          <w:sz w:val="24"/>
        </w:rPr>
      </w:pPr>
      <w:r>
        <w:rPr>
          <w:rFonts w:hint="eastAsia"/>
          <w:sz w:val="24"/>
        </w:rPr>
        <w:t>甲方：</w:t>
      </w:r>
      <w:r>
        <w:rPr>
          <w:rFonts w:hint="eastAsia"/>
          <w:sz w:val="24"/>
          <w:lang w:val="en-US" w:eastAsia="zh-CN"/>
        </w:rPr>
        <w:t xml:space="preserve">                                    乙</w:t>
      </w:r>
      <w:r>
        <w:rPr>
          <w:rFonts w:hint="eastAsia"/>
          <w:sz w:val="24"/>
        </w:rPr>
        <w:t>方：</w:t>
      </w:r>
    </w:p>
    <w:p>
      <w:pPr>
        <w:spacing w:line="560" w:lineRule="exact"/>
        <w:ind w:firstLine="720" w:firstLineChars="300"/>
        <w:rPr>
          <w:rFonts w:hint="default"/>
          <w:lang w:val="en-US" w:eastAsia="zh-CN"/>
        </w:rPr>
      </w:pPr>
      <w:r>
        <w:rPr>
          <w:rFonts w:hint="eastAsia"/>
          <w:sz w:val="24"/>
          <w:lang w:val="en-US" w:eastAsia="zh-CN"/>
        </w:rPr>
        <w:t>经办人：                                  经办人：</w:t>
      </w:r>
    </w:p>
    <w:p>
      <w:pPr>
        <w:spacing w:line="440" w:lineRule="exact"/>
        <w:ind w:firstLine="720" w:firstLineChars="300"/>
        <w:rPr>
          <w:rFonts w:hint="eastAsia"/>
          <w:sz w:val="24"/>
        </w:rPr>
      </w:pPr>
      <w:r>
        <w:rPr>
          <w:rFonts w:hint="eastAsia"/>
          <w:sz w:val="24"/>
        </w:rPr>
        <w:t>地址：</w:t>
      </w:r>
      <w:r>
        <w:rPr>
          <w:rFonts w:hint="eastAsia"/>
          <w:sz w:val="24"/>
          <w:lang w:val="en-US" w:eastAsia="zh-CN"/>
        </w:rPr>
        <w:t xml:space="preserve">                                    </w:t>
      </w:r>
      <w:r>
        <w:rPr>
          <w:rFonts w:hint="eastAsia"/>
          <w:sz w:val="24"/>
        </w:rPr>
        <w:t>地址：</w:t>
      </w:r>
    </w:p>
    <w:p>
      <w:pPr>
        <w:spacing w:line="440" w:lineRule="exact"/>
        <w:ind w:firstLine="720" w:firstLineChars="300"/>
        <w:rPr>
          <w:rFonts w:hint="eastAsia"/>
          <w:sz w:val="24"/>
        </w:rPr>
      </w:pPr>
      <w:r>
        <w:rPr>
          <w:rFonts w:hint="eastAsia"/>
          <w:sz w:val="24"/>
          <w:lang w:val="en-US" w:eastAsia="zh-CN"/>
        </w:rPr>
        <w:t xml:space="preserve">联系电话：                               </w:t>
      </w:r>
      <w:r>
        <w:rPr>
          <w:rFonts w:hint="eastAsia"/>
          <w:sz w:val="24"/>
        </w:rPr>
        <w:t xml:space="preserve"> </w:t>
      </w:r>
      <w:r>
        <w:rPr>
          <w:rFonts w:hint="eastAsia"/>
          <w:sz w:val="24"/>
          <w:lang w:val="en-US" w:eastAsia="zh-CN"/>
        </w:rPr>
        <w:t>联系电话：</w:t>
      </w:r>
      <w:r>
        <w:rPr>
          <w:rFonts w:hint="eastAsia"/>
          <w:sz w:val="24"/>
        </w:rPr>
        <w:t xml:space="preserve"> </w:t>
      </w:r>
    </w:p>
    <w:p>
      <w:pPr>
        <w:spacing w:line="440" w:lineRule="exact"/>
        <w:ind w:firstLine="720" w:firstLineChars="300"/>
        <w:rPr>
          <w:sz w:val="24"/>
        </w:rPr>
      </w:pPr>
    </w:p>
    <w:p/>
    <w:p/>
    <w:p>
      <w:pPr>
        <w:sectPr>
          <w:headerReference r:id="rId4" w:type="default"/>
          <w:footerReference r:id="rId5" w:type="default"/>
          <w:pgSz w:w="11900" w:h="16840"/>
          <w:pgMar w:top="1340" w:right="940" w:bottom="1340" w:left="940" w:header="920" w:footer="0" w:gutter="0"/>
          <w:cols w:space="720" w:num="1"/>
          <w:docGrid w:type="lines" w:linePitch="0" w:charSpace="0"/>
        </w:sectPr>
      </w:pPr>
    </w:p>
    <w:p>
      <w:pPr>
        <w:spacing w:line="397" w:lineRule="exact"/>
        <w:ind w:firstLine="0"/>
        <w:rPr>
          <w:color w:val="000000"/>
          <w:sz w:val="24"/>
        </w:rPr>
      </w:pPr>
      <w:r>
        <w:rPr>
          <w:rFonts w:hint="eastAsia"/>
          <w:color w:val="000000"/>
          <w:sz w:val="24"/>
        </w:rPr>
        <w:t>附件1:</w:t>
      </w:r>
    </w:p>
    <w:p>
      <w:pPr>
        <w:spacing w:line="397" w:lineRule="exact"/>
        <w:ind w:firstLine="620"/>
        <w:jc w:val="center"/>
        <w:rPr>
          <w:b/>
          <w:color w:val="000000"/>
          <w:sz w:val="28"/>
        </w:rPr>
      </w:pPr>
      <w:r>
        <w:rPr>
          <w:rFonts w:hint="eastAsia"/>
          <w:b/>
          <w:color w:val="000000"/>
          <w:sz w:val="28"/>
        </w:rPr>
        <w:t>廉洁协议</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根据国家有关部门以及有关工程建设、廉政建设的规定，为做好项目实施中的党风廉政建设，保证项目高效优质，保证资金的安全和有效使用以及投资效益，合同项目法人</w:t>
      </w:r>
      <w:r>
        <w:rPr>
          <w:rFonts w:hint="eastAsia" w:asciiTheme="minorEastAsia" w:hAnsiTheme="minorEastAsia" w:cstheme="minorEastAsia"/>
          <w:color w:val="000000"/>
          <w:sz w:val="24"/>
          <w:szCs w:val="24"/>
          <w:highlight w:val="none"/>
          <w:lang w:val="en-US" w:eastAsia="zh-CN"/>
        </w:rPr>
        <w:t>重庆通邑物业管理有限公司</w:t>
      </w:r>
      <w:r>
        <w:rPr>
          <w:rFonts w:hint="eastAsia" w:asciiTheme="minorEastAsia" w:hAnsiTheme="minorEastAsia" w:cstheme="minorEastAsia"/>
          <w:color w:val="000000"/>
          <w:sz w:val="24"/>
          <w:szCs w:val="24"/>
        </w:rPr>
        <w:t>(以下简称“甲方”)与承担方</w:t>
      </w:r>
      <w:r>
        <w:rPr>
          <w:rFonts w:hint="eastAsia" w:asciiTheme="minorEastAsia" w:hAnsiTheme="minorEastAsia" w:cstheme="minorEastAsia"/>
          <w:color w:val="000000"/>
          <w:sz w:val="24"/>
          <w:szCs w:val="24"/>
          <w:highlight w:val="none"/>
          <w:lang w:eastAsia="zh-CN"/>
        </w:rPr>
        <w:t>【】</w:t>
      </w:r>
      <w:r>
        <w:rPr>
          <w:rFonts w:hint="eastAsia" w:asciiTheme="minorEastAsia" w:hAnsiTheme="minorEastAsia" w:cstheme="minorEastAsia"/>
          <w:color w:val="000000"/>
          <w:sz w:val="24"/>
          <w:szCs w:val="24"/>
          <w:highlight w:val="none"/>
        </w:rPr>
        <w:t>(</w:t>
      </w:r>
      <w:r>
        <w:rPr>
          <w:rFonts w:hint="eastAsia" w:asciiTheme="minorEastAsia" w:hAnsiTheme="minorEastAsia" w:cstheme="minorEastAsia"/>
          <w:color w:val="000000"/>
          <w:sz w:val="24"/>
          <w:szCs w:val="24"/>
        </w:rPr>
        <w:t>以下简称“乙方”),特订立如下合同。</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1.甲乙双方的权利</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(1)严格遵守党的政策规定和国家有关法律法规及相关部门的有关规定。</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(2)严格执行合同文件，自觉按合同规定办事。</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(3)双方的业务活动坚持公开、公正、诚信、透明的原则(法律认定的商业秘密和合同文件另有规定除外)，不得损害国家和集体利益，违反相关规章制度。</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(4)建立健全廉政制度，开展廉政教育，设立廉政告示牌，公布举报电话，监督并认真查处违法违纪行为。</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(5)发现对方在业务活动中有违反廉政规定的行为，有及时提醒对方纠正的权利和义务。</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(6)发现对方严重违反本合同义务条款的行为，有向其上级有关部门举报、建议给予处理并要求告知处理结果的权利。</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2.甲方的义务</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(1)甲方及其工作人员不得向乙方索取或接受乙方任何形式的贿赂。</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(2)甲方及其工作人员不得向乙方授意以任何形式弄虚作假套取合同款。</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(3)甲方及其工作人员不得索要或接受乙方的礼金、有价证券、支付凭证和贵重物品等:不得在乙方报销任何应由甲方或甲方工作人员个人支付的费用等。</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(4)甲方工作人员不得参加乙方安排的超标准宴请、高消费健身和娱乐活动;不得接受乙方无偿提供使用的劳务和通讯工具、交通工具和高档办公用品等;不得接受乙方的任何奖金或其他经济利益。</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(5)甲方及其工作人员不得要求或者接受乙方为其住房装修、婚丧嫁娶活动、配偶子女的工作安排以及公款旅游或出国出境、旅游等提供方便等。</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(6)甲方工作人员及其配偶、子女不得从事与甲方合同项目有关的材料设备供应、工程分包、劳务等经济活动等。</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(7)甲方及其工作人员不得违规以任何理由向乙方推荐分包单位、施工队伍或推销材料、设备等生产厂家、供应商:不得要求乙方为自己亲友的经营活动提供便利条件:不得要求乙方购买合同规定外的材料和设备</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(8)甲方工作人员要秉公办事，不准营私舞弊，不准利用职权从事各种个人有偿中介活动和安排个人施工队伍等。</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3.乙方义务</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(1)乙方不得以任何理由向甲方及其工作人员行贿或馈赠礼金、有价证券、支付凭证和贵重礼品等。</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(2)乙方不接受甲方授意或自行以任何形式弄虚作假套取合同款。</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(3)乙方不得以任何名义为甲方及其工作人员报销应由甲方单位或个人支付的任何费用;不利用宴请等活动影响甲方工作人员公正执行公务。</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(4)乙方不得以任何理由安排甲方工作人员参加公款旅游、超标准宴请、高消费健身及娱乐活动。</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(5)乙方不得为甲方单位和个人购置或无偿提供劳务、通讯工具、交通工具和高档办公用品等;不得向甲方赠送任何奖金或其他经济利益。</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(6)乙方不得接受甲方及其工作人员违规推荐的分包单位、施工队伍或推销材料、设备等生产厂家、供应商:不得为甲方亲友的经营活动提供便利条件。</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4.违约责任</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(1)甲方及其工作人员违反本合同，按管理权限，依据有关规定给子党纪、政纪或组织处理，并将授意人员调离建设管理岗位:涉嫌犯罪的，移交司法机关追究刑事责任:因甲方向乙方索贿，并给乙方单位造成经济损失的，应予以赔偿。</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w:t>
      </w:r>
      <w:r>
        <w:rPr>
          <w:rFonts w:hint="eastAsia" w:asciiTheme="minorEastAsia" w:hAnsiTheme="minorEastAsia" w:cstheme="minorEastAsia"/>
          <w:color w:val="000000"/>
          <w:sz w:val="24"/>
          <w:szCs w:val="24"/>
          <w:lang w:val="en-US" w:eastAsia="zh-CN"/>
        </w:rPr>
        <w:t>2</w:t>
      </w:r>
      <w:r>
        <w:rPr>
          <w:rFonts w:hint="eastAsia" w:asciiTheme="minorEastAsia" w:hAnsiTheme="minorEastAsia" w:cstheme="minorEastAsia"/>
          <w:color w:val="000000"/>
          <w:sz w:val="24"/>
          <w:szCs w:val="24"/>
        </w:rPr>
        <w:t>)双方不履行各自上述义务，构成犯罪和违纪的，由司法机关和有关执纪部门按管辖依法依纪处理，所认定的事实和处理结果作为承担违约责任的依据。</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5.违约责任追究</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(1)甲乙双方自觉履行本协议书并互相监督，一方不履行协议的，另一方有权利和义务进行举报。一方主动举报另一方，举报方不承担上述约定的违约责任，全部由被举报方承担，但不免除各自应负的法纪责任。</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(2)由于双方单位或工作人员个人行为造成违约的，双方单位承担上述约定的违约责任。</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(3)双方在履行协议中发生争议，一方有权向对方的上级单位行政主管部门和执纪部门反映情况并要求帮助解决争议。</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(4)违约方应在有关部门对不履行协议的行为作出处理或结论后(10)天内向对方支付违约金</w:t>
      </w:r>
      <w:r>
        <w:rPr>
          <w:rFonts w:hint="eastAsia" w:asciiTheme="minorEastAsia" w:hAnsiTheme="minorEastAsia" w:cstheme="minorEastAsia"/>
          <w:color w:val="000000"/>
          <w:sz w:val="24"/>
          <w:szCs w:val="24"/>
          <w:lang w:val="en-US" w:eastAsia="zh-CN"/>
        </w:rPr>
        <w:t>10000元</w:t>
      </w:r>
      <w:r>
        <w:rPr>
          <w:rFonts w:hint="eastAsia" w:asciiTheme="minorEastAsia" w:hAnsiTheme="minorEastAsia" w:cstheme="minorEastAsia"/>
          <w:color w:val="000000"/>
          <w:sz w:val="24"/>
          <w:szCs w:val="24"/>
        </w:rPr>
        <w:t>。</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双方有义务将对由责任人的责任追究情况通报对方。</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6.本</w:t>
      </w:r>
      <w:r>
        <w:rPr>
          <w:rFonts w:hint="eastAsia" w:asciiTheme="minorEastAsia" w:hAnsiTheme="minorEastAsia" w:cstheme="minorEastAsia"/>
          <w:color w:val="000000"/>
          <w:sz w:val="24"/>
          <w:szCs w:val="24"/>
          <w:lang w:eastAsia="zh-CN"/>
        </w:rPr>
        <w:t>协议</w:t>
      </w:r>
      <w:r>
        <w:rPr>
          <w:rFonts w:hint="eastAsia" w:asciiTheme="minorEastAsia" w:hAnsiTheme="minorEastAsia" w:cstheme="minorEastAsia"/>
          <w:color w:val="000000"/>
          <w:sz w:val="24"/>
          <w:szCs w:val="24"/>
        </w:rPr>
        <w:t>有效期为甲乙双方签署之日起至该合同内容履行完毕后止。有效期内发生的违约事实，有效期后发现的适用本协议。</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8.本</w:t>
      </w:r>
      <w:r>
        <w:rPr>
          <w:rFonts w:hint="eastAsia" w:asciiTheme="minorEastAsia" w:hAnsiTheme="minorEastAsia" w:cstheme="minorEastAsia"/>
          <w:color w:val="000000"/>
          <w:sz w:val="24"/>
          <w:szCs w:val="24"/>
          <w:lang w:eastAsia="zh-CN"/>
        </w:rPr>
        <w:t>协议</w:t>
      </w:r>
      <w:r>
        <w:rPr>
          <w:rFonts w:hint="eastAsia" w:asciiTheme="minorEastAsia" w:hAnsiTheme="minorEastAsia" w:cstheme="minorEastAsia"/>
          <w:color w:val="000000"/>
          <w:sz w:val="24"/>
          <w:szCs w:val="24"/>
        </w:rPr>
        <w:t>作为合同的附件,与主合同具有同等的法律效力，经合同双方签署立即生效。</w:t>
      </w:r>
    </w:p>
    <w:p>
      <w:pPr>
        <w:spacing w:line="560" w:lineRule="exact"/>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9.本</w:t>
      </w:r>
      <w:r>
        <w:rPr>
          <w:rFonts w:hint="eastAsia" w:asciiTheme="minorEastAsia" w:hAnsiTheme="minorEastAsia" w:cstheme="minorEastAsia"/>
          <w:color w:val="000000"/>
          <w:sz w:val="24"/>
          <w:szCs w:val="24"/>
          <w:lang w:eastAsia="zh-CN"/>
        </w:rPr>
        <w:t>协议</w:t>
      </w:r>
      <w:r>
        <w:rPr>
          <w:rFonts w:hint="eastAsia" w:asciiTheme="minorEastAsia" w:hAnsiTheme="minorEastAsia" w:cstheme="minorEastAsia"/>
          <w:color w:val="000000"/>
          <w:sz w:val="24"/>
          <w:szCs w:val="24"/>
        </w:rPr>
        <w:t>份数与主合同份数一致。</w:t>
      </w:r>
    </w:p>
    <w:p>
      <w:pPr>
        <w:spacing w:line="397" w:lineRule="exact"/>
        <w:ind w:firstLine="0"/>
        <w:rPr>
          <w:color w:val="000000"/>
          <w:sz w:val="24"/>
        </w:rPr>
      </w:pPr>
    </w:p>
    <w:p>
      <w:pPr>
        <w:spacing w:line="397" w:lineRule="exact"/>
        <w:jc w:val="left"/>
        <w:rPr>
          <w:rFonts w:hint="eastAsia"/>
          <w:color w:val="000000"/>
          <w:sz w:val="24"/>
        </w:rPr>
      </w:pPr>
      <w:r>
        <w:rPr>
          <w:rFonts w:hint="eastAsia"/>
          <w:color w:val="000000"/>
          <w:sz w:val="24"/>
        </w:rPr>
        <w:t xml:space="preserve">甲方：   </w:t>
      </w:r>
      <w:r>
        <w:rPr>
          <w:rFonts w:hint="eastAsia"/>
          <w:color w:val="000000"/>
          <w:sz w:val="24"/>
          <w:lang w:val="en-US" w:eastAsia="zh-CN"/>
        </w:rPr>
        <w:t xml:space="preserve">                                </w:t>
      </w:r>
      <w:r>
        <w:rPr>
          <w:rFonts w:hint="eastAsia"/>
          <w:color w:val="000000"/>
          <w:sz w:val="24"/>
        </w:rPr>
        <w:t xml:space="preserve">乙方：   </w:t>
      </w:r>
    </w:p>
    <w:p>
      <w:pPr>
        <w:spacing w:line="397" w:lineRule="exact"/>
        <w:jc w:val="left"/>
        <w:rPr>
          <w:color w:val="000000"/>
          <w:sz w:val="24"/>
        </w:rPr>
      </w:pPr>
      <w:r>
        <w:rPr>
          <w:rFonts w:hint="eastAsia"/>
          <w:color w:val="000000"/>
          <w:sz w:val="24"/>
        </w:rPr>
        <w:t xml:space="preserve">                                                                         </w:t>
      </w:r>
    </w:p>
    <w:p>
      <w:pPr>
        <w:spacing w:line="397" w:lineRule="exact"/>
        <w:rPr>
          <w:color w:val="000000"/>
          <w:sz w:val="24"/>
        </w:rPr>
      </w:pPr>
      <w:r>
        <w:rPr>
          <w:rFonts w:hint="eastAsia"/>
          <w:color w:val="000000"/>
          <w:sz w:val="24"/>
        </w:rPr>
        <w:t>法定代表人或委托代理人：</w:t>
      </w:r>
      <w:r>
        <w:rPr>
          <w:color w:val="000000"/>
          <w:sz w:val="24"/>
        </w:rPr>
        <w:tab/>
      </w:r>
      <w:r>
        <w:rPr>
          <w:rFonts w:hint="eastAsia"/>
          <w:color w:val="000000"/>
          <w:sz w:val="24"/>
        </w:rPr>
        <w:t xml:space="preserve">                 法定代表人或委托代理人：</w:t>
      </w:r>
    </w:p>
    <w:p>
      <w:pPr>
        <w:tabs>
          <w:tab w:val="left" w:pos="5160"/>
        </w:tabs>
        <w:spacing w:line="397" w:lineRule="exact"/>
        <w:rPr>
          <w:color w:val="000000"/>
          <w:sz w:val="24"/>
        </w:rPr>
      </w:pPr>
      <w:r>
        <w:rPr>
          <w:color w:val="000000"/>
          <w:sz w:val="24"/>
        </w:rPr>
        <w:tab/>
      </w:r>
    </w:p>
    <w:p>
      <w:pPr>
        <w:tabs>
          <w:tab w:val="left" w:pos="5040"/>
        </w:tabs>
        <w:spacing w:line="397" w:lineRule="exact"/>
        <w:rPr>
          <w:color w:val="000000"/>
          <w:sz w:val="24"/>
        </w:rPr>
      </w:pPr>
      <w:r>
        <w:rPr>
          <w:rFonts w:hint="eastAsia"/>
          <w:color w:val="000000"/>
          <w:sz w:val="24"/>
        </w:rPr>
        <w:t>项目实施部门负责人：</w:t>
      </w:r>
      <w:r>
        <w:rPr>
          <w:color w:val="000000"/>
          <w:sz w:val="24"/>
        </w:rPr>
        <w:tab/>
      </w:r>
      <w:r>
        <w:rPr>
          <w:rFonts w:hint="eastAsia"/>
          <w:color w:val="000000"/>
          <w:sz w:val="24"/>
        </w:rPr>
        <w:t>项目实施部门负责人：</w:t>
      </w:r>
    </w:p>
    <w:p>
      <w:pPr>
        <w:tabs>
          <w:tab w:val="left" w:pos="5160"/>
        </w:tabs>
        <w:spacing w:line="397" w:lineRule="exact"/>
        <w:rPr>
          <w:color w:val="000000"/>
          <w:sz w:val="24"/>
        </w:rPr>
      </w:pPr>
      <w:r>
        <w:rPr>
          <w:color w:val="000000"/>
          <w:sz w:val="24"/>
        </w:rPr>
        <w:tab/>
      </w:r>
    </w:p>
    <w:p>
      <w:pPr>
        <w:tabs>
          <w:tab w:val="left" w:pos="5160"/>
        </w:tabs>
        <w:spacing w:line="397" w:lineRule="exact"/>
        <w:rPr>
          <w:color w:val="000000"/>
          <w:sz w:val="24"/>
        </w:rPr>
      </w:pPr>
      <w:r>
        <w:rPr>
          <w:rFonts w:hint="eastAsia"/>
          <w:color w:val="000000"/>
          <w:sz w:val="24"/>
        </w:rPr>
        <w:t>电话：</w:t>
      </w:r>
      <w:r>
        <w:rPr>
          <w:color w:val="000000"/>
          <w:sz w:val="24"/>
        </w:rPr>
        <w:tab/>
      </w:r>
      <w:r>
        <w:rPr>
          <w:rFonts w:hint="eastAsia"/>
          <w:color w:val="000000"/>
          <w:sz w:val="24"/>
        </w:rPr>
        <w:t>电话：</w:t>
      </w:r>
    </w:p>
    <w:p>
      <w:pPr>
        <w:spacing w:line="397" w:lineRule="exact"/>
        <w:ind w:firstLine="0"/>
        <w:rPr>
          <w:color w:val="000000"/>
          <w:sz w:val="24"/>
        </w:rPr>
      </w:pPr>
      <w:r>
        <w:rPr>
          <w:rFonts w:hint="eastAsia"/>
          <w:color w:val="000000"/>
          <w:sz w:val="24"/>
        </w:rPr>
        <w:t>附件 2:</w:t>
      </w:r>
    </w:p>
    <w:p>
      <w:pPr>
        <w:pStyle w:val="8"/>
        <w:spacing w:before="0" w:beforeAutospacing="0" w:after="0" w:afterAutospacing="0"/>
        <w:jc w:val="center"/>
        <w:rPr>
          <w:rFonts w:hint="eastAsia" w:ascii="仿宋_GB2312" w:hAnsi="仿宋_GB2312" w:eastAsia="仿宋_GB2312" w:cs="仿宋_GB2312"/>
          <w:sz w:val="32"/>
          <w:szCs w:val="32"/>
        </w:rPr>
      </w:pPr>
      <w:r>
        <w:rPr>
          <w:rFonts w:hint="eastAsia" w:ascii="方正黑体_GBK" w:hAnsi="方正黑体_GBK" w:eastAsia="方正黑体_GBK" w:cs="方正黑体_GBK"/>
          <w:sz w:val="40"/>
          <w:szCs w:val="40"/>
        </w:rPr>
        <w:t>安全管理协议书</w:t>
      </w:r>
    </w:p>
    <w:p>
      <w:pPr>
        <w:pStyle w:val="8"/>
        <w:spacing w:beforeAutospacing="0" w:afterAutospacing="0" w:line="560" w:lineRule="exact"/>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甲方：                             （以下简称为甲方）</w:t>
      </w:r>
    </w:p>
    <w:p>
      <w:pPr>
        <w:pStyle w:val="8"/>
        <w:spacing w:beforeAutospacing="0" w:afterAutospacing="0" w:line="560" w:lineRule="exact"/>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乙方：                                          （以下简称为乙方）</w:t>
      </w:r>
    </w:p>
    <w:p>
      <w:pPr>
        <w:pStyle w:val="8"/>
        <w:spacing w:beforeAutospacing="0" w:afterAutospacing="0" w:line="560" w:lineRule="exact"/>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为了贯彻“安全第一、预防为主”的安全生产方针，落实《中华人民共和国安全生产法》等有关安全生产法律、法规，明确甲乙双方的安全管理责任，确保实现安全生产管理目标。甲乙双方在签订合同的同时，双方就安全管理责任事项协商达成一致，签订本协议，双方必须严格执行。</w:t>
      </w:r>
    </w:p>
    <w:p>
      <w:pPr>
        <w:pStyle w:val="8"/>
        <w:spacing w:beforeAutospacing="0" w:afterAutospacing="0" w:line="560" w:lineRule="exact"/>
        <w:jc w:val="both"/>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b/>
          <w:bCs/>
          <w:sz w:val="28"/>
          <w:szCs w:val="28"/>
        </w:rPr>
        <w:t>一、甲方责任</w:t>
      </w:r>
    </w:p>
    <w:p>
      <w:pPr>
        <w:pStyle w:val="8"/>
        <w:spacing w:beforeAutospacing="0" w:afterAutospacing="0" w:line="560" w:lineRule="exact"/>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1.贯彻执行国家有关安全生产、劳动保护、消防安全、环境保护等法律、法规。</w:t>
      </w:r>
    </w:p>
    <w:p>
      <w:pPr>
        <w:pStyle w:val="8"/>
        <w:spacing w:beforeAutospacing="0" w:afterAutospacing="0" w:line="560" w:lineRule="exact"/>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2、监督检查乙方开展项目的安全管理以及安全防护措施落实情况。</w:t>
      </w:r>
    </w:p>
    <w:p>
      <w:pPr>
        <w:pStyle w:val="8"/>
        <w:spacing w:beforeAutospacing="0" w:afterAutospacing="0" w:line="560" w:lineRule="exact"/>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3、有权检查乙方现场有关管理人员安全生产培训情况及现场作业人员持证情况。</w:t>
      </w:r>
    </w:p>
    <w:p>
      <w:pPr>
        <w:pStyle w:val="8"/>
        <w:spacing w:beforeAutospacing="0" w:afterAutospacing="0" w:line="560" w:lineRule="exact"/>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4、督促乙方做好环境保护和职业病防治工作。</w:t>
      </w:r>
    </w:p>
    <w:p>
      <w:pPr>
        <w:pStyle w:val="8"/>
        <w:spacing w:beforeAutospacing="0" w:afterAutospacing="0" w:line="560" w:lineRule="exact"/>
        <w:jc w:val="both"/>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b/>
          <w:bCs/>
          <w:sz w:val="28"/>
          <w:szCs w:val="28"/>
        </w:rPr>
        <w:t>二、乙方责任</w:t>
      </w:r>
    </w:p>
    <w:p>
      <w:pPr>
        <w:pStyle w:val="8"/>
        <w:spacing w:beforeAutospacing="0" w:afterAutospacing="0" w:line="560" w:lineRule="exact"/>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1.乙方必须遵守国家有关安全生产、劳动保护、消防安全、环境保护等相关法律、法规及条例，贯彻执行安全生产责任制，安全规章制度，安全技术操作规程，严格按照上述法律、法规、条例、安全规章制度、安全技术操作规程、质量、环境、职业健康安全管理体系开展工作。乙方承担由于自身管理缺陷、安全措施不力造成的案件、事故、事件等责任和因此发生的所有费用。</w:t>
      </w:r>
    </w:p>
    <w:p>
      <w:pPr>
        <w:pStyle w:val="8"/>
        <w:spacing w:beforeAutospacing="0" w:afterAutospacing="0" w:line="560" w:lineRule="exact"/>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2.乙方须建立健全相应安全管理体系，应有安全生产管理机构、各工种的安全操作规程、各级安全生产岗位责任制和定期安全检查等制度。</w:t>
      </w:r>
    </w:p>
    <w:p>
      <w:pPr>
        <w:pStyle w:val="8"/>
        <w:spacing w:beforeAutospacing="0" w:afterAutospacing="0" w:line="560" w:lineRule="exact"/>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3.乙方必须按照国家规定，为现场作业人员配备符合国家标准和行业标准的劳动保护用品。   </w:t>
      </w:r>
    </w:p>
    <w:p>
      <w:pPr>
        <w:pStyle w:val="8"/>
        <w:spacing w:beforeAutospacing="0" w:afterAutospacing="0" w:line="560" w:lineRule="exact"/>
        <w:ind w:firstLine="560" w:firstLineChars="20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4.乙方现场所使用的各种工器具在使用过程中造成甲、乙双方人员或第三人伤亡事故或财产损失的，由乙方自行承担一切责任。</w:t>
      </w:r>
    </w:p>
    <w:p>
      <w:pPr>
        <w:pStyle w:val="8"/>
        <w:spacing w:beforeAutospacing="0" w:afterAutospacing="0" w:line="560" w:lineRule="exact"/>
        <w:ind w:firstLine="560" w:firstLineChars="20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5.乙方必须在项目危险部位、场所悬挂安全标志和和警示牌，并认真维护和管理，不得随意拆除和挪动。否则，因此产生的一切后果及责任由乙方承担。</w:t>
      </w:r>
    </w:p>
    <w:p>
      <w:pPr>
        <w:pStyle w:val="8"/>
        <w:spacing w:beforeAutospacing="0" w:afterAutospacing="0" w:line="560" w:lineRule="exact"/>
        <w:ind w:firstLine="560" w:firstLineChars="20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6.乙方应配合甲方相关部门的安全检查，针对甲方发现的问题在限期内完成整改，并形成相应记录。因乙方原因未按期完成整改的，甲方有权按照相应规定进行考核。</w:t>
      </w:r>
    </w:p>
    <w:p>
      <w:pPr>
        <w:pStyle w:val="8"/>
        <w:spacing w:beforeAutospacing="0" w:afterAutospacing="0" w:line="560" w:lineRule="exact"/>
        <w:ind w:firstLine="560" w:firstLineChars="20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7.乙方必须对现场作业人员进行安全生产制度及安全技术知识教育，增强法制观念，提高职工的安全意识和自我保护能力。</w:t>
      </w:r>
    </w:p>
    <w:p>
      <w:pPr>
        <w:pStyle w:val="8"/>
        <w:spacing w:beforeAutospacing="0" w:afterAutospacing="0" w:line="560" w:lineRule="exact"/>
        <w:ind w:firstLine="560" w:firstLineChars="20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8.乙方人员应按国家、行业及地方法律法规持相应证书上岗，证书须在有效期内，严禁无证上岗。</w:t>
      </w:r>
    </w:p>
    <w:p>
      <w:pPr>
        <w:pStyle w:val="8"/>
        <w:spacing w:beforeAutospacing="0" w:afterAutospacing="0" w:line="560" w:lineRule="exact"/>
        <w:ind w:firstLine="560" w:firstLineChars="20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9.乙方须做好员工行为规范、遵章守纪等方面的管理。否则，乙方须承担因自身管理不善造成的法律责任和经济损失。如：严禁员工上班前、上班中饮酒、寻衅闹事等违规行为。</w:t>
      </w:r>
    </w:p>
    <w:p>
      <w:pPr>
        <w:pStyle w:val="8"/>
        <w:spacing w:beforeAutospacing="0" w:afterAutospacing="0" w:line="640" w:lineRule="exact"/>
        <w:ind w:firstLine="560" w:firstLineChars="20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10.乙方人员在工作期间，突发疾病、职业病或发生高空坠落、触电、机械伤亡等事故的，乙方须负责伤亡者及其家属接待和善后处理工作并承担因此而产生的一切经济及法律责任。</w:t>
      </w:r>
    </w:p>
    <w:p>
      <w:pPr>
        <w:pStyle w:val="8"/>
        <w:spacing w:beforeAutospacing="0" w:afterAutospacing="0" w:line="640" w:lineRule="exact"/>
        <w:ind w:firstLine="560" w:firstLineChars="20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因乙方原因发生安全责任事故导致人员伤亡的（包括由乙方责任造成甲方人员、乙方人员、第三方人员、行人伤亡等），乙方应立即向甲方报告，同时积极组织抢救，采取相应的措施保护好现场，积极配合政府部门、甲方对事故的调查和现场勘查。同时，乙方须承担因此而产生的一切经济及法律责任。</w:t>
      </w:r>
    </w:p>
    <w:p>
      <w:pPr>
        <w:pStyle w:val="8"/>
        <w:spacing w:beforeAutospacing="0" w:afterAutospacing="0" w:line="640" w:lineRule="exact"/>
        <w:ind w:firstLine="560" w:firstLineChars="20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12.乙方未按本协议约定标准、要求履约造成安全责任事故的，每发生一次，甲方可每次</w:t>
      </w:r>
      <w:r>
        <w:rPr>
          <w:rFonts w:ascii="方正仿宋_GBK" w:hAnsi="方正仿宋_GBK" w:eastAsia="方正仿宋_GBK" w:cs="方正仿宋_GBK"/>
          <w:sz w:val="28"/>
          <w:szCs w:val="28"/>
        </w:rPr>
        <w:t>计收</w:t>
      </w:r>
      <w:r>
        <w:rPr>
          <w:rFonts w:hint="eastAsia" w:ascii="方正仿宋_GBK" w:hAnsi="方正仿宋_GBK" w:eastAsia="方正仿宋_GBK" w:cs="方正仿宋_GBK"/>
          <w:sz w:val="28"/>
          <w:szCs w:val="28"/>
        </w:rPr>
        <w:t>当月服务费5%的违约金，季度内发生两次或年度内发生三次及以上的，甲方可每次扣除乙方年度服务费5%的作为违约金。</w:t>
      </w:r>
    </w:p>
    <w:p>
      <w:pPr>
        <w:pStyle w:val="8"/>
        <w:spacing w:beforeAutospacing="0" w:afterAutospacing="0" w:line="640" w:lineRule="exact"/>
        <w:ind w:firstLine="560" w:firstLineChars="20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13.因乙方原因发生安全责任事故后应及时解决善后事宜，若乙方未能妥善解决，给甲方造成负面舆情影响或给租赁甲方商铺的租户经营造成重大损失的，乙方除承担甲方或租户相应损失外，甲方可每次扣除乙方年度服务费的20%作为违约金，且甲方可单方解除相关服务合同。</w:t>
      </w:r>
    </w:p>
    <w:p>
      <w:pPr>
        <w:pStyle w:val="8"/>
        <w:spacing w:beforeAutospacing="0" w:afterAutospacing="0" w:line="640" w:lineRule="exact"/>
        <w:ind w:firstLine="560" w:firstLineChars="20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14.因乙方原因导致甲方承担任何责任的，甲方有权向乙方进行追偿。</w:t>
      </w:r>
    </w:p>
    <w:p>
      <w:pPr>
        <w:pStyle w:val="8"/>
        <w:spacing w:beforeAutospacing="0" w:afterAutospacing="0" w:line="640" w:lineRule="exact"/>
        <w:ind w:firstLine="560" w:firstLineChars="200"/>
        <w:jc w:val="both"/>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b/>
          <w:bCs/>
          <w:sz w:val="28"/>
          <w:szCs w:val="28"/>
        </w:rPr>
        <w:t>三、协议生效及终止</w:t>
      </w:r>
    </w:p>
    <w:p>
      <w:pPr>
        <w:pStyle w:val="8"/>
        <w:spacing w:beforeAutospacing="0" w:afterAutospacing="0" w:line="640" w:lineRule="exact"/>
        <w:ind w:firstLine="560" w:firstLineChars="20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本协议书和合同主件同时签订，具有同等效力。本协议自签订之日起生效，合同期满后终止。   </w:t>
      </w:r>
    </w:p>
    <w:p>
      <w:pPr>
        <w:pStyle w:val="8"/>
        <w:spacing w:beforeAutospacing="0" w:afterAutospacing="0" w:line="640" w:lineRule="exact"/>
        <w:ind w:firstLine="560" w:firstLineChars="200"/>
        <w:jc w:val="both"/>
        <w:rPr>
          <w:rFonts w:hint="eastAsia" w:ascii="方正仿宋_GBK" w:hAnsi="方正仿宋_GBK" w:eastAsia="方正仿宋_GBK" w:cs="方正仿宋_GBK"/>
          <w:sz w:val="28"/>
          <w:szCs w:val="28"/>
        </w:rPr>
      </w:pPr>
    </w:p>
    <w:p>
      <w:pPr>
        <w:pStyle w:val="8"/>
        <w:spacing w:beforeAutospacing="0" w:afterAutospacing="0" w:line="640" w:lineRule="exact"/>
        <w:ind w:firstLine="560" w:firstLineChars="20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甲方（盖章）：                    乙方（盖章）：  </w:t>
      </w:r>
    </w:p>
    <w:p>
      <w:pPr>
        <w:pStyle w:val="8"/>
        <w:spacing w:beforeAutospacing="0" w:afterAutospacing="0" w:line="640" w:lineRule="exact"/>
        <w:ind w:firstLine="560" w:firstLineChars="20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经办人：                          经办人：</w:t>
      </w:r>
    </w:p>
    <w:p>
      <w:pPr>
        <w:pStyle w:val="8"/>
        <w:spacing w:beforeAutospacing="0" w:afterAutospacing="0" w:line="640" w:lineRule="exact"/>
        <w:ind w:firstLine="560" w:firstLineChars="20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年   月    日                     年    月    日</w:t>
      </w:r>
    </w:p>
    <w:p>
      <w:pPr>
        <w:spacing w:line="397" w:lineRule="exact"/>
        <w:rPr>
          <w:rFonts w:hint="eastAsia"/>
          <w:color w:val="000000"/>
          <w:sz w:val="24"/>
        </w:rPr>
      </w:pPr>
    </w:p>
    <w:p>
      <w:pPr>
        <w:spacing w:line="397" w:lineRule="exact"/>
        <w:rPr>
          <w:color w:val="000000"/>
          <w:sz w:val="24"/>
        </w:rPr>
      </w:pPr>
      <w:r>
        <w:rPr>
          <w:rFonts w:hint="eastAsia"/>
          <w:color w:val="000000"/>
          <w:sz w:val="24"/>
        </w:rPr>
        <w:t>附件</w:t>
      </w:r>
      <w:r>
        <w:rPr>
          <w:rFonts w:hint="eastAsia"/>
          <w:color w:val="000000"/>
          <w:sz w:val="24"/>
          <w:lang w:val="en-US" w:eastAsia="zh-CN"/>
        </w:rPr>
        <w:t>3</w:t>
      </w:r>
      <w:r>
        <w:rPr>
          <w:rFonts w:hint="eastAsia"/>
          <w:color w:val="000000"/>
          <w:sz w:val="24"/>
        </w:rPr>
        <w:t>：</w:t>
      </w:r>
    </w:p>
    <w:p>
      <w:pPr>
        <w:spacing w:line="397" w:lineRule="exact"/>
        <w:ind w:firstLine="620"/>
        <w:jc w:val="center"/>
        <w:rPr>
          <w:color w:val="000000"/>
          <w:sz w:val="24"/>
        </w:rPr>
      </w:pPr>
      <w:r>
        <w:rPr>
          <w:rFonts w:hint="eastAsia"/>
          <w:b/>
          <w:bCs/>
          <w:color w:val="000000"/>
          <w:sz w:val="24"/>
        </w:rPr>
        <w:t>合同费用清单</w:t>
      </w:r>
    </w:p>
    <w:p>
      <w:pPr>
        <w:spacing w:line="397" w:lineRule="exact"/>
        <w:rPr>
          <w:color w:val="000000"/>
          <w:sz w:val="24"/>
        </w:rPr>
      </w:pPr>
    </w:p>
    <w:tbl>
      <w:tblPr>
        <w:tblStyle w:val="11"/>
        <w:tblW w:w="85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1376"/>
        <w:gridCol w:w="870"/>
        <w:gridCol w:w="1063"/>
        <w:gridCol w:w="1026"/>
        <w:gridCol w:w="1332"/>
        <w:gridCol w:w="1048"/>
        <w:gridCol w:w="1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755" w:type="dxa"/>
            <w:vAlign w:val="center"/>
          </w:tcPr>
          <w:p>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仿宋" w:hAnsi="仿宋" w:eastAsia="仿宋"/>
                <w:b/>
                <w:sz w:val="22"/>
                <w:lang w:eastAsia="zh-CN"/>
              </w:rPr>
            </w:pPr>
            <w:bookmarkStart w:id="0" w:name="_GoBack" w:colFirst="5" w:colLast="7"/>
            <w:r>
              <w:rPr>
                <w:rFonts w:hint="eastAsia" w:ascii="宋体" w:hAnsi="宋体" w:eastAsia="仿宋" w:cs="宋体"/>
                <w:b/>
                <w:sz w:val="18"/>
                <w:szCs w:val="18"/>
                <w:highlight w:val="none"/>
                <w:lang w:val="en-US" w:eastAsia="zh-CN"/>
              </w:rPr>
              <w:t>序号</w:t>
            </w:r>
          </w:p>
        </w:tc>
        <w:tc>
          <w:tcPr>
            <w:tcW w:w="1376" w:type="dxa"/>
            <w:vAlign w:val="center"/>
          </w:tcPr>
          <w:p>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仿宋" w:hAnsi="仿宋" w:eastAsia="仿宋"/>
                <w:b/>
                <w:sz w:val="22"/>
                <w:lang w:eastAsia="zh-CN"/>
              </w:rPr>
            </w:pPr>
            <w:r>
              <w:rPr>
                <w:rFonts w:hint="eastAsia" w:ascii="宋体" w:hAnsi="宋体" w:cs="宋体"/>
                <w:b/>
                <w:sz w:val="18"/>
                <w:szCs w:val="18"/>
                <w:highlight w:val="none"/>
              </w:rPr>
              <w:t>服务内容</w:t>
            </w:r>
          </w:p>
        </w:tc>
        <w:tc>
          <w:tcPr>
            <w:tcW w:w="870" w:type="dxa"/>
            <w:vAlign w:val="center"/>
          </w:tcPr>
          <w:p>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default" w:ascii="仿宋" w:hAnsi="仿宋" w:eastAsia="仿宋"/>
                <w:b/>
                <w:sz w:val="22"/>
              </w:rPr>
            </w:pPr>
            <w:r>
              <w:rPr>
                <w:rFonts w:hint="eastAsia" w:ascii="宋体" w:hAnsi="宋体" w:cs="宋体"/>
                <w:b/>
                <w:sz w:val="18"/>
                <w:szCs w:val="18"/>
                <w:highlight w:val="none"/>
              </w:rPr>
              <w:t>单位</w:t>
            </w:r>
          </w:p>
        </w:tc>
        <w:tc>
          <w:tcPr>
            <w:tcW w:w="1063" w:type="dxa"/>
            <w:vAlign w:val="center"/>
          </w:tcPr>
          <w:p>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cs="宋体"/>
                <w:b/>
                <w:sz w:val="18"/>
                <w:szCs w:val="18"/>
                <w:highlight w:val="none"/>
              </w:rPr>
            </w:pPr>
            <w:r>
              <w:rPr>
                <w:rFonts w:hint="eastAsia" w:ascii="宋体" w:hAnsi="宋体" w:cs="宋体"/>
                <w:b/>
                <w:sz w:val="18"/>
                <w:szCs w:val="18"/>
                <w:highlight w:val="none"/>
              </w:rPr>
              <w:t>暂定工程量</w:t>
            </w:r>
          </w:p>
        </w:tc>
        <w:tc>
          <w:tcPr>
            <w:tcW w:w="1026" w:type="dxa"/>
            <w:vAlign w:val="center"/>
          </w:tcPr>
          <w:p>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default" w:ascii="宋体" w:hAnsi="宋体" w:cs="宋体"/>
                <w:b/>
                <w:sz w:val="18"/>
                <w:szCs w:val="18"/>
                <w:highlight w:val="none"/>
                <w:lang w:val="en-US" w:eastAsia="zh-CN"/>
              </w:rPr>
            </w:pPr>
            <w:r>
              <w:rPr>
                <w:rFonts w:hint="eastAsia" w:ascii="宋体" w:hAnsi="宋体" w:cs="宋体"/>
                <w:b/>
                <w:sz w:val="18"/>
                <w:szCs w:val="18"/>
                <w:highlight w:val="none"/>
                <w:lang w:val="en-US" w:eastAsia="zh-CN"/>
              </w:rPr>
              <w:t>暂定次数</w:t>
            </w:r>
          </w:p>
        </w:tc>
        <w:tc>
          <w:tcPr>
            <w:tcW w:w="1332" w:type="dxa"/>
            <w:vAlign w:val="center"/>
          </w:tcPr>
          <w:p>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cs="宋体"/>
                <w:b/>
                <w:color w:val="auto"/>
                <w:sz w:val="18"/>
                <w:szCs w:val="18"/>
                <w:highlight w:val="none"/>
              </w:rPr>
            </w:pPr>
            <w:r>
              <w:rPr>
                <w:rFonts w:hint="eastAsia" w:ascii="宋体" w:hAnsi="宋体" w:cs="宋体"/>
                <w:b/>
                <w:color w:val="auto"/>
                <w:sz w:val="18"/>
                <w:szCs w:val="18"/>
                <w:highlight w:val="none"/>
              </w:rPr>
              <w:t>不含税单价</w:t>
            </w:r>
          </w:p>
          <w:p>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cs="宋体"/>
                <w:b/>
                <w:color w:val="auto"/>
                <w:sz w:val="18"/>
                <w:szCs w:val="18"/>
                <w:highlight w:val="none"/>
              </w:rPr>
            </w:pPr>
            <w:r>
              <w:rPr>
                <w:rFonts w:hint="eastAsia" w:ascii="宋体" w:hAnsi="宋体" w:cs="宋体"/>
                <w:b/>
                <w:color w:val="auto"/>
                <w:sz w:val="18"/>
                <w:szCs w:val="18"/>
                <w:highlight w:val="none"/>
              </w:rPr>
              <w:t>（元/</w:t>
            </w:r>
            <w:r>
              <w:rPr>
                <w:rFonts w:hint="default" w:ascii="宋体" w:hAnsi="宋体" w:cs="宋体"/>
                <w:b/>
                <w:color w:val="auto"/>
                <w:sz w:val="18"/>
                <w:szCs w:val="18"/>
                <w:highlight w:val="none"/>
              </w:rPr>
              <w:t>㎡）</w:t>
            </w:r>
          </w:p>
        </w:tc>
        <w:tc>
          <w:tcPr>
            <w:tcW w:w="1048" w:type="dxa"/>
            <w:vAlign w:val="center"/>
          </w:tcPr>
          <w:p>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cs="宋体"/>
                <w:b/>
                <w:color w:val="auto"/>
                <w:sz w:val="18"/>
                <w:szCs w:val="18"/>
                <w:highlight w:val="none"/>
              </w:rPr>
            </w:pPr>
            <w:r>
              <w:rPr>
                <w:rFonts w:hint="eastAsia" w:ascii="宋体" w:hAnsi="宋体" w:cs="宋体"/>
                <w:b/>
                <w:color w:val="auto"/>
                <w:sz w:val="18"/>
                <w:szCs w:val="18"/>
                <w:highlight w:val="none"/>
              </w:rPr>
              <w:t>不含税总价（元）</w:t>
            </w:r>
          </w:p>
        </w:tc>
        <w:tc>
          <w:tcPr>
            <w:tcW w:w="1048" w:type="dxa"/>
            <w:vAlign w:val="center"/>
          </w:tcPr>
          <w:p>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cs="宋体" w:eastAsiaTheme="minorEastAsia"/>
                <w:b/>
                <w:color w:val="auto"/>
                <w:sz w:val="18"/>
                <w:szCs w:val="18"/>
                <w:highlight w:val="none"/>
                <w:lang w:val="en-US" w:eastAsia="zh-CN"/>
              </w:rPr>
            </w:pPr>
            <w:r>
              <w:rPr>
                <w:rFonts w:hint="eastAsia" w:ascii="宋体" w:hAnsi="宋体" w:cs="宋体"/>
                <w:b/>
                <w:color w:val="auto"/>
                <w:sz w:val="18"/>
                <w:szCs w:val="18"/>
                <w:highlight w:val="none"/>
                <w:lang w:val="en-US" w:eastAsia="zh-CN"/>
              </w:rPr>
              <w:t>税率</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755" w:type="dxa"/>
            <w:vAlign w:val="center"/>
          </w:tcPr>
          <w:p>
            <w:pPr>
              <w:keepNext w:val="0"/>
              <w:keepLines w:val="0"/>
              <w:suppressLineNumbers w:val="0"/>
              <w:spacing w:before="0" w:beforeAutospacing="0" w:after="0" w:afterAutospacing="0"/>
              <w:ind w:left="0" w:right="0"/>
              <w:jc w:val="center"/>
              <w:rPr>
                <w:rFonts w:hint="eastAsia" w:ascii="方正仿宋_GBK" w:hAnsi="仿宋" w:eastAsia="方正仿宋_GBK"/>
                <w:sz w:val="18"/>
                <w:szCs w:val="18"/>
                <w:lang w:val="en-US" w:eastAsia="zh-CN"/>
              </w:rPr>
            </w:pPr>
            <w:r>
              <w:rPr>
                <w:rFonts w:hint="eastAsia" w:ascii="方正仿宋_GBK" w:hAnsi="仿宋" w:eastAsia="方正仿宋_GBK"/>
                <w:sz w:val="18"/>
                <w:szCs w:val="18"/>
                <w:lang w:val="en-US" w:eastAsia="zh-CN"/>
              </w:rPr>
              <w:t>1</w:t>
            </w:r>
          </w:p>
        </w:tc>
        <w:tc>
          <w:tcPr>
            <w:tcW w:w="1376"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color w:val="auto"/>
                <w:kern w:val="2"/>
                <w:sz w:val="18"/>
                <w:szCs w:val="18"/>
                <w:highlight w:val="none"/>
                <w:lang w:val="en-US" w:eastAsia="zh-CN" w:bidi="ar-SA"/>
              </w:rPr>
            </w:pPr>
          </w:p>
        </w:tc>
        <w:tc>
          <w:tcPr>
            <w:tcW w:w="87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color w:val="auto"/>
                <w:kern w:val="2"/>
                <w:sz w:val="18"/>
                <w:szCs w:val="18"/>
                <w:highlight w:val="none"/>
                <w:lang w:val="en-US" w:eastAsia="zh-CN" w:bidi="ar-SA"/>
              </w:rPr>
            </w:pPr>
          </w:p>
        </w:tc>
        <w:tc>
          <w:tcPr>
            <w:tcW w:w="1063"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eastAsiaTheme="minorEastAsia"/>
                <w:color w:val="auto"/>
                <w:kern w:val="2"/>
                <w:sz w:val="18"/>
                <w:szCs w:val="18"/>
                <w:highlight w:val="none"/>
                <w:lang w:val="en-US" w:eastAsia="zh-CN" w:bidi="ar-SA"/>
              </w:rPr>
            </w:pPr>
          </w:p>
        </w:tc>
        <w:tc>
          <w:tcPr>
            <w:tcW w:w="1026"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sz w:val="22"/>
                <w:lang w:val="en-US" w:eastAsia="zh-CN"/>
              </w:rPr>
            </w:pPr>
          </w:p>
        </w:tc>
        <w:tc>
          <w:tcPr>
            <w:tcW w:w="1332"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048"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048"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755" w:type="dxa"/>
            <w:vAlign w:val="center"/>
          </w:tcPr>
          <w:p>
            <w:pPr>
              <w:keepNext w:val="0"/>
              <w:keepLines w:val="0"/>
              <w:suppressLineNumbers w:val="0"/>
              <w:spacing w:before="0" w:beforeAutospacing="0" w:after="0" w:afterAutospacing="0"/>
              <w:ind w:left="0" w:right="0"/>
              <w:jc w:val="center"/>
              <w:rPr>
                <w:rFonts w:hint="eastAsia" w:ascii="方正仿宋_GBK" w:hAnsi="仿宋" w:eastAsia="方正仿宋_GBK"/>
                <w:sz w:val="18"/>
                <w:szCs w:val="18"/>
                <w:lang w:val="en-US" w:eastAsia="zh-CN"/>
              </w:rPr>
            </w:pPr>
            <w:r>
              <w:rPr>
                <w:rFonts w:hint="eastAsia" w:ascii="方正仿宋_GBK" w:hAnsi="仿宋" w:eastAsia="方正仿宋_GBK"/>
                <w:sz w:val="18"/>
                <w:szCs w:val="18"/>
                <w:lang w:val="en-US" w:eastAsia="zh-CN"/>
              </w:rPr>
              <w:t>2</w:t>
            </w:r>
          </w:p>
        </w:tc>
        <w:tc>
          <w:tcPr>
            <w:tcW w:w="1376"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color w:val="auto"/>
                <w:kern w:val="2"/>
                <w:sz w:val="18"/>
                <w:szCs w:val="18"/>
                <w:highlight w:val="none"/>
                <w:lang w:val="en-US" w:eastAsia="zh-CN" w:bidi="ar-SA"/>
              </w:rPr>
            </w:pPr>
          </w:p>
        </w:tc>
        <w:tc>
          <w:tcPr>
            <w:tcW w:w="87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color w:val="auto"/>
                <w:kern w:val="2"/>
                <w:sz w:val="18"/>
                <w:szCs w:val="18"/>
                <w:highlight w:val="none"/>
                <w:lang w:val="en-US" w:eastAsia="zh-CN" w:bidi="ar-SA"/>
              </w:rPr>
            </w:pPr>
          </w:p>
        </w:tc>
        <w:tc>
          <w:tcPr>
            <w:tcW w:w="1063"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eastAsiaTheme="minorEastAsia"/>
                <w:color w:val="auto"/>
                <w:kern w:val="2"/>
                <w:sz w:val="18"/>
                <w:szCs w:val="18"/>
                <w:highlight w:val="none"/>
                <w:lang w:val="en-US" w:eastAsia="zh-CN" w:bidi="ar-SA"/>
              </w:rPr>
            </w:pPr>
          </w:p>
        </w:tc>
        <w:tc>
          <w:tcPr>
            <w:tcW w:w="1026"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sz w:val="22"/>
                <w:lang w:val="en-US" w:eastAsia="zh-CN"/>
              </w:rPr>
            </w:pPr>
          </w:p>
        </w:tc>
        <w:tc>
          <w:tcPr>
            <w:tcW w:w="1332"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048"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048"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755" w:type="dxa"/>
            <w:vAlign w:val="center"/>
          </w:tcPr>
          <w:p>
            <w:pPr>
              <w:keepNext w:val="0"/>
              <w:keepLines w:val="0"/>
              <w:suppressLineNumbers w:val="0"/>
              <w:spacing w:before="0" w:beforeAutospacing="0" w:after="0" w:afterAutospacing="0"/>
              <w:ind w:left="0" w:right="0"/>
              <w:jc w:val="center"/>
              <w:rPr>
                <w:rFonts w:hint="eastAsia" w:ascii="方正仿宋_GBK" w:hAnsi="仿宋" w:eastAsia="方正仿宋_GBK"/>
                <w:sz w:val="18"/>
                <w:szCs w:val="18"/>
                <w:lang w:val="en-US" w:eastAsia="zh-CN"/>
              </w:rPr>
            </w:pPr>
            <w:r>
              <w:rPr>
                <w:rFonts w:hint="eastAsia" w:ascii="方正仿宋_GBK" w:hAnsi="仿宋" w:eastAsia="方正仿宋_GBK"/>
                <w:sz w:val="18"/>
                <w:szCs w:val="18"/>
                <w:lang w:val="en-US" w:eastAsia="zh-CN"/>
              </w:rPr>
              <w:t>3</w:t>
            </w:r>
          </w:p>
        </w:tc>
        <w:tc>
          <w:tcPr>
            <w:tcW w:w="1376"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color w:val="auto"/>
                <w:kern w:val="2"/>
                <w:sz w:val="18"/>
                <w:szCs w:val="18"/>
                <w:highlight w:val="none"/>
                <w:lang w:val="en-US" w:eastAsia="zh-CN" w:bidi="ar-SA"/>
              </w:rPr>
            </w:pPr>
          </w:p>
        </w:tc>
        <w:tc>
          <w:tcPr>
            <w:tcW w:w="87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color w:val="auto"/>
                <w:kern w:val="2"/>
                <w:sz w:val="18"/>
                <w:szCs w:val="18"/>
                <w:highlight w:val="none"/>
                <w:lang w:val="en-US" w:eastAsia="zh-CN" w:bidi="ar-SA"/>
              </w:rPr>
            </w:pPr>
          </w:p>
        </w:tc>
        <w:tc>
          <w:tcPr>
            <w:tcW w:w="1063"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eastAsiaTheme="minorEastAsia"/>
                <w:color w:val="auto"/>
                <w:kern w:val="2"/>
                <w:sz w:val="18"/>
                <w:szCs w:val="18"/>
                <w:highlight w:val="none"/>
                <w:lang w:val="en-US" w:eastAsia="zh-CN" w:bidi="ar-SA"/>
              </w:rPr>
            </w:pPr>
          </w:p>
        </w:tc>
        <w:tc>
          <w:tcPr>
            <w:tcW w:w="1026"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sz w:val="22"/>
                <w:lang w:val="en-US" w:eastAsia="zh-CN"/>
              </w:rPr>
            </w:pPr>
          </w:p>
        </w:tc>
        <w:tc>
          <w:tcPr>
            <w:tcW w:w="1332"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048"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048"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755" w:type="dxa"/>
            <w:vAlign w:val="center"/>
          </w:tcPr>
          <w:p>
            <w:pPr>
              <w:keepNext w:val="0"/>
              <w:keepLines w:val="0"/>
              <w:suppressLineNumbers w:val="0"/>
              <w:spacing w:before="0" w:beforeAutospacing="0" w:after="0" w:afterAutospacing="0"/>
              <w:ind w:left="0" w:right="0"/>
              <w:jc w:val="center"/>
              <w:rPr>
                <w:rFonts w:hint="eastAsia" w:ascii="方正仿宋_GBK" w:hAnsi="仿宋" w:eastAsia="方正仿宋_GBK"/>
                <w:sz w:val="18"/>
                <w:szCs w:val="18"/>
                <w:lang w:val="en-US" w:eastAsia="zh-CN"/>
              </w:rPr>
            </w:pPr>
            <w:r>
              <w:rPr>
                <w:rFonts w:hint="eastAsia" w:ascii="方正仿宋_GBK" w:hAnsi="仿宋" w:eastAsia="方正仿宋_GBK"/>
                <w:sz w:val="18"/>
                <w:szCs w:val="18"/>
                <w:lang w:val="en-US" w:eastAsia="zh-CN"/>
              </w:rPr>
              <w:t>4</w:t>
            </w:r>
          </w:p>
        </w:tc>
        <w:tc>
          <w:tcPr>
            <w:tcW w:w="1376"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color w:val="auto"/>
                <w:kern w:val="2"/>
                <w:sz w:val="18"/>
                <w:szCs w:val="18"/>
                <w:highlight w:val="none"/>
                <w:lang w:val="en-US" w:eastAsia="zh-CN" w:bidi="ar-SA"/>
              </w:rPr>
            </w:pPr>
          </w:p>
        </w:tc>
        <w:tc>
          <w:tcPr>
            <w:tcW w:w="87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color w:val="auto"/>
                <w:kern w:val="2"/>
                <w:sz w:val="18"/>
                <w:szCs w:val="18"/>
                <w:highlight w:val="none"/>
                <w:lang w:val="en-US" w:eastAsia="zh-CN" w:bidi="ar-SA"/>
              </w:rPr>
            </w:pPr>
          </w:p>
        </w:tc>
        <w:tc>
          <w:tcPr>
            <w:tcW w:w="1063"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eastAsiaTheme="minorEastAsia"/>
                <w:color w:val="auto"/>
                <w:kern w:val="2"/>
                <w:sz w:val="18"/>
                <w:szCs w:val="18"/>
                <w:highlight w:val="none"/>
                <w:lang w:val="en-US" w:eastAsia="zh-CN" w:bidi="ar-SA"/>
              </w:rPr>
            </w:pPr>
          </w:p>
        </w:tc>
        <w:tc>
          <w:tcPr>
            <w:tcW w:w="1026"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sz w:val="22"/>
                <w:lang w:val="en-US" w:eastAsia="zh-CN"/>
              </w:rPr>
            </w:pPr>
          </w:p>
        </w:tc>
        <w:tc>
          <w:tcPr>
            <w:tcW w:w="1332"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048"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048"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755" w:type="dxa"/>
            <w:vAlign w:val="center"/>
          </w:tcPr>
          <w:p>
            <w:pPr>
              <w:keepNext w:val="0"/>
              <w:keepLines w:val="0"/>
              <w:suppressLineNumbers w:val="0"/>
              <w:spacing w:before="0" w:beforeAutospacing="0" w:after="0" w:afterAutospacing="0"/>
              <w:ind w:left="0" w:right="0"/>
              <w:jc w:val="center"/>
              <w:rPr>
                <w:rFonts w:hint="eastAsia" w:ascii="方正仿宋_GBK" w:hAnsi="仿宋" w:eastAsia="方正仿宋_GBK"/>
                <w:sz w:val="18"/>
                <w:szCs w:val="18"/>
                <w:lang w:val="en-US" w:eastAsia="zh-CN"/>
              </w:rPr>
            </w:pPr>
            <w:r>
              <w:rPr>
                <w:rFonts w:hint="eastAsia" w:ascii="方正仿宋_GBK" w:hAnsi="仿宋" w:eastAsia="方正仿宋_GBK"/>
                <w:sz w:val="18"/>
                <w:szCs w:val="18"/>
                <w:lang w:val="en-US" w:eastAsia="zh-CN"/>
              </w:rPr>
              <w:t>5</w:t>
            </w:r>
          </w:p>
        </w:tc>
        <w:tc>
          <w:tcPr>
            <w:tcW w:w="1376"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color w:val="auto"/>
                <w:kern w:val="2"/>
                <w:sz w:val="18"/>
                <w:szCs w:val="18"/>
                <w:highlight w:val="none"/>
                <w:lang w:val="en-US" w:eastAsia="zh-CN" w:bidi="ar-SA"/>
              </w:rPr>
            </w:pPr>
          </w:p>
        </w:tc>
        <w:tc>
          <w:tcPr>
            <w:tcW w:w="87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eastAsiaTheme="minorEastAsia"/>
                <w:color w:val="auto"/>
                <w:kern w:val="2"/>
                <w:sz w:val="18"/>
                <w:szCs w:val="18"/>
                <w:highlight w:val="none"/>
                <w:lang w:val="en-US" w:eastAsia="zh-CN" w:bidi="ar-SA"/>
              </w:rPr>
            </w:pPr>
          </w:p>
        </w:tc>
        <w:tc>
          <w:tcPr>
            <w:tcW w:w="1063"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eastAsiaTheme="minorEastAsia"/>
                <w:color w:val="auto"/>
                <w:kern w:val="2"/>
                <w:sz w:val="18"/>
                <w:szCs w:val="18"/>
                <w:highlight w:val="none"/>
                <w:lang w:val="en-US" w:eastAsia="zh-CN" w:bidi="ar-SA"/>
              </w:rPr>
            </w:pPr>
          </w:p>
        </w:tc>
        <w:tc>
          <w:tcPr>
            <w:tcW w:w="1026"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sz w:val="22"/>
                <w:lang w:val="en-US" w:eastAsia="zh-CN"/>
              </w:rPr>
            </w:pPr>
          </w:p>
        </w:tc>
        <w:tc>
          <w:tcPr>
            <w:tcW w:w="1332"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048"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048"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5090" w:type="dxa"/>
            <w:gridSpan w:val="5"/>
            <w:vAlign w:val="center"/>
          </w:tcPr>
          <w:p>
            <w:pPr>
              <w:keepNext w:val="0"/>
              <w:keepLines w:val="0"/>
              <w:suppressLineNumbers w:val="0"/>
              <w:spacing w:before="0" w:beforeAutospacing="0" w:after="0" w:afterAutospacing="0"/>
              <w:ind w:left="0" w:right="0"/>
              <w:jc w:val="center"/>
              <w:rPr>
                <w:rFonts w:hint="eastAsia" w:ascii="仿宋" w:hAnsi="仿宋" w:eastAsia="仿宋"/>
                <w:sz w:val="22"/>
                <w:lang w:val="en-US" w:eastAsia="zh-CN"/>
              </w:rPr>
            </w:pPr>
            <w:r>
              <w:rPr>
                <w:rFonts w:hint="eastAsia" w:ascii="仿宋" w:hAnsi="仿宋" w:eastAsia="仿宋"/>
                <w:sz w:val="22"/>
                <w:lang w:val="en-US" w:eastAsia="zh-CN"/>
              </w:rPr>
              <w:t>合计</w:t>
            </w:r>
          </w:p>
        </w:tc>
        <w:tc>
          <w:tcPr>
            <w:tcW w:w="1332"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048"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c>
          <w:tcPr>
            <w:tcW w:w="1048" w:type="dxa"/>
            <w:vAlign w:val="center"/>
          </w:tcPr>
          <w:p>
            <w:pPr>
              <w:keepNext w:val="0"/>
              <w:keepLines w:val="0"/>
              <w:suppressLineNumbers w:val="0"/>
              <w:spacing w:before="0" w:beforeAutospacing="0" w:after="0" w:afterAutospacing="0"/>
              <w:ind w:left="0" w:right="0"/>
              <w:jc w:val="center"/>
              <w:rPr>
                <w:rFonts w:hint="default" w:ascii="仿宋" w:hAnsi="仿宋" w:eastAsia="仿宋"/>
                <w:sz w:val="22"/>
              </w:rPr>
            </w:pPr>
          </w:p>
        </w:tc>
      </w:tr>
    </w:tbl>
    <w:p>
      <w:pPr>
        <w:spacing w:line="397" w:lineRule="exact"/>
        <w:rPr>
          <w:color w:val="000000"/>
          <w:sz w:val="24"/>
        </w:rPr>
      </w:pPr>
    </w:p>
    <w:p>
      <w:pPr>
        <w:spacing w:line="397" w:lineRule="exact"/>
        <w:rPr>
          <w:color w:val="000000"/>
          <w:sz w:val="24"/>
        </w:rPr>
      </w:pPr>
    </w:p>
    <w:p>
      <w:pPr>
        <w:spacing w:line="397" w:lineRule="exact"/>
        <w:ind w:firstLine="620"/>
        <w:rPr>
          <w:color w:val="000000"/>
          <w:sz w:val="24"/>
        </w:rPr>
      </w:pPr>
    </w:p>
    <w:p>
      <w:pPr>
        <w:widowControl/>
        <w:snapToGrid w:val="0"/>
        <w:spacing w:before="100" w:beforeAutospacing="1" w:after="100" w:afterAutospacing="1" w:line="360" w:lineRule="auto"/>
        <w:ind w:firstLine="4200" w:firstLineChars="1500"/>
        <w:jc w:val="left"/>
        <w:textAlignment w:val="bottom"/>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单位名称（盖章）：     </w:t>
      </w:r>
    </w:p>
    <w:p>
      <w:pPr>
        <w:widowControl/>
        <w:snapToGrid w:val="0"/>
        <w:spacing w:before="100" w:beforeAutospacing="1" w:after="100" w:afterAutospacing="1" w:line="360" w:lineRule="auto"/>
        <w:ind w:firstLine="5040" w:firstLineChars="1800"/>
        <w:jc w:val="left"/>
        <w:textAlignment w:val="bottom"/>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kern w:val="0"/>
          <w:sz w:val="28"/>
          <w:szCs w:val="28"/>
        </w:rPr>
        <w:t> </w:t>
      </w:r>
      <w:r>
        <w:rPr>
          <w:rFonts w:hint="eastAsia" w:ascii="方正仿宋_GBK" w:hAnsi="方正仿宋_GBK" w:eastAsia="方正仿宋_GBK" w:cs="方正仿宋_GBK"/>
          <w:bCs/>
          <w:kern w:val="0"/>
          <w:sz w:val="28"/>
          <w:szCs w:val="28"/>
        </w:rPr>
        <w:t>年  月  日</w:t>
      </w:r>
    </w:p>
    <w:p>
      <w:pPr>
        <w:spacing w:line="397" w:lineRule="exact"/>
        <w:rPr>
          <w:color w:val="000000"/>
          <w:sz w:val="24"/>
        </w:rPr>
      </w:pPr>
    </w:p>
    <w:p>
      <w:pPr>
        <w:spacing w:line="397" w:lineRule="exact"/>
        <w:rPr>
          <w:color w:val="000000"/>
          <w:sz w:val="24"/>
        </w:rPr>
      </w:pPr>
    </w:p>
    <w:p>
      <w:pPr>
        <w:pStyle w:val="2"/>
        <w:rPr>
          <w:rFonts w:hint="default"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path/>
          <v:fill on="f" focussize="0,0"/>
          <v:stroke on="f" weight="0.5pt" joinstyle="miter"/>
          <v:imagedata o:title=""/>
          <o:lock v:ext="edit"/>
          <v:textbox inset="0mm,0mm,0mm,0mm" style="mso-fit-shape-to-text:t;">
            <w:txbxContent>
              <w:p>
                <w:pPr>
                  <w:pStyle w:val="6"/>
                </w:pPr>
                <w:r>
                  <w:fldChar w:fldCharType="begin"/>
                </w:r>
                <w:r>
                  <w:instrText xml:space="preserve"> PAGE  \* MERGEFORMAT </w:instrText>
                </w:r>
                <w:r>
                  <w:fldChar w:fldCharType="separate"/>
                </w:r>
                <w:r>
                  <w:t>4</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rFonts w:hint="eastAsia"/>
      </w:rPr>
      <w:t>第</w:t>
    </w:r>
    <w:sdt>
      <w:sdtPr>
        <w:id w:val="2885264"/>
        <w:docPartObj>
          <w:docPartGallery w:val="autotext"/>
        </w:docPartObj>
      </w:sdtPr>
      <w:sdtContent>
        <w:r>
          <w:fldChar w:fldCharType="begin"/>
        </w:r>
        <w:r>
          <w:instrText xml:space="preserve"> PAGE   \* MERGEFORMAT </w:instrText>
        </w:r>
        <w:r>
          <w:fldChar w:fldCharType="separate"/>
        </w:r>
        <w:r>
          <w:rPr>
            <w:lang w:val="zh-CN"/>
          </w:rPr>
          <w:t>4</w:t>
        </w:r>
        <w:r>
          <w:rPr>
            <w:lang w:val="zh-CN"/>
          </w:rPr>
          <w:fldChar w:fldCharType="end"/>
        </w:r>
        <w:r>
          <w:rPr>
            <w:rFonts w:hint="eastAsia"/>
          </w:rPr>
          <w:t>页  共14页</w:t>
        </w:r>
      </w:sdtContent>
    </w:sdt>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60" w:lineRule="exact"/>
      <w:jc w:val="center"/>
    </w:pPr>
    <w:r>
      <w:rPr>
        <w:rFonts w:hint="eastAsia"/>
        <w:color w:val="000000"/>
        <w:sz w:val="1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936D35"/>
    <w:multiLevelType w:val="singleLevel"/>
    <w:tmpl w:val="98936D35"/>
    <w:lvl w:ilvl="0" w:tentative="0">
      <w:start w:val="1"/>
      <w:numFmt w:val="decimal"/>
      <w:suff w:val="nothing"/>
      <w:lvlText w:val="%1、"/>
      <w:lvlJc w:val="left"/>
    </w:lvl>
  </w:abstractNum>
  <w:abstractNum w:abstractNumId="1">
    <w:nsid w:val="A4FDC2E2"/>
    <w:multiLevelType w:val="singleLevel"/>
    <w:tmpl w:val="A4FDC2E2"/>
    <w:lvl w:ilvl="0" w:tentative="0">
      <w:start w:val="1"/>
      <w:numFmt w:val="decimal"/>
      <w:suff w:val="nothing"/>
      <w:lvlText w:val="%1、"/>
      <w:lvlJc w:val="left"/>
    </w:lvl>
  </w:abstractNum>
  <w:abstractNum w:abstractNumId="2">
    <w:nsid w:val="B34D7102"/>
    <w:multiLevelType w:val="singleLevel"/>
    <w:tmpl w:val="B34D7102"/>
    <w:lvl w:ilvl="0" w:tentative="0">
      <w:start w:val="1"/>
      <w:numFmt w:val="decimal"/>
      <w:suff w:val="nothing"/>
      <w:lvlText w:val="%1、"/>
      <w:lvlJc w:val="left"/>
    </w:lvl>
  </w:abstractNum>
  <w:abstractNum w:abstractNumId="3">
    <w:nsid w:val="DCE4FC1A"/>
    <w:multiLevelType w:val="singleLevel"/>
    <w:tmpl w:val="DCE4FC1A"/>
    <w:lvl w:ilvl="0" w:tentative="0">
      <w:start w:val="1"/>
      <w:numFmt w:val="decimal"/>
      <w:suff w:val="space"/>
      <w:lvlText w:val="(%1)"/>
      <w:lvlJc w:val="left"/>
      <w:pPr>
        <w:ind w:left="560" w:firstLine="0"/>
      </w:pPr>
    </w:lvl>
  </w:abstractNum>
  <w:abstractNum w:abstractNumId="4">
    <w:nsid w:val="3FBB06FE"/>
    <w:multiLevelType w:val="singleLevel"/>
    <w:tmpl w:val="3FBB06FE"/>
    <w:lvl w:ilvl="0" w:tentative="0">
      <w:start w:val="12"/>
      <w:numFmt w:val="chineseCounting"/>
      <w:suff w:val="space"/>
      <w:lvlText w:val="第%1条"/>
      <w:lvlJc w:val="left"/>
      <w:rPr>
        <w:rFonts w:hint="eastAsia"/>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61771F9D"/>
    <w:rsid w:val="00003797"/>
    <w:rsid w:val="00067E67"/>
    <w:rsid w:val="000B1F28"/>
    <w:rsid w:val="000F30E5"/>
    <w:rsid w:val="001077E4"/>
    <w:rsid w:val="00107BAA"/>
    <w:rsid w:val="001232D0"/>
    <w:rsid w:val="00132E32"/>
    <w:rsid w:val="001546A4"/>
    <w:rsid w:val="00175DF9"/>
    <w:rsid w:val="001A00DC"/>
    <w:rsid w:val="001A30B2"/>
    <w:rsid w:val="001E23EF"/>
    <w:rsid w:val="00204ECB"/>
    <w:rsid w:val="00207F06"/>
    <w:rsid w:val="00222863"/>
    <w:rsid w:val="0024775E"/>
    <w:rsid w:val="00280E77"/>
    <w:rsid w:val="00283A7D"/>
    <w:rsid w:val="002C0FF6"/>
    <w:rsid w:val="002D5A85"/>
    <w:rsid w:val="0033260D"/>
    <w:rsid w:val="00333992"/>
    <w:rsid w:val="003553C6"/>
    <w:rsid w:val="003A28E5"/>
    <w:rsid w:val="00415922"/>
    <w:rsid w:val="0043316F"/>
    <w:rsid w:val="00444F53"/>
    <w:rsid w:val="0047777E"/>
    <w:rsid w:val="004903BA"/>
    <w:rsid w:val="004C65DD"/>
    <w:rsid w:val="004E21AB"/>
    <w:rsid w:val="00520318"/>
    <w:rsid w:val="005B7903"/>
    <w:rsid w:val="00615D35"/>
    <w:rsid w:val="00622BEE"/>
    <w:rsid w:val="00654F9A"/>
    <w:rsid w:val="006747EB"/>
    <w:rsid w:val="00680497"/>
    <w:rsid w:val="006A1EFD"/>
    <w:rsid w:val="006B0349"/>
    <w:rsid w:val="006B61FD"/>
    <w:rsid w:val="006C1B36"/>
    <w:rsid w:val="006D6EC3"/>
    <w:rsid w:val="00727F80"/>
    <w:rsid w:val="00757FA1"/>
    <w:rsid w:val="007C457E"/>
    <w:rsid w:val="007E4DDF"/>
    <w:rsid w:val="00843586"/>
    <w:rsid w:val="008545A4"/>
    <w:rsid w:val="008C4886"/>
    <w:rsid w:val="008D0782"/>
    <w:rsid w:val="009049C5"/>
    <w:rsid w:val="00904E9C"/>
    <w:rsid w:val="009342FD"/>
    <w:rsid w:val="00934D34"/>
    <w:rsid w:val="009401CB"/>
    <w:rsid w:val="00955B1D"/>
    <w:rsid w:val="0099482F"/>
    <w:rsid w:val="009C20A9"/>
    <w:rsid w:val="009C2110"/>
    <w:rsid w:val="009E079C"/>
    <w:rsid w:val="009E7004"/>
    <w:rsid w:val="00A219C5"/>
    <w:rsid w:val="00A46464"/>
    <w:rsid w:val="00A704DC"/>
    <w:rsid w:val="00A76E61"/>
    <w:rsid w:val="00AC6057"/>
    <w:rsid w:val="00AE1EC1"/>
    <w:rsid w:val="00AE2DE8"/>
    <w:rsid w:val="00B135C8"/>
    <w:rsid w:val="00B33701"/>
    <w:rsid w:val="00B528DB"/>
    <w:rsid w:val="00B61012"/>
    <w:rsid w:val="00BA78F8"/>
    <w:rsid w:val="00BC0B22"/>
    <w:rsid w:val="00BD24A2"/>
    <w:rsid w:val="00BE06AC"/>
    <w:rsid w:val="00C25645"/>
    <w:rsid w:val="00C25F69"/>
    <w:rsid w:val="00C81724"/>
    <w:rsid w:val="00C86BCD"/>
    <w:rsid w:val="00CA23B5"/>
    <w:rsid w:val="00CA6E7F"/>
    <w:rsid w:val="00CD1246"/>
    <w:rsid w:val="00CF6424"/>
    <w:rsid w:val="00D0325D"/>
    <w:rsid w:val="00D3477B"/>
    <w:rsid w:val="00D461EF"/>
    <w:rsid w:val="00D5315D"/>
    <w:rsid w:val="00D671F1"/>
    <w:rsid w:val="00DA4EC7"/>
    <w:rsid w:val="00DA794F"/>
    <w:rsid w:val="00DE10AB"/>
    <w:rsid w:val="00E16F1E"/>
    <w:rsid w:val="00E2048E"/>
    <w:rsid w:val="00E245CA"/>
    <w:rsid w:val="00E36596"/>
    <w:rsid w:val="00E37EEA"/>
    <w:rsid w:val="00E42192"/>
    <w:rsid w:val="00E74126"/>
    <w:rsid w:val="00EA333E"/>
    <w:rsid w:val="00EC648F"/>
    <w:rsid w:val="00EE235A"/>
    <w:rsid w:val="00F016C9"/>
    <w:rsid w:val="00F50CDF"/>
    <w:rsid w:val="00F711E0"/>
    <w:rsid w:val="00F76B58"/>
    <w:rsid w:val="00F80689"/>
    <w:rsid w:val="00F87B63"/>
    <w:rsid w:val="00FB184A"/>
    <w:rsid w:val="00FB36F3"/>
    <w:rsid w:val="00FD620F"/>
    <w:rsid w:val="00FE5412"/>
    <w:rsid w:val="015B6D94"/>
    <w:rsid w:val="01C532E9"/>
    <w:rsid w:val="01C556FF"/>
    <w:rsid w:val="02DF57A3"/>
    <w:rsid w:val="02E470A8"/>
    <w:rsid w:val="041A320C"/>
    <w:rsid w:val="05461A2A"/>
    <w:rsid w:val="06EA6F3C"/>
    <w:rsid w:val="072B545A"/>
    <w:rsid w:val="08566507"/>
    <w:rsid w:val="08A059D4"/>
    <w:rsid w:val="0A3D4649"/>
    <w:rsid w:val="0BC916A9"/>
    <w:rsid w:val="0C5823BF"/>
    <w:rsid w:val="0E4B0190"/>
    <w:rsid w:val="0E5C3E25"/>
    <w:rsid w:val="0F44530B"/>
    <w:rsid w:val="10000EDA"/>
    <w:rsid w:val="12DD20EA"/>
    <w:rsid w:val="13483619"/>
    <w:rsid w:val="13843077"/>
    <w:rsid w:val="14292E70"/>
    <w:rsid w:val="145D29CB"/>
    <w:rsid w:val="14935774"/>
    <w:rsid w:val="16B818E8"/>
    <w:rsid w:val="16FE6BA3"/>
    <w:rsid w:val="17391CF9"/>
    <w:rsid w:val="1789285E"/>
    <w:rsid w:val="17BE6435"/>
    <w:rsid w:val="17C17277"/>
    <w:rsid w:val="17DB3084"/>
    <w:rsid w:val="19BC6F4C"/>
    <w:rsid w:val="1A0F1210"/>
    <w:rsid w:val="1A3E0861"/>
    <w:rsid w:val="1A9A02B3"/>
    <w:rsid w:val="1B4A39D7"/>
    <w:rsid w:val="1BEE57A1"/>
    <w:rsid w:val="1C2D6331"/>
    <w:rsid w:val="1DA62689"/>
    <w:rsid w:val="1EDA17E8"/>
    <w:rsid w:val="1EE2244B"/>
    <w:rsid w:val="1EEE6D0E"/>
    <w:rsid w:val="1F430598"/>
    <w:rsid w:val="1F85103B"/>
    <w:rsid w:val="1FF70178"/>
    <w:rsid w:val="202820DF"/>
    <w:rsid w:val="20D773C6"/>
    <w:rsid w:val="230460E0"/>
    <w:rsid w:val="23706277"/>
    <w:rsid w:val="240A1E8A"/>
    <w:rsid w:val="245F009A"/>
    <w:rsid w:val="246758CC"/>
    <w:rsid w:val="247D50F0"/>
    <w:rsid w:val="265E4AAD"/>
    <w:rsid w:val="29001E4B"/>
    <w:rsid w:val="2A076ABF"/>
    <w:rsid w:val="2A551DFF"/>
    <w:rsid w:val="2B116641"/>
    <w:rsid w:val="2B8265B4"/>
    <w:rsid w:val="2BE23A8A"/>
    <w:rsid w:val="2D621327"/>
    <w:rsid w:val="2D880661"/>
    <w:rsid w:val="2DC54808"/>
    <w:rsid w:val="2DF23368"/>
    <w:rsid w:val="2F894BD6"/>
    <w:rsid w:val="2F971030"/>
    <w:rsid w:val="322D6606"/>
    <w:rsid w:val="32F6606D"/>
    <w:rsid w:val="33584D17"/>
    <w:rsid w:val="34277A89"/>
    <w:rsid w:val="350F3EE8"/>
    <w:rsid w:val="362D13B0"/>
    <w:rsid w:val="363070B6"/>
    <w:rsid w:val="36F86858"/>
    <w:rsid w:val="3845787B"/>
    <w:rsid w:val="3A1F234D"/>
    <w:rsid w:val="3A8C79E3"/>
    <w:rsid w:val="3BD74C8E"/>
    <w:rsid w:val="3BFB3DD8"/>
    <w:rsid w:val="3CF9616C"/>
    <w:rsid w:val="3DF37D79"/>
    <w:rsid w:val="3E032EB7"/>
    <w:rsid w:val="3E2D64A7"/>
    <w:rsid w:val="3E71651A"/>
    <w:rsid w:val="3ED23E32"/>
    <w:rsid w:val="417F17B2"/>
    <w:rsid w:val="42805130"/>
    <w:rsid w:val="433724B6"/>
    <w:rsid w:val="44BE568E"/>
    <w:rsid w:val="4508235C"/>
    <w:rsid w:val="4573666B"/>
    <w:rsid w:val="45C421F4"/>
    <w:rsid w:val="46004DE1"/>
    <w:rsid w:val="46265402"/>
    <w:rsid w:val="47111CA9"/>
    <w:rsid w:val="471A1242"/>
    <w:rsid w:val="49E113CD"/>
    <w:rsid w:val="4B6C4CC7"/>
    <w:rsid w:val="4CFD651E"/>
    <w:rsid w:val="4D43624E"/>
    <w:rsid w:val="4D642F15"/>
    <w:rsid w:val="4D7A29D4"/>
    <w:rsid w:val="4EC03ED7"/>
    <w:rsid w:val="50CF6052"/>
    <w:rsid w:val="51204589"/>
    <w:rsid w:val="517A638F"/>
    <w:rsid w:val="52E44704"/>
    <w:rsid w:val="5379604F"/>
    <w:rsid w:val="53FC3DBB"/>
    <w:rsid w:val="54515AB5"/>
    <w:rsid w:val="55265EE8"/>
    <w:rsid w:val="561759A6"/>
    <w:rsid w:val="57551807"/>
    <w:rsid w:val="578E6816"/>
    <w:rsid w:val="58615BB3"/>
    <w:rsid w:val="58722AC6"/>
    <w:rsid w:val="588E2720"/>
    <w:rsid w:val="58977966"/>
    <w:rsid w:val="58A0006A"/>
    <w:rsid w:val="59480B21"/>
    <w:rsid w:val="59C474EF"/>
    <w:rsid w:val="5B1C7507"/>
    <w:rsid w:val="5C2A4CC2"/>
    <w:rsid w:val="5CD252D1"/>
    <w:rsid w:val="5D221242"/>
    <w:rsid w:val="5DC93865"/>
    <w:rsid w:val="5F4D2B10"/>
    <w:rsid w:val="5FCC24AC"/>
    <w:rsid w:val="60E530F9"/>
    <w:rsid w:val="614A2CE1"/>
    <w:rsid w:val="61771F9D"/>
    <w:rsid w:val="617921AE"/>
    <w:rsid w:val="61CF09C4"/>
    <w:rsid w:val="63B70D7D"/>
    <w:rsid w:val="648275DD"/>
    <w:rsid w:val="649E1F3D"/>
    <w:rsid w:val="65030AD7"/>
    <w:rsid w:val="661029C7"/>
    <w:rsid w:val="678D7C38"/>
    <w:rsid w:val="692F05A4"/>
    <w:rsid w:val="6A242EE4"/>
    <w:rsid w:val="6A254237"/>
    <w:rsid w:val="6A771266"/>
    <w:rsid w:val="6AA70ABD"/>
    <w:rsid w:val="6AED1528"/>
    <w:rsid w:val="6B2F1B41"/>
    <w:rsid w:val="6B40549D"/>
    <w:rsid w:val="6F452166"/>
    <w:rsid w:val="701D0187"/>
    <w:rsid w:val="70651B61"/>
    <w:rsid w:val="71413BC5"/>
    <w:rsid w:val="71436346"/>
    <w:rsid w:val="73CA0659"/>
    <w:rsid w:val="74C432FA"/>
    <w:rsid w:val="75397D84"/>
    <w:rsid w:val="75E23F25"/>
    <w:rsid w:val="75E250B9"/>
    <w:rsid w:val="76774D15"/>
    <w:rsid w:val="773F4EBA"/>
    <w:rsid w:val="77E872FF"/>
    <w:rsid w:val="79352A18"/>
    <w:rsid w:val="79424F10"/>
    <w:rsid w:val="796E5F2A"/>
    <w:rsid w:val="7AD954E3"/>
    <w:rsid w:val="7B4E79AB"/>
    <w:rsid w:val="7C030BAC"/>
    <w:rsid w:val="7CCD4D16"/>
    <w:rsid w:val="7CEB43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9">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semiHidden/>
    <w:unhideWhenUsed/>
    <w:qFormat/>
    <w:uiPriority w:val="0"/>
    <w:pPr>
      <w:jc w:val="left"/>
    </w:pPr>
  </w:style>
  <w:style w:type="paragraph" w:styleId="4">
    <w:name w:val="Body Text"/>
    <w:basedOn w:val="1"/>
    <w:next w:val="5"/>
    <w:qFormat/>
    <w:uiPriority w:val="0"/>
    <w:rPr>
      <w:rFonts w:ascii="Times New Roman" w:hAnsi="Times New Roman" w:cs="Times New Roman"/>
      <w:kern w:val="0"/>
    </w:rPr>
  </w:style>
  <w:style w:type="paragraph" w:customStyle="1" w:styleId="5">
    <w:name w:val="目录 53"/>
    <w:next w:val="1"/>
    <w:qFormat/>
    <w:uiPriority w:val="0"/>
    <w:pPr>
      <w:wordWrap w:val="0"/>
      <w:ind w:left="1275"/>
      <w:jc w:val="both"/>
    </w:pPr>
    <w:rPr>
      <w:rFonts w:ascii="Calibri" w:hAnsi="Calibri" w:eastAsia="宋体" w:cs="Times New Roman"/>
      <w:sz w:val="21"/>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2">
    <w:name w:val="页眉 Char"/>
    <w:basedOn w:val="9"/>
    <w:link w:val="7"/>
    <w:qFormat/>
    <w:uiPriority w:val="0"/>
    <w:rPr>
      <w:rFonts w:asciiTheme="minorHAnsi" w:hAnsiTheme="minorHAnsi" w:eastAsiaTheme="minorEastAsia" w:cstheme="minorBidi"/>
      <w:kern w:val="2"/>
      <w:sz w:val="18"/>
      <w:szCs w:val="18"/>
    </w:rPr>
  </w:style>
  <w:style w:type="character" w:customStyle="1" w:styleId="13">
    <w:name w:val="font31"/>
    <w:basedOn w:val="9"/>
    <w:qFormat/>
    <w:uiPriority w:val="0"/>
    <w:rPr>
      <w:rFonts w:hint="eastAsia" w:ascii="宋体" w:hAnsi="宋体" w:eastAsia="宋体" w:cs="宋体"/>
      <w:b/>
      <w:color w:val="000000"/>
      <w:sz w:val="18"/>
      <w:szCs w:val="18"/>
      <w:u w:val="none"/>
    </w:rPr>
  </w:style>
  <w:style w:type="character" w:customStyle="1" w:styleId="14">
    <w:name w:val="font11"/>
    <w:basedOn w:val="9"/>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2053"/>
    <customShpInfo spid="_x0000_s2052"/>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1260</Words>
  <Characters>7182</Characters>
  <Lines>59</Lines>
  <Paragraphs>16</Paragraphs>
  <TotalTime>1</TotalTime>
  <ScaleCrop>false</ScaleCrop>
  <LinksUpToDate>false</LinksUpToDate>
  <CharactersWithSpaces>8426</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2021-12-03T07:09:00Z</dcterms:created>
  <dc:creator>枯叶蝶</dc:creator>
  <cp:lastModifiedBy>tabo</cp:lastModifiedBy>
  <dcterms:modified xsi:type="dcterms:W3CDTF">2021-12-27T08:23:10Z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KSOSaveFontToCloudKey">
    <vt:lpwstr>1146097076_btnclosed</vt:lpwstr>
  </property>
  <property fmtid="{D5CDD505-2E9C-101B-9397-08002B2CF9AE}" pid="4" name="ICV">
    <vt:lpwstr>EB3DB4BA4C9B4F1EB8D273E89C9E94EF</vt:lpwstr>
  </property>
</Properties>
</file>