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u w:val="none"/>
        </w:rPr>
        <w:t>重庆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u w:val="none"/>
          <w:lang w:eastAsia="zh-CN"/>
        </w:rPr>
        <w:t>通邑物业管理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u w:val="none"/>
        </w:rPr>
        <w:t>有限公司</w:t>
      </w:r>
    </w:p>
    <w:p>
      <w:pPr>
        <w:tabs>
          <w:tab w:val="left" w:pos="-7488"/>
        </w:tabs>
        <w:ind w:right="611" w:rightChars="291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u w:val="single"/>
          <w:lang w:eastAsia="zh-CN"/>
        </w:rPr>
        <w:t>轨道2号线绿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>植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u w:val="single"/>
          <w:lang w:eastAsia="zh-CN"/>
        </w:rPr>
        <w:t>租摆及养护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u w:val="none"/>
          <w:lang w:eastAsia="zh-CN"/>
        </w:rPr>
        <w:t>项目</w:t>
      </w:r>
    </w:p>
    <w:p>
      <w:pPr>
        <w:tabs>
          <w:tab w:val="left" w:pos="-7488"/>
        </w:tabs>
        <w:ind w:right="611" w:rightChars="291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eastAsia="zh-CN"/>
        </w:rPr>
        <w:t>比选邀请函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：</w:t>
      </w:r>
    </w:p>
    <w:p>
      <w:pPr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     我司拟开展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轨道2号线绿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租摆及养护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工作，本次工作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实施单位的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确定将采用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方式进行。现邀请贵单位作为潜在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比选被邀请人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之一参加报价和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谈判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。具体项目情况如下： </w:t>
      </w:r>
    </w:p>
    <w:tbl>
      <w:tblPr>
        <w:tblStyle w:val="7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7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一、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</w:rPr>
              <w:t>项目概况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轨道2号线绿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租摆及养护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</w:rPr>
              <w:t>项目投资</w:t>
            </w:r>
          </w:p>
        </w:tc>
        <w:tc>
          <w:tcPr>
            <w:tcW w:w="72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</w:rPr>
              <w:t>本项目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</w:rPr>
              <w:t>估算总投资约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u w:val="single"/>
                <w:lang w:val="en-US" w:eastAsia="zh-CN"/>
              </w:rPr>
              <w:t>18万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</w:rPr>
              <w:t>项目具体概况</w:t>
            </w:r>
          </w:p>
        </w:tc>
        <w:tc>
          <w:tcPr>
            <w:tcW w:w="7202" w:type="dxa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根据我司的绿植配置标准，需提供足额的绿植，并在每周做好绿植的后期养护、更换、补栽，如遇重大接待或迎接各项检查及现场需要，需临时增加养护、更换、补栽次数，保证绿植鲜活及美观。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 w:ascii="Times New Roman" w:hAnsi="Times New Roman" w:eastAsia="宋体" w:cs="方正仿宋_GBK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工    期</w:t>
            </w:r>
          </w:p>
        </w:tc>
        <w:tc>
          <w:tcPr>
            <w:tcW w:w="7202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预计开工时间</w:t>
            </w:r>
          </w:p>
        </w:tc>
        <w:tc>
          <w:tcPr>
            <w:tcW w:w="7202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2021年7月21日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31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二、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比选被邀请人须知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exac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比选范围及内容</w:t>
            </w:r>
          </w:p>
        </w:tc>
        <w:tc>
          <w:tcPr>
            <w:tcW w:w="7202" w:type="dxa"/>
            <w:vAlign w:val="center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大型绿植租摆及养护（1m-1.5m）159株、中型绿植租摆及养护（0.8m-1m）459株、小型绿植租摆及养护（桌面植物）80株，对变电所室外面积为1085㎡绿化地进行养护及补栽（自行踩点）。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要求：1、在报价中请列出各类盆栽、补栽植物可提供的绿植种类；</w:t>
            </w:r>
          </w:p>
          <w:p>
            <w:pPr>
              <w:rPr>
                <w:rFonts w:hint="default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2、所有盆栽均采用统一的陶瓷盆进行摆放（甲方确定款式）。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比选被邀请人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资格要求</w:t>
            </w:r>
          </w:p>
        </w:tc>
        <w:tc>
          <w:tcPr>
            <w:tcW w:w="7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资格：具备有效营业执照，执照经营范围需包含绿植养护服务等相关内容；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业绩：具备三年内商业综合体10万方以上或在运轨道交通车站绿植租摆服务经历，须提交服务合同或相关业绩证明材料。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比选邀请函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文件领取和递交时间、地点及比选文件份数</w:t>
            </w:r>
          </w:p>
        </w:tc>
        <w:tc>
          <w:tcPr>
            <w:tcW w:w="7202" w:type="dxa"/>
            <w:vAlign w:val="center"/>
          </w:tcPr>
          <w:p>
            <w:pPr>
              <w:spacing w:line="440" w:lineRule="exact"/>
              <w:ind w:left="480" w:hanging="480" w:hanging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1、领取文件时间：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见官网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。 </w:t>
            </w: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2、递交文件时间：于2021年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4:00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时 0分截止。    </w:t>
            </w:r>
          </w:p>
          <w:p>
            <w:pPr>
              <w:spacing w:line="440" w:lineRule="exact"/>
              <w:ind w:left="480" w:hanging="480" w:hanging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3、递交文件地点：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重庆市南岸区涂山镇腾龙大道58号泽京微V小区重庆通邑物业管理有限公司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。</w:t>
            </w: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4、比选时间：于2021年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5、比选文件份数：正本壹份，副本壹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限价及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报价要求</w:t>
            </w:r>
          </w:p>
        </w:tc>
        <w:tc>
          <w:tcPr>
            <w:tcW w:w="7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6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限价：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比选的最高限价18万元/年，以最低价中标。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本次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报价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为一次性最终报价，不再议价。请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比选被邀请人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根据自身情况自主报价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报价超过该限价的视为自愿放弃资格。如出现报价金额相同情况，则需现场第二次报价，直至价格出现差异为止。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比选报价要求：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本次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报价为包干固定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价，包含但不限于人工费、材料费、机械费、企业管理费、利润、风险费用、检测费、措施费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安全文明施工费、赶工补偿费、水电费、垃圾清运费弃渣费、规费、税金以及本工程验收、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材料涨价、不可预计未列出的风险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等所有费用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结算时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不论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清掏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现场实际现状条件是否与报价相符结算总价均不作任何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费用支付方式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本项目无预付款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 xml:space="preserve">根据当月实际租摆的绿植种类及数量据实结算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其他需告知被邀请人的要求</w:t>
            </w:r>
          </w:p>
        </w:tc>
        <w:tc>
          <w:tcPr>
            <w:tcW w:w="7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比选方需自行评估植物租摆及日常养护现场条件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三、比选方式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exact"/>
        </w:trPr>
        <w:tc>
          <w:tcPr>
            <w:tcW w:w="9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比选各方人员在公司纪检人员的见证下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当众开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启密封文件；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分别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查验响应性文件，宣读报价书，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满足比选函要求的进行正式比选（不满足要求的取消比选资格）；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委托代理人签字确认报价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，比选小组对项目报价、工期、材料准备时间、施工配合、安全文明施工、费用支付等情况进行详细比选并进行记录。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符合比选条件的被邀请单位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以报价最低的潜在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邀请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单位为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候选单位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对未中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情况不做解释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  <w:t>文件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组成及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</w:trPr>
        <w:tc>
          <w:tcPr>
            <w:tcW w:w="9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文件包括但不限于以下内容：★（1）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函及报价清单；★（2）营业执照；★（3）法定代表人或授权代理人身份证明及授权委托书；★（4）绿植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养护、更换、补栽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2、要求提供的资料均需加盖鲜章，所有资料密封并在密封袋上写明邀请单位名称、项目名称、日期并加盖公章。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eastAsia="zh-CN"/>
        </w:rPr>
        <w:t>比选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函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eastAsia="zh-CN"/>
        </w:rPr>
        <w:t>重庆通邑物业管理有限公司：</w:t>
      </w:r>
    </w:p>
    <w:p>
      <w:pPr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     根据贵方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 xml:space="preserve">轨道2号线绿植租摆及养护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项目的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函文件，本公司正式授权的下述签字人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（姓名和职务）代表本公司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比选被邀请人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名称），提交本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函。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据此函，签字人兹宣布同意如下：</w:t>
      </w:r>
    </w:p>
    <w:p>
      <w:pPr>
        <w:numPr>
          <w:ilvl w:val="0"/>
          <w:numId w:val="2"/>
        </w:numPr>
        <w:ind w:left="560"/>
        <w:jc w:val="left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愿意接受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函中提出的酬金支付方式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绿植每月价格：大型绿植   元/株，中型绿植   元/株，小型绿植   元/株，1085㎡绿化地养护及补栽      元/月，每月总价:     元。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全年合计费用为：人民币        元整。（所填报数字必须保留至小数点后2位，小数点后无数字时填写0）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="560" w:leftChars="0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lang w:eastAsia="zh-CN"/>
        </w:rPr>
        <w:t>)我司承诺合同工期为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年，我司确保在该工期内完工。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(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)我们已详细阅读了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函全部内容，我们知道必须放弃提出含糊不清或误解的问题的权利。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(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)我们保证根据规定履行合同责任和义务。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(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)本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函自开启之日起至项目全部完成之内有效。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报价人全称（公章）： 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通信地址：                              </w:t>
      </w: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电话、传真：报价人法定代表人或授权代理人签字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：</w:t>
      </w:r>
    </w:p>
    <w:p>
      <w:pPr>
        <w:rPr>
          <w:rFonts w:hint="default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日期：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年 月 日</w:t>
      </w:r>
    </w:p>
    <w:p/>
    <w:p/>
    <w:p/>
    <w:p>
      <w:pPr>
        <w:ind w:firstLine="3080" w:firstLineChars="110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 </w:t>
      </w:r>
    </w:p>
    <w:p>
      <w:pPr>
        <w:ind w:firstLine="2530" w:firstLineChars="700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eastAsia="zh-CN"/>
        </w:rPr>
        <w:t>报价清单（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val="en-US" w:eastAsia="zh-CN"/>
        </w:rPr>
        <w:t>格式自行调整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eastAsia="zh-CN"/>
        </w:rPr>
        <w:t>）</w:t>
      </w:r>
    </w:p>
    <w:p>
      <w:pPr>
        <w:jc w:val="both"/>
        <w:rPr>
          <w:rFonts w:hint="default" w:ascii="Times New Roman" w:hAnsi="Times New Roman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1、绿植租摆报价明细表</w:t>
      </w:r>
    </w:p>
    <w:tbl>
      <w:tblPr>
        <w:tblStyle w:val="6"/>
        <w:tblW w:w="1102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67"/>
        <w:gridCol w:w="2178"/>
        <w:gridCol w:w="800"/>
        <w:gridCol w:w="1874"/>
        <w:gridCol w:w="800"/>
        <w:gridCol w:w="1110"/>
        <w:gridCol w:w="800"/>
        <w:gridCol w:w="800"/>
        <w:gridCol w:w="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大型绿植   （100-150cm)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中型绿植(0.8-100cm)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小型绿植   (台面植物）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月小计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佛图关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马王场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白居寺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0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备注：此报价包含绿植所有维护（每周至少一次）、保养、更换等所有事项，容器必须是统一陶瓷盆（款式需要甲方确定）；并在次报价中明确在此价格内可提供选择的绿植种类。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240" w:lineRule="auto"/>
        <w:jc w:val="left"/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2、1085㎡绿化地养护及补栽每月费用为    元。</w:t>
      </w:r>
    </w:p>
    <w:p>
      <w:pPr>
        <w:pageBreakBefore w:val="0"/>
        <w:kinsoku/>
        <w:overflowPunct/>
        <w:topLinePunct w:val="0"/>
        <w:bidi w:val="0"/>
        <w:spacing w:line="240" w:lineRule="auto"/>
        <w:jc w:val="left"/>
        <w:rPr>
          <w:rFonts w:hint="default" w:ascii="Times New Roman" w:hAnsi="Times New Roman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3、全年合计费用为：人民币        元整。</w:t>
      </w:r>
    </w:p>
    <w:p>
      <w:pPr>
        <w:pageBreakBefore w:val="0"/>
        <w:kinsoku/>
        <w:overflowPunct/>
        <w:topLinePunct w:val="0"/>
        <w:bidi w:val="0"/>
        <w:spacing w:line="240" w:lineRule="auto"/>
        <w:jc w:val="both"/>
        <w:rPr>
          <w:rFonts w:hint="eastAsia" w:ascii="Times New Roman" w:hAnsi="Times New Roman" w:eastAsia="方正仿宋_GBK" w:cs="方正仿宋_GBK"/>
          <w:sz w:val="20"/>
          <w:szCs w:val="20"/>
          <w:u w:val="none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240" w:lineRule="auto"/>
        <w:jc w:val="both"/>
        <w:rPr>
          <w:rFonts w:hint="eastAsia" w:ascii="Times New Roman" w:hAnsi="Times New Roman" w:eastAsia="方正仿宋_GBK" w:cs="方正仿宋_GBK"/>
          <w:sz w:val="20"/>
          <w:szCs w:val="20"/>
          <w:u w:val="none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240" w:lineRule="auto"/>
        <w:jc w:val="both"/>
        <w:rPr>
          <w:rFonts w:hint="eastAsia" w:ascii="Times New Roman" w:hAnsi="Times New Roman" w:eastAsia="方正仿宋_GBK" w:cs="方正仿宋_GBK"/>
          <w:sz w:val="20"/>
          <w:szCs w:val="20"/>
          <w:u w:val="none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240" w:lineRule="auto"/>
        <w:jc w:val="both"/>
        <w:rPr>
          <w:rFonts w:hint="default" w:ascii="Times New Roman" w:hAnsi="Times New Roman" w:eastAsia="方正仿宋_GBK" w:cs="方正仿宋_GBK"/>
          <w:sz w:val="32"/>
          <w:szCs w:val="32"/>
          <w:u w:val="none"/>
          <w:lang w:val="en-U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   公司名称（公章）</w:t>
      </w:r>
    </w:p>
    <w:p>
      <w:pPr>
        <w:pageBreakBefore w:val="0"/>
        <w:kinsoku/>
        <w:overflowPunct/>
        <w:topLinePunct w:val="0"/>
        <w:bidi w:val="0"/>
        <w:spacing w:line="240" w:lineRule="auto"/>
        <w:jc w:val="center"/>
        <w:rPr>
          <w:rFonts w:hint="eastAsia" w:ascii="Times New Roman" w:hAnsi="Times New Roman" w:eastAsia="方正仿宋_GBK" w:cs="方正仿宋_GBK"/>
          <w:sz w:val="32"/>
          <w:szCs w:val="32"/>
          <w:u w:val="none"/>
        </w:rPr>
      </w:pPr>
    </w:p>
    <w:p>
      <w:pPr>
        <w:pageBreakBefore w:val="0"/>
        <w:kinsoku/>
        <w:overflowPunct/>
        <w:topLinePunct w:val="0"/>
        <w:bidi w:val="0"/>
        <w:spacing w:line="240" w:lineRule="auto"/>
        <w:jc w:val="center"/>
        <w:rPr>
          <w:rFonts w:hint="default" w:ascii="Times New Roman" w:hAnsi="Times New Roman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                        二〇二一年  月   日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240" w:lineRule="auto"/>
        <w:ind w:firstLine="2530" w:firstLineChars="700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</w:p>
    <w:p>
      <w:pPr>
        <w:pageBreakBefore w:val="0"/>
        <w:kinsoku/>
        <w:overflowPunct/>
        <w:topLinePunct w:val="0"/>
        <w:bidi w:val="0"/>
        <w:spacing w:line="240" w:lineRule="auto"/>
        <w:ind w:firstLine="2530" w:firstLineChars="700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</w:p>
    <w:p>
      <w:pPr>
        <w:pageBreakBefore w:val="0"/>
        <w:kinsoku/>
        <w:overflowPunct/>
        <w:topLinePunct w:val="0"/>
        <w:bidi w:val="0"/>
        <w:spacing w:line="240" w:lineRule="auto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</w:p>
    <w:p>
      <w:pPr>
        <w:pageBreakBefore w:val="0"/>
        <w:kinsoku/>
        <w:overflowPunct/>
        <w:topLinePunct w:val="0"/>
        <w:bidi w:val="0"/>
        <w:spacing w:line="240" w:lineRule="auto"/>
        <w:ind w:firstLine="2530" w:firstLineChars="700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</w:p>
    <w:p>
      <w:pPr>
        <w:pageBreakBefore w:val="0"/>
        <w:kinsoku/>
        <w:overflowPunct/>
        <w:topLinePunct w:val="0"/>
        <w:bidi w:val="0"/>
        <w:spacing w:line="240" w:lineRule="auto"/>
        <w:ind w:firstLine="2530" w:firstLineChars="700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法定代表人资格证明书</w:t>
      </w:r>
    </w:p>
    <w:p>
      <w:pPr>
        <w:pageBreakBefore w:val="0"/>
        <w:kinsoku/>
        <w:overflowPunct/>
        <w:topLinePunct w:val="0"/>
        <w:bidi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100" w:beforeAutospacing="1" w:after="100" w:afterAutospacing="1" w:line="360" w:lineRule="auto"/>
        <w:ind w:firstLine="560" w:firstLineChars="200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none"/>
        </w:rPr>
        <w:t>（法定代表人姓名）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系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none"/>
        </w:rPr>
        <w:t>（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none"/>
          <w:lang w:eastAsia="zh-CN"/>
        </w:rPr>
        <w:t>报价单位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none"/>
        </w:rPr>
        <w:t>）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的法定代表人。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="100" w:beforeAutospacing="1" w:after="100" w:afterAutospacing="1" w:line="360" w:lineRule="auto"/>
        <w:ind w:firstLine="0" w:firstLineChars="0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495935</wp:posOffset>
                </wp:positionV>
                <wp:extent cx="2655570" cy="2098675"/>
                <wp:effectExtent l="4445" t="4445" r="6985" b="15240"/>
                <wp:wrapNone/>
                <wp:docPr id="5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1048" o:spid="_x0000_s1026" o:spt="202" type="#_x0000_t202" style="position:absolute;left:0pt;margin-left:223.5pt;margin-top:39.05pt;height:165.25pt;width:209.1pt;z-index:251659264;v-text-anchor:middle;mso-width-relative:page;mso-height-relative:page;" fillcolor="#FFFFFF" filled="t" stroked="t" coordsize="21600,21600" o:gfxdata="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ltEKXWAAAACgEAAA8AAAAAAAAAAQAgAAAAIgAAAGRycy9kb3du&#10;cmV2LnhtbFBLAQIUABQAAAAIAIdO4kAe0UIzAQIAADwEAAAOAAAAAAAAAAEAIAAAACUBAABkcnMv&#10;ZTJvRG9jLnhtbFBLBQYAAAAABgAGAFkBAACY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504190</wp:posOffset>
                </wp:positionV>
                <wp:extent cx="2623820" cy="2089785"/>
                <wp:effectExtent l="4445" t="5080" r="8255" b="8255"/>
                <wp:wrapNone/>
                <wp:docPr id="6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1049" o:spid="_x0000_s1026" o:spt="202" type="#_x0000_t202" style="position:absolute;left:0pt;margin-left:0.7pt;margin-top:39.7pt;height:164.55pt;width:206.6pt;z-index:251660288;v-text-anchor:middle;mso-width-relative:page;mso-height-relative:page;" fillcolor="#FFFFFF" filled="t" stroked="t" coordsize="21600,21600" o:gfxdata="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dtL69QAAAAIAQAADwAAAAAAAAABACAAAAAiAAAAZHJzL2Rvd25y&#10;ZXYueG1sUEsBAhQAFAAAAAgAh07iQADwEw8CAgAAPAQAAA4AAAAAAAAAAQAgAAAAIwEAAGRycy9l&#10;Mm9Eb2MueG1sUEsFBgAAAAAGAAYAWQEAAJc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  <w:p>
                      <w:pPr>
                        <w:pStyle w:val="3"/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4"/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特此证明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="100" w:beforeAutospacing="1" w:after="100" w:afterAutospacing="1" w:line="360" w:lineRule="auto"/>
        <w:ind w:firstLine="0" w:firstLineChars="0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100" w:beforeAutospacing="1" w:after="100" w:afterAutospacing="1" w:line="360" w:lineRule="auto"/>
        <w:ind w:firstLine="0" w:firstLineChars="0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100" w:beforeAutospacing="1" w:after="100" w:afterAutospacing="1" w:line="360" w:lineRule="auto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100" w:beforeAutospacing="1" w:after="100" w:afterAutospacing="1" w:line="360" w:lineRule="auto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100" w:beforeAutospacing="1" w:after="100" w:afterAutospacing="1" w:line="360" w:lineRule="auto"/>
        <w:ind w:firstLine="0" w:firstLineChars="0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100" w:beforeAutospacing="1" w:after="100" w:afterAutospacing="1" w:line="360" w:lineRule="auto"/>
        <w:ind w:firstLine="4200" w:firstLineChars="1500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  <w:t>报价单位名称（盖章）：   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="100" w:beforeAutospacing="1" w:after="100" w:afterAutospacing="1" w:line="360" w:lineRule="auto"/>
        <w:ind w:firstLine="5040" w:firstLineChars="1800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  <w:t> 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年  月  日</w:t>
      </w:r>
    </w:p>
    <w:p/>
    <w:p/>
    <w:p/>
    <w:p/>
    <w:p/>
    <w:p/>
    <w:p/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color w:val="auto"/>
          <w:kern w:val="0"/>
          <w:sz w:val="2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法定代表人授权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eastAsia="zh-CN"/>
        </w:rPr>
        <w:t>委托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书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 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 本授权书声明：注册于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single"/>
        </w:rPr>
        <w:t>                       （注册地址）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的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single"/>
        </w:rPr>
        <w:t>                    （公司名称）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公司的在下面签字的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single"/>
        </w:rPr>
        <w:t xml:space="preserve">        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（法定代表人姓名、职务）代表本公司授权在下面签字的</w:t>
      </w:r>
      <w:r>
        <w:rPr>
          <w:rFonts w:hint="eastAsia" w:ascii="方正仿宋_GBK" w:hAnsi="方正仿宋_GBK" w:eastAsia="方正仿宋_GBK" w:cs="方正仿宋_GBK"/>
          <w:bCs/>
          <w:i/>
          <w:iCs/>
          <w:color w:val="auto"/>
          <w:kern w:val="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被授权人的姓名、职务）为本公司的合法代理人，就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eastAsia="方正仿宋_GBK"/>
          <w:sz w:val="28"/>
          <w:szCs w:val="28"/>
          <w:u w:val="single"/>
        </w:rPr>
        <w:t>轨道2号线</w:t>
      </w: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>绿植租摆及养护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项目的报价以及合同的谈判、签约、执行、完成等全权负责，以本公司名义处理一切与之有关的事务。</w:t>
      </w:r>
    </w:p>
    <w:p>
      <w:pPr>
        <w:widowControl/>
        <w:snapToGrid w:val="0"/>
        <w:spacing w:before="100" w:beforeAutospacing="1" w:after="100" w:afterAutospacing="1" w:line="360" w:lineRule="auto"/>
        <w:ind w:firstLine="560" w:firstLineChars="200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  <w:t>本授权书于    年   月   日签字生效，特此声明。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  <w:t xml:space="preserve">报价单位名称（盖章）：          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  <w:t>报价单位地址：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  <w:t xml:space="preserve">授权人（法定代表人）签字：                     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highlight w:val="none"/>
        </w:rPr>
        <w:t>被授权人（代理人）签字：  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 </w:t>
      </w: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hint="eastAsia" w:ascii="方正仿宋_GBK" w:hAnsi="方正仿宋_GBK" w:eastAsia="方正仿宋_GBK" w:cs="方正仿宋_GBK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170180</wp:posOffset>
                </wp:positionV>
                <wp:extent cx="2883535" cy="2541905"/>
                <wp:effectExtent l="6350" t="6350" r="2095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tx1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被授权人身份证复印件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（正反面）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45pt;margin-top:13.4pt;height:200.15pt;width:227.05pt;z-index:251661312;mso-width-relative:page;mso-height-relative:page;" fillcolor="#FFFFFF" filled="t" stroked="t" coordsize="21600,21600" o:gfxdata="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MAj8DaAAAACgEAAA8AAAAAAAAAAQAg&#10;AAAAIgAAAGRycy9kb3ducmV2LnhtbFBLAQIUABQAAAAIAIdO4kCD2UHJDAIAADcEAAAOAAAAAAAA&#10;AAEAIAAAACkBAABkcnMvZTJvRG9jLnhtbFBLBQYAAAAABgAGAFkBAACnBQAAAAA=&#10;">
                <v:fill on="t" focussize="0,0"/>
                <v:stroke weight="1pt" color="#000000 [3213]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被授权人身份证复印件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（正反面）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132080</wp:posOffset>
                </wp:positionV>
                <wp:extent cx="2772410" cy="2576830"/>
                <wp:effectExtent l="6350" t="6350" r="1016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tx1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授权人身份证复印件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（正反面）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3pt;margin-top:10.4pt;height:202.9pt;width:218.3pt;z-index:251660288;mso-width-relative:page;mso-height-relative:page;" fillcolor="#FFFFFF" filled="t" stroked="t" coordsize="21600,21600" o:gfxdata="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VswSnbAAAACgEAAA8AAAAAAAAA&#10;AQAgAAAAIgAAAGRycy9kb3ducmV2LnhtbFBLAQIUABQAAAAIAIdO4kAz0W5RDgIAADcEAAAOAAAA&#10;AAAAAAEAIAAAACoBAABkcnMvZTJvRG9jLnhtbFBLBQYAAAAABgAGAFkBAACqBQAAAAA=&#10;">
                <v:fill on="t" focussize="0,0"/>
                <v:stroke weight="1pt" color="#000000 [3213]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授权人身份证复印件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（正反面）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val="en-US" w:eastAsia="zh-CN"/>
        </w:rPr>
        <w:t>服务方案（格式自拟）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36D35"/>
    <w:multiLevelType w:val="singleLevel"/>
    <w:tmpl w:val="98936D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E4FC1A"/>
    <w:multiLevelType w:val="singleLevel"/>
    <w:tmpl w:val="DCE4FC1A"/>
    <w:lvl w:ilvl="0" w:tentative="0">
      <w:start w:val="1"/>
      <w:numFmt w:val="decimal"/>
      <w:suff w:val="space"/>
      <w:lvlText w:val="(%1)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71F9D"/>
    <w:rsid w:val="05DA2879"/>
    <w:rsid w:val="06927856"/>
    <w:rsid w:val="06B11D7A"/>
    <w:rsid w:val="06EA6F3C"/>
    <w:rsid w:val="0ED109E5"/>
    <w:rsid w:val="17391CF9"/>
    <w:rsid w:val="1789285E"/>
    <w:rsid w:val="19F826FA"/>
    <w:rsid w:val="1CD634D6"/>
    <w:rsid w:val="1EEE6D0E"/>
    <w:rsid w:val="20AA29C3"/>
    <w:rsid w:val="22535EBA"/>
    <w:rsid w:val="240A1E8A"/>
    <w:rsid w:val="28E40428"/>
    <w:rsid w:val="2EF32A75"/>
    <w:rsid w:val="317F615A"/>
    <w:rsid w:val="325E100B"/>
    <w:rsid w:val="362D13B0"/>
    <w:rsid w:val="39F56F2E"/>
    <w:rsid w:val="3CF9616C"/>
    <w:rsid w:val="3D6C7E97"/>
    <w:rsid w:val="4329057E"/>
    <w:rsid w:val="50CF6052"/>
    <w:rsid w:val="51E619AD"/>
    <w:rsid w:val="56E055AB"/>
    <w:rsid w:val="5BD221EB"/>
    <w:rsid w:val="5CE110FB"/>
    <w:rsid w:val="5F4D2B10"/>
    <w:rsid w:val="61771F9D"/>
    <w:rsid w:val="64472A32"/>
    <w:rsid w:val="64B15955"/>
    <w:rsid w:val="70BF72EC"/>
    <w:rsid w:val="7AA4020B"/>
    <w:rsid w:val="7B3B528E"/>
    <w:rsid w:val="7B3D4F7A"/>
    <w:rsid w:val="7B4E79AB"/>
    <w:rsid w:val="7BB3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cs="Times New Roman"/>
      <w:kern w:val="0"/>
      <w:szCs w:val="24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2020-12-08T00:56:00Z</dcterms:created>
  <dc:creator>枯叶蝶</dc:creator>
  <cp:lastModifiedBy>通邑物业</cp:lastModifiedBy>
  <dcterms:modified xsi:type="dcterms:W3CDTF">2021-07-06T08:36:29Z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1146097076_btnclosed</vt:lpwstr>
  </property>
  <property fmtid="{D5CDD505-2E9C-101B-9397-08002B2CF9AE}" pid="4" name="ICV">
    <vt:lpwstr>C11DE75873A54819A2992327EEC9959D</vt:lpwstr>
  </property>
</Properties>
</file>