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b/>
          <w:bCs/>
          <w:color w:val="auto"/>
          <w:sz w:val="36"/>
          <w:szCs w:val="36"/>
        </w:rPr>
      </w:pPr>
      <w:r>
        <w:rPr>
          <w:rFonts w:hint="eastAsia" w:ascii="方正小标宋_GBK" w:hAnsi="方正小标宋_GBK" w:eastAsia="方正小标宋_GBK" w:cs="方正小标宋_GBK"/>
          <w:b/>
          <w:bCs/>
          <w:color w:val="auto"/>
          <w:sz w:val="36"/>
          <w:szCs w:val="36"/>
        </w:rPr>
        <w:t>重庆</w:t>
      </w:r>
      <w:r>
        <w:rPr>
          <w:rFonts w:hint="eastAsia" w:ascii="方正小标宋_GBK" w:hAnsi="方正小标宋_GBK" w:eastAsia="方正小标宋_GBK" w:cs="方正小标宋_GBK"/>
          <w:b/>
          <w:bCs/>
          <w:color w:val="auto"/>
          <w:sz w:val="36"/>
          <w:szCs w:val="36"/>
          <w:lang w:eastAsia="zh-CN"/>
        </w:rPr>
        <w:t>城市综合</w:t>
      </w:r>
      <w:r>
        <w:rPr>
          <w:rFonts w:hint="eastAsia" w:ascii="方正小标宋_GBK" w:hAnsi="方正小标宋_GBK" w:eastAsia="方正小标宋_GBK" w:cs="方正小标宋_GBK"/>
          <w:b/>
          <w:bCs/>
          <w:color w:val="auto"/>
          <w:sz w:val="36"/>
          <w:szCs w:val="36"/>
          <w:u w:val="none"/>
          <w:lang w:eastAsia="zh-CN"/>
        </w:rPr>
        <w:t>交通枢纽</w:t>
      </w:r>
      <w:r>
        <w:rPr>
          <w:rFonts w:hint="eastAsia" w:ascii="方正小标宋_GBK" w:hAnsi="方正小标宋_GBK" w:eastAsia="方正小标宋_GBK" w:cs="方正小标宋_GBK"/>
          <w:b/>
          <w:bCs/>
          <w:color w:val="auto"/>
          <w:sz w:val="36"/>
          <w:szCs w:val="36"/>
        </w:rPr>
        <w:t>(集团)有限公司</w:t>
      </w:r>
    </w:p>
    <w:p>
      <w:pPr>
        <w:tabs>
          <w:tab w:val="left" w:pos="-7488"/>
        </w:tabs>
        <w:ind w:right="611" w:rightChars="291"/>
        <w:jc w:val="center"/>
        <w:rPr>
          <w:rFonts w:hint="eastAsia" w:ascii="方正小标宋_GBK" w:hAnsi="方正小标宋_GBK" w:eastAsia="方正小标宋_GBK" w:cs="方正小标宋_GBK"/>
          <w:b/>
          <w:bCs/>
          <w:color w:val="auto"/>
          <w:sz w:val="36"/>
          <w:szCs w:val="36"/>
          <w:lang w:val="en-US" w:eastAsia="zh-CN"/>
        </w:rPr>
      </w:pPr>
      <w:r>
        <w:rPr>
          <w:rFonts w:hint="eastAsia" w:ascii="方正小标宋_GBK" w:hAnsi="方正小标宋_GBK" w:eastAsia="方正小标宋_GBK" w:cs="方正小标宋_GBK"/>
          <w:b/>
          <w:bCs/>
          <w:color w:val="auto"/>
          <w:sz w:val="36"/>
          <w:szCs w:val="36"/>
          <w:lang w:val="en-US" w:eastAsia="zh-CN"/>
        </w:rPr>
        <w:t>陈庹路公交站场电梯采购及安装工程</w:t>
      </w:r>
    </w:p>
    <w:p>
      <w:pPr>
        <w:tabs>
          <w:tab w:val="left" w:pos="-7488"/>
        </w:tabs>
        <w:ind w:right="611" w:rightChars="291"/>
        <w:jc w:val="center"/>
        <w:rPr>
          <w:rFonts w:hint="eastAsia" w:ascii="方正小标宋_GBK" w:hAnsi="方正小标宋_GBK" w:eastAsia="方正小标宋_GBK" w:cs="方正小标宋_GBK"/>
          <w:b/>
          <w:bCs/>
          <w:color w:val="auto"/>
          <w:sz w:val="36"/>
          <w:szCs w:val="36"/>
          <w:lang w:eastAsia="zh-CN"/>
        </w:rPr>
      </w:pPr>
      <w:r>
        <w:rPr>
          <w:rFonts w:hint="eastAsia" w:ascii="方正小标宋_GBK" w:hAnsi="方正小标宋_GBK" w:eastAsia="方正小标宋_GBK" w:cs="方正小标宋_GBK"/>
          <w:b/>
          <w:bCs/>
          <w:color w:val="auto"/>
          <w:sz w:val="36"/>
          <w:szCs w:val="36"/>
          <w:lang w:val="en-US" w:eastAsia="zh-CN"/>
        </w:rPr>
        <w:t>竞争性</w:t>
      </w:r>
      <w:r>
        <w:rPr>
          <w:rFonts w:hint="eastAsia" w:ascii="方正小标宋_GBK" w:hAnsi="方正小标宋_GBK" w:eastAsia="方正小标宋_GBK" w:cs="方正小标宋_GBK"/>
          <w:b/>
          <w:bCs/>
          <w:color w:val="auto"/>
          <w:sz w:val="36"/>
          <w:szCs w:val="36"/>
          <w:lang w:eastAsia="zh-CN"/>
        </w:rPr>
        <w:t>比选文件</w:t>
      </w:r>
    </w:p>
    <w:p>
      <w:pPr>
        <w:jc w:val="left"/>
        <w:rPr>
          <w:rFonts w:hint="default" w:ascii="Times New Roman" w:hAnsi="Times New Roman" w:eastAsia="仿宋_GB2312" w:cs="Times New Roman"/>
          <w:color w:val="auto"/>
          <w:sz w:val="28"/>
          <w:szCs w:val="28"/>
        </w:rPr>
      </w:pPr>
    </w:p>
    <w:p>
      <w:pPr>
        <w:jc w:val="left"/>
        <w:rPr>
          <w:rFonts w:hint="default" w:ascii="Times New Roman" w:hAnsi="Times New Roman" w:eastAsia="方正仿宋_GBK" w:cs="Times New Roman"/>
          <w:color w:val="auto"/>
          <w:sz w:val="28"/>
          <w:szCs w:val="28"/>
        </w:rPr>
      </w:pPr>
      <w:r>
        <w:rPr>
          <w:rFonts w:hint="default" w:ascii="Times New Roman" w:hAnsi="Times New Roman" w:eastAsia="仿宋_GB2312" w:cs="Times New Roman"/>
          <w:color w:val="auto"/>
          <w:sz w:val="28"/>
          <w:szCs w:val="28"/>
        </w:rPr>
        <w:t xml:space="preserve">    </w:t>
      </w:r>
      <w:r>
        <w:rPr>
          <w:rFonts w:hint="default" w:ascii="Times New Roman" w:hAnsi="Times New Roman" w:eastAsia="方正仿宋_GBK" w:cs="Times New Roman"/>
          <w:color w:val="auto"/>
          <w:sz w:val="28"/>
          <w:szCs w:val="28"/>
        </w:rPr>
        <w:t xml:space="preserve"> 我司拟开展</w:t>
      </w:r>
      <w:r>
        <w:rPr>
          <w:rFonts w:hint="default" w:ascii="Times New Roman" w:hAnsi="Times New Roman" w:eastAsia="方正仿宋_GBK" w:cs="Times New Roman"/>
          <w:color w:val="auto"/>
          <w:sz w:val="28"/>
          <w:szCs w:val="28"/>
          <w:u w:val="single"/>
          <w:lang w:val="en-US" w:eastAsia="zh-CN"/>
        </w:rPr>
        <w:t>陈庹路公交站场电梯采购</w:t>
      </w:r>
      <w:r>
        <w:rPr>
          <w:rFonts w:hint="eastAsia" w:eastAsia="方正仿宋_GBK" w:cs="Times New Roman"/>
          <w:color w:val="auto"/>
          <w:sz w:val="28"/>
          <w:szCs w:val="28"/>
          <w:u w:val="single"/>
          <w:lang w:val="en-US" w:eastAsia="zh-CN"/>
        </w:rPr>
        <w:t>及安装</w:t>
      </w:r>
      <w:r>
        <w:rPr>
          <w:rFonts w:hint="default" w:ascii="Times New Roman" w:hAnsi="Times New Roman" w:eastAsia="方正仿宋_GBK" w:cs="Times New Roman"/>
          <w:color w:val="auto"/>
          <w:sz w:val="28"/>
          <w:szCs w:val="28"/>
        </w:rPr>
        <w:t>工作，本次</w:t>
      </w:r>
      <w:r>
        <w:rPr>
          <w:rFonts w:hint="default" w:ascii="Times New Roman" w:hAnsi="Times New Roman" w:eastAsia="方正仿宋_GBK" w:cs="Times New Roman"/>
          <w:color w:val="auto"/>
          <w:sz w:val="28"/>
          <w:szCs w:val="28"/>
          <w:lang w:val="en-US" w:eastAsia="zh-CN"/>
        </w:rPr>
        <w:t>采购</w:t>
      </w:r>
      <w:r>
        <w:rPr>
          <w:rFonts w:hint="eastAsia" w:eastAsia="方正仿宋_GBK" w:cs="Times New Roman"/>
          <w:color w:val="auto"/>
          <w:sz w:val="28"/>
          <w:szCs w:val="28"/>
          <w:lang w:val="en-US" w:eastAsia="zh-CN"/>
        </w:rPr>
        <w:t>及安装</w:t>
      </w:r>
      <w:r>
        <w:rPr>
          <w:rFonts w:hint="default" w:ascii="Times New Roman" w:hAnsi="Times New Roman" w:eastAsia="方正仿宋_GBK" w:cs="Times New Roman"/>
          <w:color w:val="auto"/>
          <w:sz w:val="28"/>
          <w:szCs w:val="28"/>
          <w:lang w:eastAsia="zh-CN"/>
        </w:rPr>
        <w:t>单位的</w:t>
      </w:r>
      <w:r>
        <w:rPr>
          <w:rFonts w:hint="default" w:ascii="Times New Roman" w:hAnsi="Times New Roman" w:eastAsia="方正仿宋_GBK" w:cs="Times New Roman"/>
          <w:color w:val="auto"/>
          <w:sz w:val="28"/>
          <w:szCs w:val="28"/>
        </w:rPr>
        <w:t>确定将采用</w:t>
      </w:r>
      <w:r>
        <w:rPr>
          <w:rFonts w:hint="default" w:ascii="Times New Roman" w:hAnsi="Times New Roman" w:eastAsia="方正仿宋_GBK" w:cs="Times New Roman"/>
          <w:color w:val="auto"/>
          <w:sz w:val="28"/>
          <w:szCs w:val="28"/>
          <w:lang w:val="en-US" w:eastAsia="zh-CN"/>
        </w:rPr>
        <w:t>自主公开招标</w:t>
      </w:r>
      <w:r>
        <w:rPr>
          <w:rFonts w:hint="default" w:ascii="Times New Roman" w:hAnsi="Times New Roman" w:eastAsia="方正仿宋_GBK" w:cs="Times New Roman"/>
          <w:color w:val="auto"/>
          <w:sz w:val="28"/>
          <w:szCs w:val="28"/>
        </w:rPr>
        <w:t>方式进行。现邀请</w:t>
      </w:r>
      <w:r>
        <w:rPr>
          <w:rFonts w:hint="default" w:ascii="Times New Roman" w:hAnsi="Times New Roman" w:eastAsia="方正仿宋_GBK" w:cs="Times New Roman"/>
          <w:color w:val="auto"/>
          <w:sz w:val="28"/>
          <w:szCs w:val="28"/>
          <w:lang w:val="en-US" w:eastAsia="zh-CN"/>
        </w:rPr>
        <w:t>相关</w:t>
      </w:r>
      <w:r>
        <w:rPr>
          <w:rFonts w:hint="default" w:ascii="Times New Roman" w:hAnsi="Times New Roman" w:eastAsia="方正仿宋_GBK" w:cs="Times New Roman"/>
          <w:color w:val="auto"/>
          <w:sz w:val="28"/>
          <w:szCs w:val="28"/>
        </w:rPr>
        <w:t>单位作为潜在</w:t>
      </w:r>
      <w:r>
        <w:rPr>
          <w:rFonts w:hint="eastAsia" w:eastAsia="方正仿宋_GBK" w:cs="Times New Roman"/>
          <w:color w:val="auto"/>
          <w:sz w:val="28"/>
          <w:szCs w:val="28"/>
          <w:lang w:eastAsia="zh-CN"/>
        </w:rPr>
        <w:t>竞选人</w:t>
      </w:r>
      <w:r>
        <w:rPr>
          <w:rFonts w:hint="default" w:ascii="Times New Roman" w:hAnsi="Times New Roman" w:eastAsia="方正仿宋_GBK" w:cs="Times New Roman"/>
          <w:color w:val="auto"/>
          <w:sz w:val="28"/>
          <w:szCs w:val="28"/>
        </w:rPr>
        <w:t xml:space="preserve">参加报价和比选。具体项目情况如下： </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29"/>
        <w:gridCol w:w="62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exact"/>
        </w:trPr>
        <w:tc>
          <w:tcPr>
            <w:tcW w:w="8522" w:type="dxa"/>
            <w:gridSpan w:val="2"/>
            <w:vAlign w:val="center"/>
          </w:tcPr>
          <w:p>
            <w:pPr>
              <w:numPr>
                <w:ilvl w:val="0"/>
                <w:numId w:val="0"/>
              </w:numPr>
              <w:rPr>
                <w:rFonts w:hint="default" w:ascii="Times New Roman" w:hAnsi="Times New Roman" w:eastAsia="方正仿宋_GBK" w:cs="Times New Roman"/>
                <w:color w:val="auto"/>
                <w:spacing w:val="0"/>
                <w:w w:val="100"/>
                <w:sz w:val="24"/>
                <w:szCs w:val="24"/>
              </w:rPr>
            </w:pPr>
            <w:r>
              <w:rPr>
                <w:rFonts w:hint="default" w:ascii="Times New Roman" w:hAnsi="Times New Roman" w:eastAsia="仿宋_GB2312" w:cs="Times New Roman"/>
                <w:color w:val="auto"/>
                <w:spacing w:val="0"/>
                <w:w w:val="100"/>
                <w:sz w:val="24"/>
                <w:szCs w:val="24"/>
                <w:lang w:val="en-US" w:eastAsia="zh-CN"/>
              </w:rPr>
              <w:t>一、</w:t>
            </w:r>
            <w:r>
              <w:rPr>
                <w:rFonts w:hint="default" w:ascii="Times New Roman" w:hAnsi="Times New Roman" w:eastAsia="方正仿宋_GBK" w:cs="Times New Roman"/>
                <w:color w:val="auto"/>
                <w:spacing w:val="0"/>
                <w:w w:val="100"/>
                <w:sz w:val="24"/>
                <w:szCs w:val="24"/>
              </w:rPr>
              <w:t>项目概况</w:t>
            </w:r>
            <w:r>
              <w:rPr>
                <w:rFonts w:hint="default" w:ascii="Times New Roman" w:hAnsi="Times New Roman" w:eastAsia="方正仿宋_GBK" w:cs="Times New Roman"/>
                <w:color w:val="auto"/>
                <w:spacing w:val="0"/>
                <w:w w:val="100"/>
                <w:sz w:val="24"/>
                <w:szCs w:val="24"/>
                <w:lang w:val="en-US" w:eastAsia="zh-CN"/>
              </w:rPr>
              <w:t xml:space="preserve"> </w:t>
            </w:r>
          </w:p>
          <w:p>
            <w:pPr>
              <w:rPr>
                <w:rFonts w:hint="default" w:ascii="Times New Roman" w:hAnsi="Times New Roman" w:cs="Times New Roman"/>
                <w:color w:val="auto"/>
                <w:spacing w:val="0"/>
                <w:w w:val="10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exact"/>
        </w:trPr>
        <w:tc>
          <w:tcPr>
            <w:tcW w:w="2229" w:type="dxa"/>
            <w:vAlign w:val="center"/>
          </w:tcPr>
          <w:p>
            <w:pPr>
              <w:rPr>
                <w:rFonts w:hint="default" w:ascii="Times New Roman" w:hAnsi="Times New Roman" w:cs="Times New Roman"/>
                <w:color w:val="auto"/>
                <w:spacing w:val="0"/>
                <w:w w:val="100"/>
                <w:sz w:val="24"/>
                <w:szCs w:val="24"/>
                <w:vertAlign w:val="baseline"/>
              </w:rPr>
            </w:pPr>
            <w:r>
              <w:rPr>
                <w:rFonts w:hint="default" w:ascii="Times New Roman" w:hAnsi="Times New Roman" w:eastAsia="仿宋_GB2312" w:cs="Times New Roman"/>
                <w:color w:val="auto"/>
                <w:sz w:val="28"/>
                <w:szCs w:val="28"/>
                <w:lang w:val="en-US" w:eastAsia="zh-CN"/>
              </w:rPr>
              <w:t>★</w:t>
            </w:r>
            <w:r>
              <w:rPr>
                <w:rFonts w:hint="default" w:ascii="Times New Roman" w:hAnsi="Times New Roman" w:eastAsia="方正仿宋_GBK" w:cs="Times New Roman"/>
                <w:color w:val="auto"/>
                <w:spacing w:val="0"/>
                <w:w w:val="100"/>
                <w:sz w:val="24"/>
                <w:szCs w:val="24"/>
              </w:rPr>
              <w:t>项目名称</w:t>
            </w:r>
          </w:p>
        </w:tc>
        <w:tc>
          <w:tcPr>
            <w:tcW w:w="6293" w:type="dxa"/>
            <w:vAlign w:val="center"/>
          </w:tcPr>
          <w:p>
            <w:pPr>
              <w:rPr>
                <w:rFonts w:hint="default" w:ascii="Times New Roman" w:hAnsi="Times New Roman" w:eastAsia="宋体" w:cs="Times New Roman"/>
                <w:color w:val="auto"/>
                <w:spacing w:val="0"/>
                <w:w w:val="100"/>
                <w:sz w:val="24"/>
                <w:szCs w:val="24"/>
                <w:vertAlign w:val="baseline"/>
                <w:lang w:val="en-US" w:eastAsia="zh-CN"/>
              </w:rPr>
            </w:pPr>
            <w:r>
              <w:rPr>
                <w:rFonts w:hint="default" w:ascii="Times New Roman" w:hAnsi="Times New Roman" w:eastAsia="方正仿宋_GBK" w:cs="Times New Roman"/>
                <w:color w:val="auto"/>
                <w:sz w:val="24"/>
                <w:szCs w:val="24"/>
                <w:lang w:val="en-US" w:eastAsia="zh-CN"/>
              </w:rPr>
              <w:t>陈庹路公交站场电梯采购</w:t>
            </w:r>
            <w:r>
              <w:rPr>
                <w:rFonts w:hint="eastAsia" w:eastAsia="方正仿宋_GBK" w:cs="Times New Roman"/>
                <w:color w:val="auto"/>
                <w:sz w:val="24"/>
                <w:szCs w:val="24"/>
                <w:lang w:val="en-US" w:eastAsia="zh-CN"/>
              </w:rPr>
              <w:t>及安装</w:t>
            </w:r>
            <w:r>
              <w:rPr>
                <w:rFonts w:hint="default" w:ascii="Times New Roman" w:hAnsi="Times New Roman" w:eastAsia="方正仿宋_GBK" w:cs="Times New Roman"/>
                <w:color w:val="auto"/>
                <w:sz w:val="24"/>
                <w:szCs w:val="24"/>
                <w:lang w:val="en-US" w:eastAsia="zh-CN"/>
              </w:rPr>
              <w:t>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29" w:type="dxa"/>
            <w:vAlign w:val="center"/>
          </w:tcPr>
          <w:p>
            <w:pPr>
              <w:rPr>
                <w:rFonts w:hint="default" w:ascii="Times New Roman" w:hAnsi="Times New Roman" w:cs="Times New Roman"/>
                <w:color w:val="auto"/>
                <w:spacing w:val="0"/>
                <w:w w:val="100"/>
                <w:sz w:val="24"/>
                <w:szCs w:val="24"/>
                <w:vertAlign w:val="baseline"/>
              </w:rPr>
            </w:pPr>
            <w:r>
              <w:rPr>
                <w:rFonts w:hint="default" w:ascii="Times New Roman" w:hAnsi="Times New Roman" w:eastAsia="仿宋_GB2312" w:cs="Times New Roman"/>
                <w:color w:val="auto"/>
                <w:sz w:val="28"/>
                <w:szCs w:val="28"/>
                <w:lang w:val="en-US" w:eastAsia="zh-CN"/>
              </w:rPr>
              <w:t>★</w:t>
            </w:r>
            <w:r>
              <w:rPr>
                <w:rFonts w:hint="default" w:ascii="Times New Roman" w:hAnsi="Times New Roman" w:eastAsia="方正仿宋_GBK" w:cs="Times New Roman"/>
                <w:color w:val="auto"/>
                <w:spacing w:val="0"/>
                <w:w w:val="100"/>
                <w:sz w:val="24"/>
                <w:szCs w:val="24"/>
              </w:rPr>
              <w:t>项目投资</w:t>
            </w:r>
          </w:p>
        </w:tc>
        <w:tc>
          <w:tcPr>
            <w:tcW w:w="6293" w:type="dxa"/>
            <w:vAlign w:val="center"/>
          </w:tcPr>
          <w:p>
            <w:pPr>
              <w:rPr>
                <w:rFonts w:hint="default" w:ascii="Times New Roman" w:hAnsi="Times New Roman" w:cs="Times New Roman"/>
                <w:color w:val="auto"/>
                <w:spacing w:val="0"/>
                <w:w w:val="100"/>
                <w:sz w:val="24"/>
                <w:szCs w:val="24"/>
                <w:vertAlign w:val="baseline"/>
              </w:rPr>
            </w:pPr>
            <w:r>
              <w:rPr>
                <w:rFonts w:hint="default" w:ascii="Times New Roman" w:hAnsi="Times New Roman" w:eastAsia="方正仿宋_GBK" w:cs="Times New Roman"/>
                <w:color w:val="auto"/>
                <w:spacing w:val="0"/>
                <w:w w:val="100"/>
                <w:sz w:val="24"/>
                <w:szCs w:val="24"/>
              </w:rPr>
              <w:t>本项目估算总投资</w:t>
            </w:r>
            <w:r>
              <w:rPr>
                <w:rFonts w:hint="eastAsia" w:eastAsia="方正仿宋_GBK" w:cs="Times New Roman"/>
                <w:color w:val="auto"/>
                <w:spacing w:val="0"/>
                <w:w w:val="100"/>
                <w:sz w:val="24"/>
                <w:szCs w:val="24"/>
                <w:u w:val="single"/>
                <w:lang w:val="en-US" w:eastAsia="zh-CN"/>
              </w:rPr>
              <w:t xml:space="preserve"> 142 </w:t>
            </w:r>
            <w:r>
              <w:rPr>
                <w:rFonts w:hint="default" w:ascii="Times New Roman" w:hAnsi="Times New Roman" w:eastAsia="方正仿宋_GBK" w:cs="Times New Roman"/>
                <w:color w:val="auto"/>
                <w:spacing w:val="0"/>
                <w:w w:val="100"/>
                <w:sz w:val="24"/>
                <w:szCs w:val="24"/>
                <w:lang w:val="en-US" w:eastAsia="zh-CN"/>
              </w:rPr>
              <w:t>万</w:t>
            </w:r>
            <w:r>
              <w:rPr>
                <w:rFonts w:hint="default" w:ascii="Times New Roman" w:hAnsi="Times New Roman" w:eastAsia="方正仿宋_GBK" w:cs="Times New Roman"/>
                <w:color w:val="auto"/>
                <w:spacing w:val="0"/>
                <w:w w:val="100"/>
                <w:sz w:val="24"/>
                <w:szCs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31" w:hRule="exact"/>
        </w:trPr>
        <w:tc>
          <w:tcPr>
            <w:tcW w:w="2229" w:type="dxa"/>
            <w:vAlign w:val="center"/>
          </w:tcPr>
          <w:p>
            <w:pPr>
              <w:rPr>
                <w:rFonts w:hint="default" w:ascii="Times New Roman" w:hAnsi="Times New Roman" w:cs="Times New Roman"/>
                <w:color w:val="auto"/>
                <w:spacing w:val="0"/>
                <w:w w:val="100"/>
                <w:sz w:val="24"/>
                <w:szCs w:val="24"/>
                <w:vertAlign w:val="baseline"/>
              </w:rPr>
            </w:pPr>
            <w:r>
              <w:rPr>
                <w:rFonts w:hint="default" w:ascii="Times New Roman" w:hAnsi="Times New Roman" w:eastAsia="仿宋_GB2312" w:cs="Times New Roman"/>
                <w:color w:val="auto"/>
                <w:sz w:val="28"/>
                <w:szCs w:val="28"/>
                <w:lang w:val="en-US" w:eastAsia="zh-CN"/>
              </w:rPr>
              <w:t>★</w:t>
            </w:r>
            <w:r>
              <w:rPr>
                <w:rFonts w:hint="default" w:ascii="Times New Roman" w:hAnsi="Times New Roman" w:eastAsia="方正仿宋_GBK" w:cs="Times New Roman"/>
                <w:color w:val="auto"/>
                <w:spacing w:val="0"/>
                <w:w w:val="100"/>
                <w:sz w:val="24"/>
                <w:szCs w:val="24"/>
              </w:rPr>
              <w:t>项目具体概况</w:t>
            </w:r>
          </w:p>
        </w:tc>
        <w:tc>
          <w:tcPr>
            <w:tcW w:w="6293" w:type="dxa"/>
            <w:vAlign w:val="center"/>
          </w:tcPr>
          <w:p>
            <w:pPr>
              <w:ind w:firstLine="480" w:firstLineChars="200"/>
              <w:rPr>
                <w:rFonts w:hint="default" w:ascii="Times New Roman" w:hAnsi="Times New Roman" w:eastAsia="方正仿宋_GBK" w:cs="Times New Roman"/>
                <w:color w:val="auto"/>
                <w:spacing w:val="0"/>
                <w:w w:val="100"/>
                <w:sz w:val="24"/>
                <w:szCs w:val="24"/>
                <w:lang w:val="en-US" w:eastAsia="zh-CN"/>
              </w:rPr>
            </w:pPr>
            <w:r>
              <w:rPr>
                <w:rFonts w:hint="default" w:ascii="Times New Roman" w:hAnsi="Times New Roman" w:eastAsia="方正仿宋_GBK" w:cs="Times New Roman"/>
                <w:color w:val="auto"/>
                <w:spacing w:val="0"/>
                <w:w w:val="100"/>
                <w:sz w:val="24"/>
                <w:szCs w:val="24"/>
                <w:lang w:val="en-US" w:eastAsia="zh-CN"/>
              </w:rPr>
              <w:t>陈庹路公交站场电梯采购</w:t>
            </w:r>
            <w:r>
              <w:rPr>
                <w:rFonts w:hint="eastAsia" w:eastAsia="方正仿宋_GBK" w:cs="Times New Roman"/>
                <w:color w:val="auto"/>
                <w:spacing w:val="0"/>
                <w:w w:val="100"/>
                <w:sz w:val="24"/>
                <w:szCs w:val="24"/>
                <w:lang w:val="en-US" w:eastAsia="zh-CN"/>
              </w:rPr>
              <w:t>及安装工程</w:t>
            </w:r>
            <w:r>
              <w:rPr>
                <w:rFonts w:hint="default" w:ascii="Times New Roman" w:hAnsi="Times New Roman" w:eastAsia="方正仿宋_GBK" w:cs="Times New Roman"/>
                <w:color w:val="auto"/>
                <w:spacing w:val="0"/>
                <w:w w:val="100"/>
                <w:sz w:val="24"/>
                <w:szCs w:val="24"/>
                <w:lang w:val="en-US" w:eastAsia="zh-CN"/>
              </w:rPr>
              <w:t>包括</w:t>
            </w:r>
            <w:r>
              <w:rPr>
                <w:rFonts w:hint="eastAsia" w:eastAsia="方正仿宋_GBK" w:cs="Times New Roman"/>
                <w:color w:val="auto"/>
                <w:spacing w:val="0"/>
                <w:w w:val="100"/>
                <w:sz w:val="24"/>
                <w:szCs w:val="24"/>
                <w:lang w:val="en-US" w:eastAsia="zh-CN"/>
              </w:rPr>
              <w:t>：</w:t>
            </w:r>
            <w:r>
              <w:rPr>
                <w:rFonts w:hint="default" w:ascii="Times New Roman" w:hAnsi="Times New Roman" w:eastAsia="方正仿宋_GBK" w:cs="Times New Roman"/>
                <w:color w:val="auto"/>
                <w:spacing w:val="0"/>
                <w:w w:val="100"/>
                <w:sz w:val="24"/>
                <w:szCs w:val="24"/>
                <w:lang w:val="en-US" w:eastAsia="zh-CN"/>
              </w:rPr>
              <w:t>综合楼10站电梯三台、裙楼3站楼电梯一台、修车库4站电梯一台</w:t>
            </w:r>
            <w:r>
              <w:rPr>
                <w:rFonts w:hint="eastAsia" w:eastAsia="方正仿宋_GBK" w:cs="Times New Roman"/>
                <w:color w:val="auto"/>
                <w:spacing w:val="0"/>
                <w:w w:val="100"/>
                <w:sz w:val="24"/>
                <w:szCs w:val="24"/>
                <w:lang w:val="en-US" w:eastAsia="zh-CN"/>
              </w:rPr>
              <w:t>，</w:t>
            </w:r>
            <w:r>
              <w:rPr>
                <w:rFonts w:hint="default" w:ascii="Times New Roman" w:hAnsi="Times New Roman" w:eastAsia="方正仿宋_GBK" w:cs="Times New Roman"/>
                <w:color w:val="auto"/>
                <w:spacing w:val="0"/>
                <w:w w:val="100"/>
                <w:sz w:val="24"/>
                <w:szCs w:val="24"/>
                <w:lang w:val="en-US" w:eastAsia="zh-CN"/>
              </w:rPr>
              <w:t>共5</w:t>
            </w:r>
            <w:r>
              <w:rPr>
                <w:rFonts w:hint="eastAsia" w:eastAsia="方正仿宋_GBK" w:cs="Times New Roman"/>
                <w:color w:val="auto"/>
                <w:spacing w:val="0"/>
                <w:w w:val="100"/>
                <w:sz w:val="24"/>
                <w:szCs w:val="24"/>
                <w:lang w:val="en-US" w:eastAsia="zh-CN"/>
              </w:rPr>
              <w:t>台</w:t>
            </w:r>
            <w:r>
              <w:rPr>
                <w:rFonts w:hint="default" w:ascii="Times New Roman" w:hAnsi="Times New Roman" w:eastAsia="方正仿宋_GBK" w:cs="Times New Roman"/>
                <w:color w:val="auto"/>
                <w:spacing w:val="0"/>
                <w:w w:val="100"/>
                <w:sz w:val="24"/>
                <w:szCs w:val="24"/>
                <w:lang w:val="en-US" w:eastAsia="zh-CN"/>
              </w:rPr>
              <w:t>电梯。</w:t>
            </w:r>
          </w:p>
          <w:p>
            <w:pPr>
              <w:ind w:firstLine="480" w:firstLineChars="200"/>
              <w:rPr>
                <w:rFonts w:hint="default" w:ascii="Times New Roman" w:hAnsi="Times New Roman" w:cs="Times New Roman"/>
                <w:color w:val="auto"/>
                <w:spacing w:val="0"/>
                <w:w w:val="100"/>
                <w:sz w:val="24"/>
                <w:szCs w:val="24"/>
                <w:vertAlign w:val="baseline"/>
              </w:rPr>
            </w:pPr>
            <w:r>
              <w:rPr>
                <w:rFonts w:hint="default" w:ascii="Times New Roman" w:hAnsi="Times New Roman" w:eastAsia="方正仿宋_GBK" w:cs="Times New Roman"/>
                <w:color w:val="auto"/>
                <w:spacing w:val="0"/>
                <w:w w:val="100"/>
                <w:sz w:val="24"/>
                <w:szCs w:val="24"/>
                <w:lang w:val="en-US" w:eastAsia="zh-CN"/>
              </w:rPr>
              <w:t>工程地点：重庆市大渡口区陈庹路公交站场。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29" w:type="dxa"/>
            <w:vAlign w:val="center"/>
          </w:tcPr>
          <w:p>
            <w:pPr>
              <w:rPr>
                <w:rFonts w:hint="default" w:ascii="Times New Roman" w:hAnsi="Times New Roman" w:cs="Times New Roman"/>
                <w:color w:val="auto"/>
                <w:spacing w:val="0"/>
                <w:w w:val="100"/>
                <w:sz w:val="24"/>
                <w:szCs w:val="24"/>
                <w:vertAlign w:val="baseline"/>
              </w:rPr>
            </w:pPr>
            <w:r>
              <w:rPr>
                <w:rFonts w:hint="default" w:ascii="Times New Roman" w:hAnsi="Times New Roman" w:eastAsia="仿宋_GB2312" w:cs="Times New Roman"/>
                <w:color w:val="auto"/>
                <w:sz w:val="28"/>
                <w:szCs w:val="28"/>
                <w:lang w:val="en-US" w:eastAsia="zh-CN"/>
              </w:rPr>
              <w:t>★</w:t>
            </w:r>
            <w:r>
              <w:rPr>
                <w:rFonts w:hint="default" w:ascii="Times New Roman" w:hAnsi="Times New Roman" w:eastAsia="方正仿宋_GBK" w:cs="Times New Roman"/>
                <w:color w:val="auto"/>
                <w:spacing w:val="0"/>
                <w:w w:val="100"/>
                <w:sz w:val="24"/>
                <w:szCs w:val="24"/>
                <w:lang w:val="en-US" w:eastAsia="zh-CN"/>
              </w:rPr>
              <w:t>工期</w:t>
            </w:r>
          </w:p>
        </w:tc>
        <w:tc>
          <w:tcPr>
            <w:tcW w:w="6293" w:type="dxa"/>
            <w:vAlign w:val="center"/>
          </w:tcPr>
          <w:p>
            <w:pPr>
              <w:rPr>
                <w:rFonts w:hint="default" w:ascii="Times New Roman" w:hAnsi="Times New Roman" w:eastAsia="宋体" w:cs="Times New Roman"/>
                <w:color w:val="auto"/>
                <w:spacing w:val="0"/>
                <w:w w:val="100"/>
                <w:sz w:val="24"/>
                <w:szCs w:val="24"/>
                <w:vertAlign w:val="baseline"/>
                <w:lang w:val="en-US" w:eastAsia="zh-CN"/>
              </w:rPr>
            </w:pPr>
            <w:r>
              <w:rPr>
                <w:rFonts w:hint="eastAsia" w:cs="Times New Roman"/>
                <w:color w:val="auto"/>
                <w:spacing w:val="0"/>
                <w:w w:val="100"/>
                <w:sz w:val="24"/>
                <w:szCs w:val="24"/>
                <w:vertAlign w:val="baseline"/>
                <w:lang w:val="en-US" w:eastAsia="zh-CN"/>
              </w:rPr>
              <w:t>90日历</w:t>
            </w:r>
            <w:r>
              <w:rPr>
                <w:rFonts w:hint="default" w:ascii="Times New Roman" w:hAnsi="Times New Roman" w:cs="Times New Roman"/>
                <w:color w:val="auto"/>
                <w:spacing w:val="0"/>
                <w:w w:val="100"/>
                <w:sz w:val="24"/>
                <w:szCs w:val="24"/>
                <w:vertAlign w:val="baseline"/>
                <w:lang w:val="en-US" w:eastAsia="zh-CN"/>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exact"/>
        </w:trPr>
        <w:tc>
          <w:tcPr>
            <w:tcW w:w="2229" w:type="dxa"/>
            <w:vAlign w:val="center"/>
          </w:tcPr>
          <w:p>
            <w:pPr>
              <w:rPr>
                <w:rFonts w:hint="default" w:ascii="Times New Roman" w:hAnsi="Times New Roman" w:cs="Times New Roman"/>
                <w:color w:val="auto"/>
                <w:spacing w:val="0"/>
                <w:w w:val="100"/>
                <w:sz w:val="24"/>
                <w:szCs w:val="24"/>
                <w:vertAlign w:val="baseline"/>
              </w:rPr>
            </w:pPr>
            <w:r>
              <w:rPr>
                <w:rFonts w:hint="default" w:ascii="Times New Roman" w:hAnsi="Times New Roman" w:eastAsia="仿宋_GB2312" w:cs="Times New Roman"/>
                <w:color w:val="auto"/>
                <w:sz w:val="28"/>
                <w:szCs w:val="28"/>
                <w:lang w:val="en-US" w:eastAsia="zh-CN"/>
              </w:rPr>
              <w:t>★</w:t>
            </w:r>
            <w:r>
              <w:rPr>
                <w:rFonts w:hint="default" w:ascii="Times New Roman" w:hAnsi="Times New Roman" w:eastAsia="方正仿宋_GBK" w:cs="Times New Roman"/>
                <w:color w:val="auto"/>
                <w:spacing w:val="0"/>
                <w:w w:val="100"/>
                <w:sz w:val="24"/>
                <w:szCs w:val="24"/>
                <w:lang w:val="en-US" w:eastAsia="zh-CN"/>
              </w:rPr>
              <w:t>预计开工时间</w:t>
            </w:r>
          </w:p>
        </w:tc>
        <w:tc>
          <w:tcPr>
            <w:tcW w:w="6293" w:type="dxa"/>
            <w:vAlign w:val="center"/>
          </w:tcPr>
          <w:p>
            <w:pPr>
              <w:rPr>
                <w:rFonts w:hint="default" w:ascii="Times New Roman" w:hAnsi="Times New Roman" w:eastAsia="宋体" w:cs="Times New Roman"/>
                <w:color w:val="auto"/>
                <w:spacing w:val="0"/>
                <w:w w:val="100"/>
                <w:sz w:val="24"/>
                <w:szCs w:val="24"/>
                <w:vertAlign w:val="baseline"/>
                <w:lang w:val="en-US" w:eastAsia="zh-CN"/>
              </w:rPr>
            </w:pPr>
            <w:r>
              <w:rPr>
                <w:rFonts w:hint="default" w:ascii="Times New Roman" w:hAnsi="Times New Roman" w:cs="Times New Roman"/>
                <w:color w:val="auto"/>
                <w:spacing w:val="0"/>
                <w:w w:val="100"/>
                <w:sz w:val="24"/>
                <w:szCs w:val="24"/>
                <w:vertAlign w:val="baseline"/>
                <w:lang w:val="en-US" w:eastAsia="zh-CN"/>
              </w:rPr>
              <w:t>2021年</w:t>
            </w:r>
            <w:r>
              <w:rPr>
                <w:rFonts w:hint="eastAsia" w:cs="Times New Roman"/>
                <w:color w:val="auto"/>
                <w:spacing w:val="0"/>
                <w:w w:val="100"/>
                <w:sz w:val="24"/>
                <w:szCs w:val="24"/>
                <w:vertAlign w:val="baseline"/>
                <w:lang w:val="en-US" w:eastAsia="zh-CN"/>
              </w:rPr>
              <w:t>6</w:t>
            </w:r>
            <w:r>
              <w:rPr>
                <w:rFonts w:hint="default" w:ascii="Times New Roman" w:hAnsi="Times New Roman" w:cs="Times New Roman"/>
                <w:color w:val="auto"/>
                <w:spacing w:val="0"/>
                <w:w w:val="100"/>
                <w:sz w:val="24"/>
                <w:szCs w:val="24"/>
                <w:vertAlign w:val="baseline"/>
                <w:lang w:val="en-US" w:eastAsia="zh-CN"/>
              </w:rPr>
              <w:t>月</w:t>
            </w:r>
            <w:r>
              <w:rPr>
                <w:rFonts w:hint="eastAsia" w:cs="Times New Roman"/>
                <w:color w:val="auto"/>
                <w:spacing w:val="0"/>
                <w:w w:val="100"/>
                <w:sz w:val="24"/>
                <w:szCs w:val="24"/>
                <w:vertAlign w:val="baseline"/>
                <w:lang w:val="en-US" w:eastAsia="zh-CN"/>
              </w:rPr>
              <w:t>（具体时间以招标人通知为准）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522" w:type="dxa"/>
            <w:gridSpan w:val="2"/>
            <w:vAlign w:val="center"/>
          </w:tcPr>
          <w:p>
            <w:pPr>
              <w:rPr>
                <w:rFonts w:hint="default" w:ascii="Times New Roman" w:hAnsi="Times New Roman" w:cs="Times New Roman"/>
                <w:color w:val="auto"/>
                <w:spacing w:val="0"/>
                <w:w w:val="100"/>
                <w:sz w:val="24"/>
                <w:szCs w:val="24"/>
                <w:vertAlign w:val="baseline"/>
              </w:rPr>
            </w:pPr>
            <w:r>
              <w:rPr>
                <w:rFonts w:hint="default" w:ascii="Times New Roman" w:hAnsi="Times New Roman" w:eastAsia="仿宋_GB2312" w:cs="Times New Roman"/>
                <w:color w:val="auto"/>
                <w:spacing w:val="0"/>
                <w:w w:val="100"/>
                <w:sz w:val="24"/>
                <w:szCs w:val="24"/>
                <w:lang w:val="en-US" w:eastAsia="zh-CN"/>
              </w:rPr>
              <w:t>二、</w:t>
            </w:r>
            <w:r>
              <w:rPr>
                <w:rFonts w:hint="eastAsia" w:eastAsia="方正仿宋_GBK" w:cs="Times New Roman"/>
                <w:color w:val="auto"/>
                <w:spacing w:val="0"/>
                <w:w w:val="100"/>
                <w:sz w:val="24"/>
                <w:szCs w:val="24"/>
                <w:lang w:eastAsia="zh-CN"/>
              </w:rPr>
              <w:t>竞选人</w:t>
            </w:r>
            <w:r>
              <w:rPr>
                <w:rFonts w:hint="default" w:ascii="Times New Roman" w:hAnsi="Times New Roman" w:eastAsia="方正仿宋_GBK" w:cs="Times New Roman"/>
                <w:color w:val="auto"/>
                <w:spacing w:val="0"/>
                <w:w w:val="100"/>
                <w:sz w:val="24"/>
                <w:szCs w:val="24"/>
                <w:lang w:eastAsia="zh-CN"/>
              </w:rPr>
              <w:t>须知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229" w:type="dxa"/>
            <w:vAlign w:val="center"/>
          </w:tcPr>
          <w:p>
            <w:pPr>
              <w:rPr>
                <w:rFonts w:hint="default" w:ascii="Times New Roman" w:hAnsi="Times New Roman" w:cs="Times New Roman"/>
                <w:color w:val="auto"/>
                <w:spacing w:val="0"/>
                <w:w w:val="100"/>
                <w:sz w:val="24"/>
                <w:szCs w:val="24"/>
                <w:vertAlign w:val="baseline"/>
              </w:rPr>
            </w:pPr>
            <w:r>
              <w:rPr>
                <w:rFonts w:hint="default" w:ascii="Times New Roman" w:hAnsi="Times New Roman" w:eastAsia="仿宋_GB2312" w:cs="Times New Roman"/>
                <w:color w:val="auto"/>
                <w:sz w:val="28"/>
                <w:szCs w:val="28"/>
                <w:lang w:val="en-US" w:eastAsia="zh-CN"/>
              </w:rPr>
              <w:t>★</w:t>
            </w:r>
            <w:r>
              <w:rPr>
                <w:rFonts w:hint="default" w:ascii="Times New Roman" w:hAnsi="Times New Roman" w:eastAsia="方正仿宋_GBK" w:cs="Times New Roman"/>
                <w:color w:val="auto"/>
                <w:spacing w:val="0"/>
                <w:w w:val="100"/>
                <w:sz w:val="24"/>
                <w:szCs w:val="24"/>
                <w:lang w:eastAsia="zh-CN"/>
              </w:rPr>
              <w:t>比选范围及内容</w:t>
            </w:r>
          </w:p>
        </w:tc>
        <w:tc>
          <w:tcPr>
            <w:tcW w:w="6293" w:type="dxa"/>
            <w:vAlign w:val="center"/>
          </w:tcPr>
          <w:p>
            <w:pPr>
              <w:rPr>
                <w:rFonts w:hint="default" w:ascii="Times New Roman" w:hAnsi="Times New Roman" w:eastAsia="方正仿宋_GBK" w:cs="Times New Roman"/>
                <w:color w:val="auto"/>
                <w:spacing w:val="0"/>
                <w:w w:val="100"/>
                <w:sz w:val="24"/>
                <w:szCs w:val="24"/>
                <w:lang w:val="en-US" w:eastAsia="zh-CN"/>
              </w:rPr>
            </w:pPr>
            <w:r>
              <w:rPr>
                <w:rFonts w:hint="default" w:ascii="Times New Roman" w:hAnsi="Times New Roman" w:eastAsia="方正仿宋_GBK" w:cs="Times New Roman"/>
                <w:color w:val="auto"/>
                <w:spacing w:val="0"/>
                <w:w w:val="100"/>
                <w:sz w:val="24"/>
                <w:szCs w:val="24"/>
                <w:lang w:val="en-US" w:eastAsia="zh-CN"/>
              </w:rPr>
              <w:t>①、1部消防电梯/兼货梯/兼无障碍电梯、10（层/站/门）、提升高度44米、载重（1000KG)、速度(1.5m/s)；②、1部客梯/兼担架电梯、10（层/站/门）、提升高度44米、载重（1000KG)、速度(1.5m/s)；③、1部客梯、10（层/站/门）、提升高度44米、载重（1000KG)、速度(1.5m/s)；④、1部电梯/兼货梯/兼无障碍电梯、3（层/站/门）、提升高度10.6米、载重（1000KG)、速度(1.5m/s)；⑤、1部货梯、4（层/站/门）、提升高度10.50米、载重（</w:t>
            </w:r>
            <w:r>
              <w:rPr>
                <w:rFonts w:hint="eastAsia" w:eastAsia="方正仿宋_GBK" w:cs="Times New Roman"/>
                <w:color w:val="auto"/>
                <w:spacing w:val="0"/>
                <w:w w:val="100"/>
                <w:sz w:val="24"/>
                <w:szCs w:val="24"/>
                <w:lang w:val="en-US" w:eastAsia="zh-CN"/>
              </w:rPr>
              <w:t>3</w:t>
            </w:r>
            <w:r>
              <w:rPr>
                <w:rFonts w:hint="default" w:ascii="Times New Roman" w:hAnsi="Times New Roman" w:eastAsia="方正仿宋_GBK" w:cs="Times New Roman"/>
                <w:color w:val="auto"/>
                <w:spacing w:val="0"/>
                <w:w w:val="100"/>
                <w:sz w:val="24"/>
                <w:szCs w:val="24"/>
                <w:lang w:val="en-US" w:eastAsia="zh-CN"/>
              </w:rPr>
              <w:t>000KG)、速度(0.5m/s)共5部电梯的采购及安装等工作内容</w:t>
            </w:r>
            <w:r>
              <w:rPr>
                <w:rFonts w:hint="eastAsia" w:eastAsia="方正仿宋_GBK" w:cs="Times New Roman"/>
                <w:color w:val="auto"/>
                <w:spacing w:val="0"/>
                <w:w w:val="100"/>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9" w:hRule="atLeast"/>
        </w:trPr>
        <w:tc>
          <w:tcPr>
            <w:tcW w:w="2229" w:type="dxa"/>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cs="Times New Roman"/>
                <w:color w:val="auto"/>
                <w:spacing w:val="0"/>
                <w:w w:val="100"/>
                <w:sz w:val="24"/>
                <w:szCs w:val="24"/>
                <w:vertAlign w:val="baseline"/>
              </w:rPr>
            </w:pPr>
            <w:r>
              <w:rPr>
                <w:rFonts w:hint="default" w:ascii="Times New Roman" w:hAnsi="Times New Roman" w:eastAsia="仿宋_GB2312" w:cs="Times New Roman"/>
                <w:color w:val="auto"/>
                <w:sz w:val="28"/>
                <w:szCs w:val="28"/>
                <w:lang w:val="en-US" w:eastAsia="zh-CN"/>
              </w:rPr>
              <w:t>★</w:t>
            </w:r>
            <w:r>
              <w:rPr>
                <w:rFonts w:hint="eastAsia" w:eastAsia="方正仿宋_GBK" w:cs="Times New Roman"/>
                <w:color w:val="auto"/>
                <w:spacing w:val="0"/>
                <w:w w:val="100"/>
                <w:sz w:val="24"/>
                <w:szCs w:val="24"/>
                <w:lang w:val="en-US" w:eastAsia="zh-CN"/>
              </w:rPr>
              <w:t>竞选人</w:t>
            </w:r>
            <w:r>
              <w:rPr>
                <w:rFonts w:hint="default" w:ascii="Times New Roman" w:hAnsi="Times New Roman" w:eastAsia="方正仿宋_GBK" w:cs="Times New Roman"/>
                <w:color w:val="auto"/>
                <w:spacing w:val="0"/>
                <w:w w:val="100"/>
                <w:sz w:val="24"/>
                <w:szCs w:val="24"/>
                <w:lang w:val="en-US" w:eastAsia="zh-CN"/>
              </w:rPr>
              <w:t>资格要求</w:t>
            </w:r>
          </w:p>
        </w:tc>
        <w:tc>
          <w:tcPr>
            <w:tcW w:w="6293" w:type="dxa"/>
            <w:vAlign w:val="top"/>
          </w:tcPr>
          <w:p>
            <w:pPr>
              <w:pStyle w:val="15"/>
              <w:keepNext w:val="0"/>
              <w:keepLines w:val="0"/>
              <w:pageBreakBefore w:val="0"/>
              <w:widowControl w:val="0"/>
              <w:tabs>
                <w:tab w:val="left" w:pos="880"/>
              </w:tabs>
              <w:kinsoku/>
              <w:wordWrap/>
              <w:overflowPunct/>
              <w:topLinePunct w:val="0"/>
              <w:bidi w:val="0"/>
              <w:spacing w:line="400" w:lineRule="exact"/>
              <w:ind w:right="105" w:rightChars="50"/>
              <w:outlineLvl w:val="9"/>
              <w:rPr>
                <w:rFonts w:hint="eastAsia" w:ascii="宋体" w:hAnsi="宋体" w:eastAsia="宋体" w:cs="宋体"/>
                <w:b/>
                <w:color w:val="auto"/>
                <w:sz w:val="20"/>
                <w:szCs w:val="20"/>
                <w:highlight w:val="none"/>
              </w:rPr>
            </w:pPr>
            <w:r>
              <w:rPr>
                <w:rFonts w:hint="eastAsia" w:ascii="宋体" w:hAnsi="宋体" w:cs="宋体"/>
                <w:b/>
                <w:color w:val="auto"/>
                <w:sz w:val="20"/>
                <w:szCs w:val="20"/>
                <w:highlight w:val="none"/>
                <w:lang w:val="en-US" w:eastAsia="zh-CN"/>
              </w:rPr>
              <w:t>竞选人</w:t>
            </w:r>
            <w:r>
              <w:rPr>
                <w:rFonts w:hint="eastAsia" w:ascii="宋体" w:hAnsi="宋体" w:eastAsia="宋体" w:cs="宋体"/>
                <w:b/>
                <w:color w:val="auto"/>
                <w:sz w:val="20"/>
                <w:szCs w:val="20"/>
                <w:highlight w:val="none"/>
              </w:rPr>
              <w:t xml:space="preserve">应具备以下资格条件： </w:t>
            </w:r>
          </w:p>
          <w:p>
            <w:pPr>
              <w:pStyle w:val="15"/>
              <w:keepNext w:val="0"/>
              <w:keepLines w:val="0"/>
              <w:pageBreakBefore w:val="0"/>
              <w:widowControl w:val="0"/>
              <w:tabs>
                <w:tab w:val="left" w:pos="880"/>
              </w:tabs>
              <w:kinsoku/>
              <w:wordWrap/>
              <w:overflowPunct/>
              <w:topLinePunct w:val="0"/>
              <w:bidi w:val="0"/>
              <w:spacing w:line="400" w:lineRule="exact"/>
              <w:ind w:right="105" w:rightChars="50"/>
              <w:outlineLvl w:val="9"/>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（一）电梯制造商或授权的代理商均可参加</w:t>
            </w:r>
            <w:r>
              <w:rPr>
                <w:rFonts w:hint="eastAsia" w:ascii="宋体" w:hAnsi="宋体" w:cs="宋体"/>
                <w:b/>
                <w:color w:val="auto"/>
                <w:sz w:val="20"/>
                <w:szCs w:val="20"/>
                <w:highlight w:val="none"/>
                <w:lang w:val="en-US" w:eastAsia="zh-CN"/>
              </w:rPr>
              <w:t>比选</w:t>
            </w:r>
            <w:r>
              <w:rPr>
                <w:rFonts w:hint="eastAsia" w:ascii="宋体" w:hAnsi="宋体" w:eastAsia="宋体" w:cs="宋体"/>
                <w:b/>
                <w:color w:val="auto"/>
                <w:sz w:val="20"/>
                <w:szCs w:val="20"/>
                <w:highlight w:val="none"/>
              </w:rPr>
              <w:t>，</w:t>
            </w:r>
            <w:r>
              <w:rPr>
                <w:rFonts w:hint="eastAsia" w:ascii="宋体" w:hAnsi="宋体" w:cs="宋体"/>
                <w:b/>
                <w:color w:val="auto"/>
                <w:sz w:val="20"/>
                <w:szCs w:val="20"/>
                <w:highlight w:val="none"/>
                <w:lang w:val="en-US" w:eastAsia="zh-CN"/>
              </w:rPr>
              <w:t>竞选人</w:t>
            </w:r>
            <w:r>
              <w:rPr>
                <w:rFonts w:hint="eastAsia" w:ascii="宋体" w:hAnsi="宋体" w:eastAsia="宋体" w:cs="宋体"/>
                <w:b/>
                <w:color w:val="auto"/>
                <w:sz w:val="20"/>
                <w:szCs w:val="20"/>
                <w:highlight w:val="none"/>
              </w:rPr>
              <w:t>应满足下列资格条件：</w:t>
            </w:r>
          </w:p>
          <w:p>
            <w:pPr>
              <w:pStyle w:val="3"/>
              <w:tabs>
                <w:tab w:val="left" w:pos="880"/>
              </w:tabs>
              <w:spacing w:line="360" w:lineRule="auto"/>
              <w:ind w:right="170"/>
              <w:jc w:val="both"/>
              <w:rPr>
                <w:rFonts w:hint="eastAsia" w:ascii="宋体" w:hAnsi="宋体" w:eastAsia="宋体" w:cs="宋体"/>
                <w:b/>
                <w:bCs/>
                <w:color w:val="auto"/>
                <w:sz w:val="20"/>
                <w:szCs w:val="20"/>
                <w:highlight w:val="none"/>
              </w:rPr>
            </w:pPr>
            <w:r>
              <w:rPr>
                <w:rFonts w:hint="eastAsia" w:ascii="宋体" w:hAnsi="宋体" w:cs="宋体"/>
                <w:b/>
                <w:bCs/>
                <w:color w:val="auto"/>
                <w:sz w:val="20"/>
                <w:szCs w:val="20"/>
                <w:highlight w:val="none"/>
                <w:lang w:val="en-US" w:eastAsia="zh-CN"/>
              </w:rPr>
              <w:t>1</w:t>
            </w:r>
            <w:r>
              <w:rPr>
                <w:rFonts w:hint="default" w:ascii="宋体" w:hAnsi="宋体" w:eastAsia="宋体" w:cs="宋体"/>
                <w:b/>
                <w:bCs/>
                <w:color w:val="auto"/>
                <w:sz w:val="20"/>
                <w:szCs w:val="20"/>
                <w:highlight w:val="none"/>
                <w:lang w:val="en-US" w:eastAsia="zh-CN"/>
              </w:rPr>
              <w:t>、</w:t>
            </w:r>
            <w:r>
              <w:rPr>
                <w:rFonts w:hint="eastAsia" w:ascii="宋体" w:hAnsi="宋体" w:eastAsia="宋体" w:cs="宋体"/>
                <w:b/>
                <w:bCs/>
                <w:color w:val="auto"/>
                <w:sz w:val="20"/>
                <w:szCs w:val="20"/>
                <w:highlight w:val="none"/>
              </w:rPr>
              <w:t>电梯生产制造商</w:t>
            </w:r>
            <w:r>
              <w:rPr>
                <w:rFonts w:hint="eastAsia" w:ascii="宋体" w:hAnsi="宋体" w:cs="宋体"/>
                <w:b/>
                <w:bCs/>
                <w:color w:val="auto"/>
                <w:sz w:val="20"/>
                <w:szCs w:val="20"/>
                <w:highlight w:val="none"/>
                <w:lang w:val="en-US" w:eastAsia="zh-CN"/>
              </w:rPr>
              <w:t>比选</w:t>
            </w:r>
            <w:r>
              <w:rPr>
                <w:rFonts w:hint="eastAsia" w:ascii="宋体" w:hAnsi="宋体" w:eastAsia="宋体" w:cs="宋体"/>
                <w:b/>
                <w:bCs/>
                <w:color w:val="auto"/>
                <w:sz w:val="20"/>
                <w:szCs w:val="20"/>
                <w:highlight w:val="none"/>
              </w:rPr>
              <w:t>须满足以下条件：</w:t>
            </w:r>
          </w:p>
          <w:p>
            <w:pPr>
              <w:pStyle w:val="3"/>
              <w:tabs>
                <w:tab w:val="left" w:pos="880"/>
              </w:tabs>
              <w:spacing w:line="360" w:lineRule="auto"/>
              <w:ind w:left="-7" w:right="170" w:firstLine="447"/>
              <w:jc w:val="both"/>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（1）</w:t>
            </w:r>
            <w:r>
              <w:rPr>
                <w:rFonts w:hint="eastAsia" w:ascii="宋体" w:hAnsi="宋体" w:eastAsia="宋体" w:cs="宋体"/>
                <w:color w:val="auto"/>
                <w:sz w:val="20"/>
                <w:szCs w:val="20"/>
                <w:highlight w:val="none"/>
                <w:lang w:val="en-US"/>
              </w:rPr>
              <w:t>电梯生产制造商须为在中华人民共和国境内合法工商登记注册且具有独立法人资格</w:t>
            </w:r>
            <w:r>
              <w:rPr>
                <w:rFonts w:hint="eastAsia" w:ascii="宋体" w:hAnsi="宋体" w:cs="宋体"/>
                <w:color w:val="auto"/>
                <w:sz w:val="20"/>
                <w:szCs w:val="20"/>
                <w:highlight w:val="none"/>
                <w:lang w:val="en-US" w:eastAsia="zh-CN"/>
              </w:rPr>
              <w:t>（</w:t>
            </w:r>
            <w:r>
              <w:rPr>
                <w:rFonts w:hint="eastAsia" w:ascii="宋体" w:hAnsi="宋体" w:cs="宋体"/>
                <w:b/>
                <w:bCs/>
                <w:color w:val="auto"/>
                <w:sz w:val="20"/>
                <w:szCs w:val="20"/>
                <w:highlight w:val="none"/>
                <w:lang w:val="en-US" w:eastAsia="zh-CN"/>
              </w:rPr>
              <w:t>提供有效的营业执照复印件</w:t>
            </w:r>
            <w:r>
              <w:rPr>
                <w:rFonts w:hint="eastAsia" w:ascii="宋体" w:hAnsi="宋体" w:cs="宋体"/>
                <w:color w:val="auto"/>
                <w:sz w:val="20"/>
                <w:szCs w:val="20"/>
                <w:highlight w:val="none"/>
                <w:lang w:val="en-US" w:eastAsia="zh-CN"/>
              </w:rPr>
              <w:t>）</w:t>
            </w:r>
            <w:r>
              <w:rPr>
                <w:rFonts w:hint="eastAsia" w:ascii="宋体" w:hAnsi="宋体" w:eastAsia="宋体" w:cs="宋体"/>
                <w:color w:val="auto"/>
                <w:sz w:val="20"/>
                <w:szCs w:val="20"/>
                <w:highlight w:val="none"/>
                <w:lang w:val="en-US"/>
              </w:rPr>
              <w:t>。</w:t>
            </w:r>
          </w:p>
          <w:p>
            <w:pPr>
              <w:pStyle w:val="3"/>
              <w:tabs>
                <w:tab w:val="left" w:pos="880"/>
              </w:tabs>
              <w:spacing w:line="360" w:lineRule="auto"/>
              <w:ind w:left="-7" w:right="170" w:firstLine="447"/>
              <w:jc w:val="both"/>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（2）应满足以下①、②两项要求中的任意一项：</w:t>
            </w:r>
          </w:p>
          <w:p>
            <w:pPr>
              <w:pStyle w:val="3"/>
              <w:tabs>
                <w:tab w:val="left" w:pos="880"/>
              </w:tabs>
              <w:spacing w:line="360" w:lineRule="auto"/>
              <w:ind w:left="-7" w:right="170" w:firstLine="447"/>
              <w:jc w:val="both"/>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①</w:t>
            </w:r>
            <w:r>
              <w:rPr>
                <w:rFonts w:hint="eastAsia"/>
                <w:color w:val="auto"/>
                <w:sz w:val="20"/>
                <w:szCs w:val="20"/>
                <w:highlight w:val="none"/>
              </w:rPr>
              <w:t>同时具有在有效期内的（新旧证过渡期相关职能部门颁发的有效资质证书）《中华人民共和国特种设备制造许可证（电梯）》且许可范围</w:t>
            </w:r>
            <w:r>
              <w:rPr>
                <w:rFonts w:hint="eastAsia" w:ascii="宋体" w:hAnsi="宋体" w:eastAsia="宋体" w:cs="宋体"/>
                <w:color w:val="auto"/>
                <w:sz w:val="20"/>
                <w:szCs w:val="20"/>
                <w:highlight w:val="none"/>
              </w:rPr>
              <w:t>为</w:t>
            </w:r>
            <w:r>
              <w:rPr>
                <w:rFonts w:hint="eastAsia"/>
                <w:color w:val="auto"/>
                <w:sz w:val="20"/>
                <w:szCs w:val="20"/>
                <w:highlight w:val="none"/>
              </w:rPr>
              <w:t>：曳引驱动乘客电梯A级</w:t>
            </w:r>
            <w:r>
              <w:rPr>
                <w:rFonts w:hint="eastAsia"/>
                <w:color w:val="auto"/>
                <w:sz w:val="20"/>
                <w:szCs w:val="20"/>
                <w:highlight w:val="none"/>
                <w:lang w:eastAsia="zh-CN"/>
              </w:rPr>
              <w:t>、曳引驱动载货电梯</w:t>
            </w:r>
            <w:r>
              <w:rPr>
                <w:rFonts w:hint="eastAsia"/>
                <w:color w:val="auto"/>
                <w:sz w:val="20"/>
                <w:szCs w:val="20"/>
                <w:highlight w:val="none"/>
                <w:lang w:val="en-US" w:eastAsia="zh-CN"/>
              </w:rPr>
              <w:t>B级</w:t>
            </w:r>
            <w:r>
              <w:rPr>
                <w:rFonts w:hint="eastAsia"/>
                <w:color w:val="auto"/>
                <w:sz w:val="20"/>
                <w:szCs w:val="20"/>
                <w:highlight w:val="none"/>
              </w:rPr>
              <w:t>；和《中华人民共和国特种设备安装改造维修许可证（电梯）》或《中华人民共和国特种设备安装改造修理许可证（电梯）》且许可范围</w:t>
            </w:r>
            <w:r>
              <w:rPr>
                <w:rFonts w:hint="eastAsia" w:ascii="宋体" w:hAnsi="宋体" w:eastAsia="宋体" w:cs="宋体"/>
                <w:color w:val="auto"/>
                <w:sz w:val="20"/>
                <w:szCs w:val="20"/>
                <w:highlight w:val="none"/>
              </w:rPr>
              <w:t xml:space="preserve">为 </w:t>
            </w:r>
            <w:r>
              <w:rPr>
                <w:rFonts w:hint="eastAsia"/>
                <w:color w:val="auto"/>
                <w:sz w:val="20"/>
                <w:szCs w:val="20"/>
                <w:highlight w:val="none"/>
              </w:rPr>
              <w:t>：曳引驱动乘客</w:t>
            </w:r>
            <w:r>
              <w:rPr>
                <w:rFonts w:hint="eastAsia"/>
                <w:color w:val="auto"/>
                <w:sz w:val="20"/>
                <w:szCs w:val="20"/>
                <w:highlight w:val="none"/>
                <w:lang w:val="en-US" w:eastAsia="zh-CN"/>
              </w:rPr>
              <w:t>和载货</w:t>
            </w:r>
            <w:r>
              <w:rPr>
                <w:rFonts w:hint="eastAsia"/>
                <w:color w:val="auto"/>
                <w:sz w:val="20"/>
                <w:szCs w:val="20"/>
                <w:highlight w:val="none"/>
              </w:rPr>
              <w:t>电梯安装、维修A级</w:t>
            </w:r>
            <w:r>
              <w:rPr>
                <w:rFonts w:hint="eastAsia" w:ascii="宋体" w:hAnsi="宋体" w:eastAsia="宋体" w:cs="宋体"/>
                <w:color w:val="auto"/>
                <w:sz w:val="20"/>
                <w:szCs w:val="20"/>
                <w:highlight w:val="none"/>
                <w:lang w:val="en-US"/>
              </w:rPr>
              <w:t>或</w:t>
            </w:r>
            <w:r>
              <w:rPr>
                <w:rFonts w:hint="eastAsia"/>
                <w:color w:val="auto"/>
                <w:sz w:val="20"/>
                <w:szCs w:val="20"/>
                <w:highlight w:val="none"/>
              </w:rPr>
              <w:t>曳引驱动</w:t>
            </w:r>
            <w:r>
              <w:rPr>
                <w:rFonts w:hint="eastAsia" w:ascii="宋体" w:hAnsi="宋体" w:eastAsia="宋体" w:cs="宋体"/>
                <w:color w:val="auto"/>
                <w:sz w:val="20"/>
                <w:szCs w:val="20"/>
                <w:highlight w:val="none"/>
                <w:lang w:val="en-US"/>
              </w:rPr>
              <w:t>乘客</w:t>
            </w:r>
            <w:r>
              <w:rPr>
                <w:rFonts w:hint="eastAsia" w:ascii="宋体" w:hAnsi="宋体" w:cs="宋体"/>
                <w:color w:val="auto"/>
                <w:sz w:val="20"/>
                <w:szCs w:val="20"/>
                <w:highlight w:val="none"/>
                <w:lang w:val="en-US" w:eastAsia="zh-CN"/>
              </w:rPr>
              <w:t>和载货</w:t>
            </w:r>
            <w:r>
              <w:rPr>
                <w:rFonts w:hint="eastAsia" w:ascii="宋体" w:hAnsi="宋体" w:eastAsia="宋体" w:cs="宋体"/>
                <w:color w:val="auto"/>
                <w:sz w:val="20"/>
                <w:szCs w:val="20"/>
                <w:highlight w:val="none"/>
                <w:lang w:val="en-US"/>
              </w:rPr>
              <w:t>电梯安装、修理A级</w:t>
            </w:r>
            <w:r>
              <w:rPr>
                <w:rFonts w:hint="eastAsia"/>
                <w:color w:val="auto"/>
                <w:sz w:val="20"/>
                <w:szCs w:val="20"/>
                <w:highlight w:val="none"/>
              </w:rPr>
              <w:t>。</w:t>
            </w:r>
          </w:p>
          <w:p>
            <w:pPr>
              <w:pStyle w:val="3"/>
              <w:tabs>
                <w:tab w:val="left" w:pos="880"/>
              </w:tabs>
              <w:spacing w:line="360" w:lineRule="auto"/>
              <w:ind w:left="-7" w:right="170" w:firstLine="447"/>
              <w:jc w:val="both"/>
              <w:rPr>
                <w:rFonts w:hint="eastAsia" w:ascii="宋体" w:hAnsi="宋体" w:eastAsia="宋体" w:cs="宋体"/>
                <w:color w:val="auto"/>
                <w:sz w:val="20"/>
                <w:szCs w:val="20"/>
                <w:highlight w:val="none"/>
                <w:lang w:val="en-US"/>
              </w:rPr>
            </w:pPr>
            <w:r>
              <w:rPr>
                <w:rFonts w:hint="eastAsia" w:ascii="宋体" w:hAnsi="宋体" w:eastAsia="宋体" w:cs="宋体"/>
                <w:color w:val="auto"/>
                <w:sz w:val="20"/>
                <w:szCs w:val="20"/>
                <w:highlight w:val="none"/>
              </w:rPr>
              <w:t>②</w:t>
            </w:r>
            <w:r>
              <w:rPr>
                <w:rFonts w:hint="eastAsia" w:ascii="宋体" w:hAnsi="宋体" w:eastAsia="宋体" w:cs="宋体"/>
                <w:color w:val="auto"/>
                <w:sz w:val="20"/>
                <w:szCs w:val="20"/>
                <w:highlight w:val="none"/>
                <w:lang w:val="en-US"/>
              </w:rPr>
              <w:t>具有在有效期内的《中华人民共和国特种设备生产许可证》，具体许可项目如下：</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2023"/>
              <w:gridCol w:w="17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jc w:val="center"/>
                    <w:rPr>
                      <w:rFonts w:hint="eastAsia" w:ascii="宋体" w:hAnsi="宋体" w:eastAsia="宋体" w:cs="宋体"/>
                      <w:color w:val="auto"/>
                      <w:sz w:val="20"/>
                      <w:szCs w:val="20"/>
                      <w:highlight w:val="none"/>
                      <w:vertAlign w:val="baseline"/>
                      <w:lang w:val="en-US"/>
                    </w:rPr>
                  </w:pPr>
                  <w:r>
                    <w:rPr>
                      <w:rFonts w:hint="eastAsia" w:ascii="宋体" w:hAnsi="宋体" w:eastAsia="宋体" w:cs="宋体"/>
                      <w:b/>
                      <w:bCs/>
                      <w:color w:val="auto"/>
                      <w:sz w:val="20"/>
                      <w:szCs w:val="20"/>
                      <w:highlight w:val="none"/>
                    </w:rPr>
                    <w:t>许可项目</w:t>
                  </w:r>
                </w:p>
              </w:tc>
              <w:tc>
                <w:tcPr>
                  <w:tcW w:w="2023" w:type="dxa"/>
                </w:tcPr>
                <w:p>
                  <w:pPr>
                    <w:jc w:val="center"/>
                    <w:rPr>
                      <w:rFonts w:hint="eastAsia" w:ascii="宋体" w:hAnsi="宋体" w:eastAsia="宋体" w:cs="宋体"/>
                      <w:color w:val="auto"/>
                      <w:sz w:val="20"/>
                      <w:szCs w:val="20"/>
                      <w:highlight w:val="none"/>
                      <w:vertAlign w:val="baseline"/>
                      <w:lang w:val="en-US"/>
                    </w:rPr>
                  </w:pPr>
                  <w:r>
                    <w:rPr>
                      <w:rFonts w:hint="eastAsia" w:ascii="宋体" w:hAnsi="宋体" w:eastAsia="宋体" w:cs="宋体"/>
                      <w:b/>
                      <w:bCs/>
                      <w:color w:val="auto"/>
                      <w:sz w:val="20"/>
                      <w:szCs w:val="20"/>
                      <w:highlight w:val="none"/>
                    </w:rPr>
                    <w:t>许可子项目</w:t>
                  </w:r>
                </w:p>
              </w:tc>
              <w:tc>
                <w:tcPr>
                  <w:tcW w:w="1719" w:type="dxa"/>
                </w:tcPr>
                <w:p>
                  <w:pPr>
                    <w:jc w:val="center"/>
                    <w:rPr>
                      <w:rFonts w:hint="eastAsia" w:ascii="宋体" w:hAnsi="宋体" w:eastAsia="宋体" w:cs="宋体"/>
                      <w:color w:val="auto"/>
                      <w:sz w:val="20"/>
                      <w:szCs w:val="20"/>
                      <w:highlight w:val="none"/>
                      <w:vertAlign w:val="baseline"/>
                      <w:lang w:val="en-US"/>
                    </w:rPr>
                  </w:pPr>
                  <w:r>
                    <w:rPr>
                      <w:rFonts w:hint="eastAsia" w:ascii="宋体" w:hAnsi="宋体" w:eastAsia="宋体" w:cs="宋体"/>
                      <w:b/>
                      <w:bCs/>
                      <w:color w:val="auto"/>
                      <w:sz w:val="20"/>
                      <w:szCs w:val="20"/>
                      <w:highlight w:val="none"/>
                    </w:rPr>
                    <w:t>许可参数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rFonts w:hint="eastAsia" w:ascii="宋体" w:hAnsi="宋体" w:eastAsia="宋体" w:cs="宋体"/>
                      <w:color w:val="auto"/>
                      <w:sz w:val="20"/>
                      <w:szCs w:val="20"/>
                      <w:highlight w:val="none"/>
                      <w:vertAlign w:val="baseline"/>
                      <w:lang w:val="en-US"/>
                    </w:rPr>
                  </w:pPr>
                  <w:r>
                    <w:rPr>
                      <w:rFonts w:hint="eastAsia" w:ascii="宋体" w:hAnsi="宋体" w:eastAsia="宋体" w:cs="宋体"/>
                      <w:color w:val="auto"/>
                      <w:sz w:val="20"/>
                      <w:szCs w:val="20"/>
                      <w:highlight w:val="none"/>
                    </w:rPr>
                    <w:t>电梯制造（含安装、修理、改造）</w:t>
                  </w:r>
                </w:p>
              </w:tc>
              <w:tc>
                <w:tcPr>
                  <w:tcW w:w="2023" w:type="dxa"/>
                </w:tcPr>
                <w:p>
                  <w:pPr>
                    <w:rPr>
                      <w:rFonts w:hint="eastAsia" w:ascii="宋体" w:hAnsi="宋体" w:eastAsia="宋体" w:cs="宋体"/>
                      <w:color w:val="auto"/>
                      <w:sz w:val="20"/>
                      <w:szCs w:val="20"/>
                      <w:highlight w:val="none"/>
                      <w:vertAlign w:val="baseline"/>
                      <w:lang w:val="en-US" w:eastAsia="zh-CN"/>
                    </w:rPr>
                  </w:pPr>
                  <w:r>
                    <w:rPr>
                      <w:rFonts w:hint="eastAsia" w:ascii="宋体" w:hAnsi="宋体" w:eastAsia="宋体" w:cs="宋体"/>
                      <w:color w:val="auto"/>
                      <w:sz w:val="20"/>
                      <w:szCs w:val="20"/>
                      <w:highlight w:val="none"/>
                    </w:rPr>
                    <w:t>曳引驱动乘客电梯(含消防员电梯）</w:t>
                  </w:r>
                  <w:r>
                    <w:rPr>
                      <w:rFonts w:hint="eastAsia" w:ascii="宋体" w:hAnsi="宋体" w:cs="宋体"/>
                      <w:color w:val="auto"/>
                      <w:sz w:val="20"/>
                      <w:szCs w:val="20"/>
                      <w:highlight w:val="none"/>
                      <w:lang w:eastAsia="zh-CN"/>
                    </w:rPr>
                    <w:t>、曳引驱动载货电梯</w:t>
                  </w:r>
                </w:p>
              </w:tc>
              <w:tc>
                <w:tcPr>
                  <w:tcW w:w="1719" w:type="dxa"/>
                </w:tcPr>
                <w:p>
                  <w:pPr>
                    <w:jc w:val="center"/>
                    <w:rPr>
                      <w:rFonts w:hint="eastAsia" w:ascii="宋体" w:hAnsi="宋体" w:cs="宋体"/>
                      <w:color w:val="auto"/>
                      <w:sz w:val="20"/>
                      <w:szCs w:val="20"/>
                      <w:highlight w:val="none"/>
                      <w:vertAlign w:val="baseline"/>
                      <w:lang w:val="en-US" w:eastAsia="zh-CN"/>
                    </w:rPr>
                  </w:pPr>
                </w:p>
                <w:p>
                  <w:pPr>
                    <w:jc w:val="center"/>
                    <w:rPr>
                      <w:rFonts w:hint="default" w:ascii="宋体" w:hAnsi="宋体" w:eastAsia="宋体" w:cs="宋体"/>
                      <w:color w:val="auto"/>
                      <w:sz w:val="20"/>
                      <w:szCs w:val="20"/>
                      <w:highlight w:val="none"/>
                      <w:vertAlign w:val="baseline"/>
                      <w:lang w:val="en-US" w:eastAsia="zh-CN"/>
                    </w:rPr>
                  </w:pPr>
                  <w:r>
                    <w:rPr>
                      <w:rFonts w:hint="eastAsia" w:ascii="宋体" w:hAnsi="宋体" w:cs="宋体"/>
                      <w:color w:val="auto"/>
                      <w:sz w:val="20"/>
                      <w:szCs w:val="20"/>
                      <w:highlight w:val="none"/>
                      <w:vertAlign w:val="baseline"/>
                      <w:lang w:val="en-US" w:eastAsia="zh-CN"/>
                    </w:rPr>
                    <w:t>--</w:t>
                  </w:r>
                </w:p>
              </w:tc>
            </w:tr>
          </w:tbl>
          <w:p>
            <w:pPr>
              <w:pStyle w:val="3"/>
              <w:tabs>
                <w:tab w:val="left" w:pos="880"/>
              </w:tabs>
              <w:spacing w:line="360" w:lineRule="auto"/>
              <w:ind w:left="-7" w:right="170" w:firstLine="447"/>
              <w:jc w:val="both"/>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w:t>
            </w:r>
            <w:r>
              <w:rPr>
                <w:rFonts w:hint="eastAsia" w:ascii="宋体" w:hAnsi="宋体" w:eastAsia="宋体" w:cs="宋体"/>
                <w:color w:val="auto"/>
                <w:sz w:val="20"/>
                <w:szCs w:val="20"/>
                <w:highlight w:val="none"/>
                <w:lang w:val="en-US"/>
              </w:rPr>
              <w:t>3</w:t>
            </w:r>
            <w:r>
              <w:rPr>
                <w:rFonts w:hint="eastAsia" w:ascii="宋体" w:hAnsi="宋体" w:eastAsia="宋体" w:cs="宋体"/>
                <w:color w:val="auto"/>
                <w:sz w:val="20"/>
                <w:szCs w:val="20"/>
                <w:highlight w:val="none"/>
              </w:rPr>
              <w:t>）</w:t>
            </w:r>
            <w:r>
              <w:rPr>
                <w:rFonts w:hint="eastAsia" w:ascii="宋体" w:hAnsi="宋体" w:eastAsia="宋体" w:cs="宋体"/>
                <w:color w:val="auto"/>
                <w:sz w:val="20"/>
                <w:szCs w:val="20"/>
                <w:highlight w:val="none"/>
                <w:lang w:val="en-US" w:bidi="ar"/>
              </w:rPr>
              <w:t>电梯生产制造商可以委托电梯生产制造商的分公司或其它单位进行设备安装，若委托其他单位进行设备安装，该单位应具有中华人民共和国境内独立法人资格，</w:t>
            </w:r>
            <w:r>
              <w:rPr>
                <w:rFonts w:hint="eastAsia" w:ascii="宋体" w:hAnsi="宋体" w:cs="宋体"/>
                <w:color w:val="auto"/>
                <w:sz w:val="20"/>
                <w:szCs w:val="20"/>
                <w:highlight w:val="none"/>
                <w:lang w:val="en-US" w:eastAsia="zh-CN" w:bidi="ar"/>
              </w:rPr>
              <w:t>比选</w:t>
            </w:r>
            <w:r>
              <w:rPr>
                <w:rFonts w:hint="eastAsia" w:ascii="宋体" w:hAnsi="宋体" w:eastAsia="宋体" w:cs="宋体"/>
                <w:color w:val="auto"/>
                <w:sz w:val="20"/>
                <w:szCs w:val="20"/>
                <w:highlight w:val="none"/>
                <w:lang w:val="en-US" w:bidi="ar"/>
              </w:rPr>
              <w:t>文件中必须提供唯一合法授权安装书（或唯一合法委托安装协议）；取得授权的安装单位必须具备以下①、②两项要求中的任意一项：</w:t>
            </w:r>
            <w:r>
              <w:rPr>
                <w:rFonts w:hint="eastAsia" w:ascii="宋体" w:hAnsi="宋体" w:eastAsia="宋体" w:cs="宋体"/>
                <w:color w:val="auto"/>
                <w:sz w:val="20"/>
                <w:szCs w:val="20"/>
                <w:highlight w:val="none"/>
                <w:lang w:val="en-US" w:bidi="ar"/>
              </w:rPr>
              <w:br w:type="textWrapping"/>
            </w:r>
            <w:r>
              <w:rPr>
                <w:rFonts w:hint="eastAsia" w:ascii="宋体" w:hAnsi="宋体" w:eastAsia="宋体" w:cs="宋体"/>
                <w:color w:val="auto"/>
                <w:sz w:val="20"/>
                <w:szCs w:val="20"/>
                <w:highlight w:val="none"/>
              </w:rPr>
              <w:t>①</w:t>
            </w:r>
            <w:r>
              <w:rPr>
                <w:rFonts w:hint="eastAsia" w:ascii="宋体" w:hAnsi="宋体" w:eastAsia="宋体" w:cs="宋体"/>
                <w:color w:val="auto"/>
                <w:sz w:val="20"/>
                <w:szCs w:val="20"/>
                <w:highlight w:val="none"/>
                <w:lang w:val="en-US" w:bidi="ar"/>
              </w:rPr>
              <w:t>具有在有效期内的（新旧证过渡期相关职能部门颁发的有效资质证书）《中华人民共和国特种设备安装改造维修许可证（电梯）》或《中华人民共和国特种设备安装改造修理许可证（电梯）》且许可</w:t>
            </w:r>
            <w:r>
              <w:rPr>
                <w:rFonts w:hint="eastAsia" w:ascii="宋体" w:hAnsi="宋体" w:eastAsia="宋体" w:cs="宋体"/>
                <w:b w:val="0"/>
                <w:bCs w:val="0"/>
                <w:color w:val="auto"/>
                <w:sz w:val="20"/>
                <w:szCs w:val="20"/>
                <w:highlight w:val="none"/>
                <w:lang w:val="en-US" w:bidi="ar"/>
              </w:rPr>
              <w:t>范围为</w:t>
            </w:r>
            <w:r>
              <w:rPr>
                <w:rFonts w:hint="eastAsia" w:ascii="宋体" w:hAnsi="宋体" w:eastAsia="宋体" w:cs="宋体"/>
                <w:color w:val="auto"/>
                <w:sz w:val="20"/>
                <w:szCs w:val="20"/>
                <w:highlight w:val="none"/>
                <w:lang w:val="en-US" w:bidi="ar"/>
              </w:rPr>
              <w:t>：</w:t>
            </w:r>
            <w:r>
              <w:rPr>
                <w:rFonts w:hint="eastAsia"/>
                <w:color w:val="auto"/>
                <w:sz w:val="20"/>
                <w:szCs w:val="20"/>
                <w:highlight w:val="none"/>
              </w:rPr>
              <w:t>曳引驱动乘客</w:t>
            </w:r>
            <w:r>
              <w:rPr>
                <w:rFonts w:hint="eastAsia"/>
                <w:color w:val="auto"/>
                <w:sz w:val="20"/>
                <w:szCs w:val="20"/>
                <w:highlight w:val="none"/>
                <w:lang w:val="en-US" w:eastAsia="zh-CN"/>
              </w:rPr>
              <w:t>和载货</w:t>
            </w:r>
            <w:r>
              <w:rPr>
                <w:rFonts w:hint="eastAsia"/>
                <w:color w:val="auto"/>
                <w:sz w:val="20"/>
                <w:szCs w:val="20"/>
                <w:highlight w:val="none"/>
              </w:rPr>
              <w:t>电梯安装、维修A级</w:t>
            </w:r>
            <w:r>
              <w:rPr>
                <w:rFonts w:hint="eastAsia" w:ascii="宋体" w:hAnsi="宋体" w:eastAsia="宋体" w:cs="宋体"/>
                <w:color w:val="auto"/>
                <w:sz w:val="20"/>
                <w:szCs w:val="20"/>
                <w:highlight w:val="none"/>
                <w:lang w:val="en-US"/>
              </w:rPr>
              <w:t>或</w:t>
            </w:r>
            <w:r>
              <w:rPr>
                <w:rFonts w:hint="eastAsia"/>
                <w:color w:val="auto"/>
                <w:sz w:val="20"/>
                <w:szCs w:val="20"/>
                <w:highlight w:val="none"/>
              </w:rPr>
              <w:t>曳引驱动</w:t>
            </w:r>
            <w:r>
              <w:rPr>
                <w:rFonts w:hint="eastAsia" w:ascii="宋体" w:hAnsi="宋体" w:eastAsia="宋体" w:cs="宋体"/>
                <w:color w:val="auto"/>
                <w:sz w:val="20"/>
                <w:szCs w:val="20"/>
                <w:highlight w:val="none"/>
                <w:lang w:val="en-US"/>
              </w:rPr>
              <w:t>乘客</w:t>
            </w:r>
            <w:r>
              <w:rPr>
                <w:rFonts w:hint="eastAsia" w:ascii="宋体" w:hAnsi="宋体" w:cs="宋体"/>
                <w:color w:val="auto"/>
                <w:sz w:val="20"/>
                <w:szCs w:val="20"/>
                <w:highlight w:val="none"/>
                <w:lang w:val="en-US" w:eastAsia="zh-CN"/>
              </w:rPr>
              <w:t>和载货</w:t>
            </w:r>
            <w:r>
              <w:rPr>
                <w:rFonts w:hint="eastAsia" w:ascii="宋体" w:hAnsi="宋体" w:eastAsia="宋体" w:cs="宋体"/>
                <w:color w:val="auto"/>
                <w:sz w:val="20"/>
                <w:szCs w:val="20"/>
                <w:highlight w:val="none"/>
                <w:lang w:val="en-US"/>
              </w:rPr>
              <w:t>电梯安装、修理A级</w:t>
            </w:r>
            <w:r>
              <w:rPr>
                <w:rFonts w:hint="eastAsia" w:ascii="宋体" w:hAnsi="宋体" w:cs="宋体"/>
                <w:color w:val="auto"/>
                <w:sz w:val="20"/>
                <w:szCs w:val="20"/>
                <w:highlight w:val="none"/>
                <w:lang w:val="en-US" w:eastAsia="zh-CN" w:bidi="ar"/>
              </w:rPr>
              <w:t>。</w:t>
            </w:r>
            <w:r>
              <w:rPr>
                <w:rFonts w:hint="eastAsia"/>
                <w:color w:val="auto"/>
                <w:sz w:val="20"/>
                <w:szCs w:val="20"/>
                <w:highlight w:val="none"/>
                <w:lang w:val="zh-CN" w:bidi="zh-CN"/>
              </w:rPr>
              <w:br w:type="textWrapping"/>
            </w:r>
            <w:r>
              <w:rPr>
                <w:rFonts w:hint="eastAsia" w:ascii="宋体" w:hAnsi="宋体" w:eastAsia="宋体" w:cs="宋体"/>
                <w:color w:val="auto"/>
                <w:sz w:val="20"/>
                <w:szCs w:val="20"/>
                <w:highlight w:val="none"/>
              </w:rPr>
              <w:t>②具有在有效期内的《中华人民共和国特种设备生产许可证》，具体许可项目如下：</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2023"/>
              <w:gridCol w:w="17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22" w:type="dxa"/>
                </w:tcPr>
                <w:p>
                  <w:pPr>
                    <w:jc w:val="center"/>
                    <w:rPr>
                      <w:rFonts w:hint="eastAsia" w:ascii="宋体" w:hAnsi="宋体" w:eastAsia="宋体" w:cs="宋体"/>
                      <w:color w:val="auto"/>
                      <w:sz w:val="20"/>
                      <w:szCs w:val="20"/>
                      <w:highlight w:val="none"/>
                      <w:vertAlign w:val="baseline"/>
                      <w:lang w:val="en-US"/>
                    </w:rPr>
                  </w:pPr>
                  <w:r>
                    <w:rPr>
                      <w:rFonts w:hint="eastAsia" w:ascii="宋体" w:hAnsi="宋体" w:eastAsia="宋体" w:cs="宋体"/>
                      <w:b/>
                      <w:bCs/>
                      <w:color w:val="auto"/>
                      <w:sz w:val="20"/>
                      <w:szCs w:val="20"/>
                      <w:highlight w:val="none"/>
                    </w:rPr>
                    <w:t>许可项目</w:t>
                  </w:r>
                </w:p>
              </w:tc>
              <w:tc>
                <w:tcPr>
                  <w:tcW w:w="2023" w:type="dxa"/>
                </w:tcPr>
                <w:p>
                  <w:pPr>
                    <w:jc w:val="center"/>
                    <w:rPr>
                      <w:rFonts w:hint="eastAsia" w:ascii="宋体" w:hAnsi="宋体" w:eastAsia="宋体" w:cs="宋体"/>
                      <w:color w:val="auto"/>
                      <w:sz w:val="20"/>
                      <w:szCs w:val="20"/>
                      <w:highlight w:val="none"/>
                      <w:vertAlign w:val="baseline"/>
                      <w:lang w:val="en-US"/>
                    </w:rPr>
                  </w:pPr>
                  <w:r>
                    <w:rPr>
                      <w:rFonts w:hint="eastAsia" w:ascii="宋体" w:hAnsi="宋体" w:eastAsia="宋体" w:cs="宋体"/>
                      <w:b/>
                      <w:bCs/>
                      <w:color w:val="auto"/>
                      <w:sz w:val="20"/>
                      <w:szCs w:val="20"/>
                      <w:highlight w:val="none"/>
                    </w:rPr>
                    <w:t>许可子项目</w:t>
                  </w:r>
                </w:p>
              </w:tc>
              <w:tc>
                <w:tcPr>
                  <w:tcW w:w="1719" w:type="dxa"/>
                </w:tcPr>
                <w:p>
                  <w:pPr>
                    <w:jc w:val="center"/>
                    <w:rPr>
                      <w:rFonts w:hint="eastAsia" w:ascii="宋体" w:hAnsi="宋体" w:eastAsia="宋体" w:cs="宋体"/>
                      <w:color w:val="auto"/>
                      <w:sz w:val="20"/>
                      <w:szCs w:val="20"/>
                      <w:highlight w:val="none"/>
                      <w:vertAlign w:val="baseline"/>
                      <w:lang w:val="en-US"/>
                    </w:rPr>
                  </w:pPr>
                  <w:r>
                    <w:rPr>
                      <w:rFonts w:hint="eastAsia" w:ascii="宋体" w:hAnsi="宋体" w:eastAsia="宋体" w:cs="宋体"/>
                      <w:b/>
                      <w:bCs/>
                      <w:color w:val="auto"/>
                      <w:sz w:val="20"/>
                      <w:szCs w:val="20"/>
                      <w:highlight w:val="none"/>
                    </w:rPr>
                    <w:t>许可参数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rFonts w:hint="eastAsia" w:ascii="宋体" w:hAnsi="宋体" w:eastAsia="宋体" w:cs="宋体"/>
                      <w:color w:val="auto"/>
                      <w:sz w:val="20"/>
                      <w:szCs w:val="20"/>
                      <w:highlight w:val="none"/>
                    </w:rPr>
                  </w:pPr>
                </w:p>
                <w:p>
                  <w:pPr>
                    <w:rPr>
                      <w:rFonts w:hint="eastAsia" w:ascii="宋体" w:hAnsi="宋体" w:eastAsia="宋体" w:cs="宋体"/>
                      <w:color w:val="auto"/>
                      <w:sz w:val="20"/>
                      <w:szCs w:val="20"/>
                      <w:highlight w:val="none"/>
                      <w:vertAlign w:val="baseline"/>
                      <w:lang w:val="en-US"/>
                    </w:rPr>
                  </w:pPr>
                  <w:r>
                    <w:rPr>
                      <w:rFonts w:hint="eastAsia" w:ascii="宋体" w:hAnsi="宋体" w:eastAsia="宋体" w:cs="宋体"/>
                      <w:color w:val="auto"/>
                      <w:sz w:val="20"/>
                      <w:szCs w:val="20"/>
                      <w:highlight w:val="none"/>
                    </w:rPr>
                    <w:t>电梯安装（含修理）</w:t>
                  </w:r>
                </w:p>
              </w:tc>
              <w:tc>
                <w:tcPr>
                  <w:tcW w:w="2023" w:type="dxa"/>
                </w:tcPr>
                <w:p>
                  <w:pPr>
                    <w:rPr>
                      <w:rFonts w:hint="eastAsia" w:ascii="宋体" w:hAnsi="宋体" w:eastAsia="宋体" w:cs="宋体"/>
                      <w:color w:val="auto"/>
                      <w:sz w:val="20"/>
                      <w:szCs w:val="20"/>
                      <w:highlight w:val="none"/>
                      <w:vertAlign w:val="baseline"/>
                      <w:lang w:val="en-US"/>
                    </w:rPr>
                  </w:pPr>
                  <w:r>
                    <w:rPr>
                      <w:rFonts w:hint="eastAsia" w:ascii="宋体" w:hAnsi="宋体" w:eastAsia="宋体" w:cs="宋体"/>
                      <w:color w:val="auto"/>
                      <w:sz w:val="20"/>
                      <w:szCs w:val="20"/>
                      <w:highlight w:val="none"/>
                    </w:rPr>
                    <w:t>曳引驱动乘客电梯(含消防员电梯）</w:t>
                  </w:r>
                  <w:r>
                    <w:rPr>
                      <w:rFonts w:hint="eastAsia" w:ascii="宋体" w:hAnsi="宋体" w:cs="宋体"/>
                      <w:color w:val="auto"/>
                      <w:sz w:val="20"/>
                      <w:szCs w:val="20"/>
                      <w:highlight w:val="none"/>
                      <w:lang w:eastAsia="zh-CN"/>
                    </w:rPr>
                    <w:t>、曳引驱动载货电梯</w:t>
                  </w:r>
                </w:p>
              </w:tc>
              <w:tc>
                <w:tcPr>
                  <w:tcW w:w="1719" w:type="dxa"/>
                </w:tcPr>
                <w:p>
                  <w:pPr>
                    <w:jc w:val="center"/>
                    <w:rPr>
                      <w:rFonts w:hint="eastAsia" w:ascii="宋体" w:hAnsi="宋体" w:cs="宋体"/>
                      <w:color w:val="auto"/>
                      <w:sz w:val="20"/>
                      <w:szCs w:val="20"/>
                      <w:highlight w:val="none"/>
                      <w:vertAlign w:val="baseline"/>
                      <w:lang w:val="en-US" w:eastAsia="zh-CN"/>
                    </w:rPr>
                  </w:pPr>
                </w:p>
                <w:p>
                  <w:pPr>
                    <w:jc w:val="center"/>
                    <w:rPr>
                      <w:rFonts w:hint="default" w:ascii="宋体" w:hAnsi="宋体" w:eastAsia="宋体" w:cs="宋体"/>
                      <w:color w:val="auto"/>
                      <w:sz w:val="20"/>
                      <w:szCs w:val="20"/>
                      <w:highlight w:val="none"/>
                      <w:vertAlign w:val="baseline"/>
                      <w:lang w:val="en-US" w:eastAsia="zh-CN"/>
                    </w:rPr>
                  </w:pPr>
                  <w:r>
                    <w:rPr>
                      <w:rFonts w:hint="eastAsia" w:ascii="宋体" w:hAnsi="宋体" w:cs="宋体"/>
                      <w:color w:val="auto"/>
                      <w:sz w:val="20"/>
                      <w:szCs w:val="20"/>
                      <w:highlight w:val="none"/>
                      <w:vertAlign w:val="baseline"/>
                      <w:lang w:val="en-US" w:eastAsia="zh-CN"/>
                    </w:rPr>
                    <w:t>--</w:t>
                  </w:r>
                </w:p>
              </w:tc>
            </w:tr>
          </w:tbl>
          <w:p>
            <w:pPr>
              <w:rPr>
                <w:rFonts w:hint="eastAsia"/>
                <w:lang w:val="en-US"/>
              </w:rPr>
            </w:pPr>
          </w:p>
          <w:p>
            <w:pPr>
              <w:pStyle w:val="15"/>
              <w:keepNext w:val="0"/>
              <w:keepLines w:val="0"/>
              <w:pageBreakBefore w:val="0"/>
              <w:widowControl w:val="0"/>
              <w:tabs>
                <w:tab w:val="left" w:pos="880"/>
              </w:tabs>
              <w:kinsoku/>
              <w:wordWrap/>
              <w:overflowPunct/>
              <w:topLinePunct w:val="0"/>
              <w:bidi w:val="0"/>
              <w:spacing w:line="400" w:lineRule="exact"/>
              <w:ind w:left="105" w:leftChars="50" w:right="105" w:rightChars="50" w:firstLine="0" w:firstLineChars="0"/>
              <w:outlineLvl w:val="9"/>
              <w:rPr>
                <w:rFonts w:hint="eastAsia" w:ascii="宋体" w:hAnsi="宋体" w:eastAsia="宋体" w:cs="宋体"/>
                <w:b/>
                <w:bCs/>
                <w:color w:val="auto"/>
                <w:sz w:val="20"/>
                <w:szCs w:val="20"/>
                <w:highlight w:val="none"/>
                <w:lang w:val="en-US"/>
              </w:rPr>
            </w:pPr>
            <w:r>
              <w:rPr>
                <w:rFonts w:hint="eastAsia"/>
                <w:b/>
                <w:bCs/>
                <w:color w:val="auto"/>
                <w:sz w:val="20"/>
                <w:szCs w:val="20"/>
                <w:highlight w:val="none"/>
                <w:lang w:val="en-US" w:eastAsia="zh-CN"/>
              </w:rPr>
              <w:t>2、</w:t>
            </w:r>
            <w:r>
              <w:rPr>
                <w:rFonts w:hint="eastAsia" w:ascii="宋体" w:hAnsi="宋体" w:eastAsia="宋体" w:cs="宋体"/>
                <w:b/>
                <w:bCs/>
                <w:color w:val="auto"/>
                <w:sz w:val="20"/>
                <w:szCs w:val="20"/>
                <w:highlight w:val="none"/>
                <w:lang w:val="en-US"/>
              </w:rPr>
              <w:t>代理商</w:t>
            </w:r>
            <w:r>
              <w:rPr>
                <w:rFonts w:hint="eastAsia" w:ascii="宋体" w:hAnsi="宋体" w:cs="宋体"/>
                <w:b/>
                <w:bCs/>
                <w:color w:val="auto"/>
                <w:sz w:val="20"/>
                <w:szCs w:val="20"/>
                <w:highlight w:val="none"/>
                <w:lang w:val="en-US" w:eastAsia="zh-CN"/>
              </w:rPr>
              <w:t>参加比选</w:t>
            </w:r>
            <w:r>
              <w:rPr>
                <w:rFonts w:hint="eastAsia" w:ascii="宋体" w:hAnsi="宋体" w:eastAsia="宋体" w:cs="宋体"/>
                <w:b/>
                <w:bCs/>
                <w:color w:val="auto"/>
                <w:sz w:val="20"/>
                <w:szCs w:val="20"/>
                <w:highlight w:val="none"/>
                <w:lang w:val="en-US"/>
              </w:rPr>
              <w:t>的须满足如下资格条件：</w:t>
            </w:r>
          </w:p>
          <w:p>
            <w:pPr>
              <w:pStyle w:val="15"/>
              <w:keepNext w:val="0"/>
              <w:keepLines w:val="0"/>
              <w:pageBreakBefore w:val="0"/>
              <w:widowControl w:val="0"/>
              <w:tabs>
                <w:tab w:val="left" w:pos="880"/>
              </w:tabs>
              <w:kinsoku/>
              <w:wordWrap/>
              <w:overflowPunct/>
              <w:topLinePunct w:val="0"/>
              <w:bidi w:val="0"/>
              <w:spacing w:line="400" w:lineRule="exact"/>
              <w:ind w:left="105" w:leftChars="50" w:right="105" w:rightChars="50" w:firstLine="400" w:firstLineChars="200"/>
              <w:outlineLvl w:val="9"/>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如是代理商</w:t>
            </w:r>
            <w:r>
              <w:rPr>
                <w:rFonts w:hint="eastAsia" w:ascii="宋体" w:hAnsi="宋体" w:cs="宋体"/>
                <w:color w:val="auto"/>
                <w:sz w:val="20"/>
                <w:szCs w:val="20"/>
                <w:highlight w:val="none"/>
                <w:lang w:val="en-US" w:eastAsia="zh-CN"/>
              </w:rPr>
              <w:t>比选</w:t>
            </w:r>
            <w:r>
              <w:rPr>
                <w:rFonts w:hint="eastAsia" w:ascii="宋体" w:hAnsi="宋体" w:eastAsia="宋体" w:cs="宋体"/>
                <w:color w:val="auto"/>
                <w:sz w:val="20"/>
                <w:szCs w:val="20"/>
                <w:highlight w:val="none"/>
              </w:rPr>
              <w:t>，其代理产品的制造商必须具备上述对电梯生产制造商的要求，代理商还需具备以下资格条件：</w:t>
            </w:r>
          </w:p>
          <w:p>
            <w:pPr>
              <w:pStyle w:val="15"/>
              <w:keepNext w:val="0"/>
              <w:keepLines w:val="0"/>
              <w:pageBreakBefore w:val="0"/>
              <w:widowControl w:val="0"/>
              <w:tabs>
                <w:tab w:val="left" w:pos="880"/>
              </w:tabs>
              <w:kinsoku/>
              <w:wordWrap/>
              <w:overflowPunct/>
              <w:topLinePunct w:val="0"/>
              <w:bidi w:val="0"/>
              <w:spacing w:line="400" w:lineRule="exact"/>
              <w:ind w:left="105" w:leftChars="50" w:right="105" w:rightChars="50" w:firstLine="0" w:firstLineChars="0"/>
              <w:outlineLvl w:val="9"/>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（1）</w:t>
            </w:r>
            <w:r>
              <w:rPr>
                <w:rFonts w:hint="eastAsia"/>
                <w:color w:val="auto"/>
                <w:sz w:val="20"/>
                <w:szCs w:val="20"/>
                <w:highlight w:val="none"/>
                <w:lang w:val="zh-CN" w:bidi="zh-CN"/>
              </w:rPr>
              <w:t>具有独立承担民事责任能力的法人资格</w:t>
            </w:r>
            <w:r>
              <w:rPr>
                <w:rFonts w:hint="eastAsia" w:ascii="宋体" w:hAnsi="宋体" w:eastAsia="宋体" w:cs="宋体"/>
                <w:color w:val="auto"/>
                <w:sz w:val="20"/>
                <w:szCs w:val="20"/>
                <w:highlight w:val="none"/>
              </w:rPr>
              <w:t>（</w:t>
            </w:r>
            <w:r>
              <w:rPr>
                <w:rFonts w:hint="eastAsia" w:ascii="宋体" w:hAnsi="宋体" w:eastAsia="宋体" w:cs="宋体"/>
                <w:b/>
                <w:bCs/>
                <w:color w:val="auto"/>
                <w:sz w:val="20"/>
                <w:szCs w:val="20"/>
                <w:highlight w:val="none"/>
              </w:rPr>
              <w:t>提供有效的营业执照</w:t>
            </w:r>
            <w:r>
              <w:rPr>
                <w:rFonts w:hint="eastAsia" w:cs="宋体"/>
                <w:b/>
                <w:bCs/>
                <w:color w:val="auto"/>
                <w:sz w:val="20"/>
                <w:szCs w:val="20"/>
                <w:highlight w:val="none"/>
                <w:lang w:eastAsia="zh-CN"/>
              </w:rPr>
              <w:t>复印件</w:t>
            </w:r>
            <w:r>
              <w:rPr>
                <w:rFonts w:hint="eastAsia" w:ascii="宋体" w:hAnsi="宋体" w:eastAsia="宋体" w:cs="宋体"/>
                <w:color w:val="auto"/>
                <w:sz w:val="20"/>
                <w:szCs w:val="20"/>
                <w:highlight w:val="none"/>
              </w:rPr>
              <w:t>）</w:t>
            </w:r>
          </w:p>
          <w:p>
            <w:pPr>
              <w:pStyle w:val="15"/>
              <w:keepNext w:val="0"/>
              <w:keepLines w:val="0"/>
              <w:pageBreakBefore w:val="0"/>
              <w:widowControl w:val="0"/>
              <w:tabs>
                <w:tab w:val="left" w:pos="880"/>
              </w:tabs>
              <w:kinsoku/>
              <w:wordWrap/>
              <w:overflowPunct/>
              <w:topLinePunct w:val="0"/>
              <w:bidi w:val="0"/>
              <w:spacing w:line="400" w:lineRule="exact"/>
              <w:ind w:left="105" w:leftChars="50" w:right="105" w:rightChars="50" w:firstLine="0" w:firstLineChars="0"/>
              <w:outlineLvl w:val="9"/>
              <w:rPr>
                <w:rFonts w:hint="eastAsia"/>
                <w:b/>
                <w:bCs/>
                <w:color w:val="auto"/>
                <w:sz w:val="20"/>
                <w:szCs w:val="20"/>
                <w:highlight w:val="none"/>
                <w:lang w:val="zh-CN"/>
              </w:rPr>
            </w:pPr>
            <w:r>
              <w:rPr>
                <w:rFonts w:hint="eastAsia" w:ascii="宋体" w:hAnsi="宋体" w:eastAsia="宋体" w:cs="宋体"/>
                <w:color w:val="auto"/>
                <w:sz w:val="20"/>
                <w:szCs w:val="20"/>
                <w:highlight w:val="none"/>
              </w:rPr>
              <w:t>（2）具有电梯生产制造商针对本项目出具的唯一授权函。同一品牌授权多个代理商同时</w:t>
            </w:r>
            <w:r>
              <w:rPr>
                <w:rFonts w:hint="eastAsia" w:ascii="宋体" w:hAnsi="宋体" w:cs="宋体"/>
                <w:color w:val="auto"/>
                <w:sz w:val="20"/>
                <w:szCs w:val="20"/>
                <w:highlight w:val="none"/>
                <w:lang w:val="en-US" w:eastAsia="zh-CN"/>
              </w:rPr>
              <w:t>比选</w:t>
            </w:r>
            <w:r>
              <w:rPr>
                <w:rFonts w:hint="eastAsia" w:ascii="宋体" w:hAnsi="宋体" w:eastAsia="宋体" w:cs="宋体"/>
                <w:color w:val="auto"/>
                <w:sz w:val="20"/>
                <w:szCs w:val="20"/>
                <w:highlight w:val="none"/>
              </w:rPr>
              <w:t>或制造商与代理商同时</w:t>
            </w:r>
            <w:r>
              <w:rPr>
                <w:rFonts w:hint="eastAsia" w:ascii="宋体" w:hAnsi="宋体" w:cs="宋体"/>
                <w:color w:val="auto"/>
                <w:sz w:val="20"/>
                <w:szCs w:val="20"/>
                <w:highlight w:val="none"/>
                <w:lang w:val="en-US" w:eastAsia="zh-CN"/>
              </w:rPr>
              <w:t>比选</w:t>
            </w:r>
            <w:r>
              <w:rPr>
                <w:rFonts w:hint="eastAsia" w:ascii="宋体" w:hAnsi="宋体" w:eastAsia="宋体" w:cs="宋体"/>
                <w:color w:val="auto"/>
                <w:sz w:val="20"/>
                <w:szCs w:val="20"/>
                <w:highlight w:val="none"/>
              </w:rPr>
              <w:t>的，其</w:t>
            </w:r>
            <w:r>
              <w:rPr>
                <w:rFonts w:hint="eastAsia" w:ascii="宋体" w:hAnsi="宋体" w:cs="宋体"/>
                <w:color w:val="auto"/>
                <w:sz w:val="20"/>
                <w:szCs w:val="20"/>
                <w:highlight w:val="none"/>
                <w:lang w:val="en-US" w:eastAsia="zh-CN"/>
              </w:rPr>
              <w:t>比选</w:t>
            </w:r>
            <w:r>
              <w:rPr>
                <w:rFonts w:hint="eastAsia" w:ascii="宋体" w:hAnsi="宋体" w:eastAsia="宋体" w:cs="宋体"/>
                <w:color w:val="auto"/>
                <w:sz w:val="20"/>
                <w:szCs w:val="20"/>
                <w:highlight w:val="none"/>
              </w:rPr>
              <w:t>将均被否决。</w:t>
            </w:r>
            <w:r>
              <w:rPr>
                <w:rFonts w:hint="eastAsia"/>
                <w:b w:val="0"/>
                <w:bCs w:val="0"/>
                <w:color w:val="auto"/>
                <w:sz w:val="20"/>
                <w:szCs w:val="20"/>
                <w:highlight w:val="none"/>
              </w:rPr>
              <w:t>（</w:t>
            </w:r>
            <w:r>
              <w:rPr>
                <w:rFonts w:hint="eastAsia" w:ascii="宋体" w:hAnsi="宋体" w:eastAsia="宋体" w:cs="宋体"/>
                <w:color w:val="auto"/>
                <w:sz w:val="20"/>
                <w:szCs w:val="20"/>
                <w:highlight w:val="none"/>
              </w:rPr>
              <w:t>提供有效的</w:t>
            </w:r>
            <w:r>
              <w:rPr>
                <w:rFonts w:hint="eastAsia"/>
                <w:b w:val="0"/>
                <w:bCs w:val="0"/>
                <w:color w:val="auto"/>
                <w:sz w:val="20"/>
                <w:szCs w:val="20"/>
                <w:highlight w:val="none"/>
              </w:rPr>
              <w:t>唯一授权函</w:t>
            </w:r>
            <w:r>
              <w:rPr>
                <w:rFonts w:hint="eastAsia" w:ascii="宋体" w:hAnsi="宋体" w:eastAsia="宋体" w:cs="宋体"/>
                <w:b w:val="0"/>
                <w:bCs w:val="0"/>
                <w:color w:val="auto"/>
                <w:sz w:val="20"/>
                <w:szCs w:val="20"/>
                <w:highlight w:val="none"/>
                <w:lang w:eastAsia="zh-CN"/>
              </w:rPr>
              <w:t>（格式自拟）</w:t>
            </w:r>
            <w:r>
              <w:rPr>
                <w:rFonts w:hint="eastAsia"/>
                <w:b w:val="0"/>
                <w:bCs w:val="0"/>
                <w:color w:val="auto"/>
                <w:sz w:val="20"/>
                <w:szCs w:val="20"/>
                <w:highlight w:val="none"/>
                <w:lang w:val="en-US" w:eastAsia="zh-CN"/>
              </w:rPr>
              <w:t>复印件</w:t>
            </w:r>
            <w:r>
              <w:rPr>
                <w:rFonts w:hint="eastAsia"/>
                <w:b w:val="0"/>
                <w:bCs w:val="0"/>
                <w:color w:val="auto"/>
                <w:sz w:val="20"/>
                <w:szCs w:val="20"/>
                <w:highlight w:val="none"/>
                <w:lang w:val="zh-CN" w:bidi="zh-CN"/>
              </w:rPr>
              <w:t>）</w:t>
            </w:r>
          </w:p>
          <w:p>
            <w:pPr>
              <w:pStyle w:val="15"/>
              <w:keepNext w:val="0"/>
              <w:keepLines w:val="0"/>
              <w:pageBreakBefore w:val="0"/>
              <w:widowControl w:val="0"/>
              <w:tabs>
                <w:tab w:val="left" w:pos="880"/>
              </w:tabs>
              <w:kinsoku/>
              <w:wordWrap/>
              <w:overflowPunct/>
              <w:topLinePunct w:val="0"/>
              <w:bidi w:val="0"/>
              <w:spacing w:line="400" w:lineRule="exact"/>
              <w:ind w:left="105" w:leftChars="50" w:right="105" w:rightChars="50" w:firstLine="0" w:firstLineChars="0"/>
              <w:outlineLvl w:val="9"/>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（3）应满足以下①、②两项要求中的任意一项：</w:t>
            </w:r>
          </w:p>
          <w:p>
            <w:pPr>
              <w:pStyle w:val="3"/>
              <w:tabs>
                <w:tab w:val="left" w:pos="880"/>
              </w:tabs>
              <w:spacing w:line="360" w:lineRule="auto"/>
              <w:ind w:left="-7" w:right="170" w:firstLine="447"/>
              <w:jc w:val="both"/>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①</w:t>
            </w:r>
            <w:r>
              <w:rPr>
                <w:rFonts w:hint="eastAsia" w:ascii="宋体" w:hAnsi="宋体" w:eastAsia="宋体" w:cs="宋体"/>
                <w:color w:val="auto"/>
                <w:sz w:val="20"/>
                <w:szCs w:val="20"/>
                <w:highlight w:val="none"/>
                <w:lang w:val="en-US" w:bidi="ar"/>
              </w:rPr>
              <w:t>具有在有效期内的（新旧证过渡期相关职能部门颁发的有效资质证书）《中华人民共和国特种设备安装改造维修许可证（电梯）》或《中华人民共和国特种设备安装改造修理许可证（电梯）》且许可范围</w:t>
            </w:r>
            <w:r>
              <w:rPr>
                <w:rFonts w:hint="eastAsia" w:ascii="宋体" w:hAnsi="宋体" w:eastAsia="宋体" w:cs="宋体"/>
                <w:b w:val="0"/>
                <w:bCs/>
                <w:color w:val="auto"/>
                <w:sz w:val="20"/>
                <w:szCs w:val="20"/>
                <w:highlight w:val="none"/>
                <w:lang w:val="en-US" w:bidi="ar"/>
              </w:rPr>
              <w:t>为</w:t>
            </w:r>
            <w:r>
              <w:rPr>
                <w:rFonts w:hint="eastAsia" w:ascii="宋体" w:hAnsi="宋体" w:eastAsia="宋体" w:cs="宋体"/>
                <w:color w:val="auto"/>
                <w:sz w:val="20"/>
                <w:szCs w:val="20"/>
                <w:highlight w:val="none"/>
                <w:lang w:val="en-US" w:bidi="ar"/>
              </w:rPr>
              <w:t>：</w:t>
            </w:r>
            <w:r>
              <w:rPr>
                <w:rFonts w:hint="eastAsia"/>
                <w:color w:val="auto"/>
                <w:sz w:val="20"/>
                <w:szCs w:val="20"/>
                <w:highlight w:val="none"/>
              </w:rPr>
              <w:t>曳引驱动乘客</w:t>
            </w:r>
            <w:r>
              <w:rPr>
                <w:rFonts w:hint="eastAsia"/>
                <w:color w:val="auto"/>
                <w:sz w:val="20"/>
                <w:szCs w:val="20"/>
                <w:highlight w:val="none"/>
                <w:lang w:val="en-US" w:eastAsia="zh-CN"/>
              </w:rPr>
              <w:t>和载货</w:t>
            </w:r>
            <w:r>
              <w:rPr>
                <w:rFonts w:hint="eastAsia"/>
                <w:color w:val="auto"/>
                <w:sz w:val="20"/>
                <w:szCs w:val="20"/>
                <w:highlight w:val="none"/>
              </w:rPr>
              <w:t>电梯安装、维修A级</w:t>
            </w:r>
            <w:r>
              <w:rPr>
                <w:rFonts w:hint="eastAsia" w:ascii="宋体" w:hAnsi="宋体" w:eastAsia="宋体" w:cs="宋体"/>
                <w:color w:val="auto"/>
                <w:sz w:val="20"/>
                <w:szCs w:val="20"/>
                <w:highlight w:val="none"/>
                <w:lang w:val="en-US"/>
              </w:rPr>
              <w:t>或</w:t>
            </w:r>
            <w:r>
              <w:rPr>
                <w:rFonts w:hint="eastAsia"/>
                <w:color w:val="auto"/>
                <w:sz w:val="20"/>
                <w:szCs w:val="20"/>
                <w:highlight w:val="none"/>
              </w:rPr>
              <w:t>曳引驱动</w:t>
            </w:r>
            <w:r>
              <w:rPr>
                <w:rFonts w:hint="eastAsia" w:ascii="宋体" w:hAnsi="宋体" w:eastAsia="宋体" w:cs="宋体"/>
                <w:color w:val="auto"/>
                <w:sz w:val="20"/>
                <w:szCs w:val="20"/>
                <w:highlight w:val="none"/>
                <w:lang w:val="en-US"/>
              </w:rPr>
              <w:t>乘客</w:t>
            </w:r>
            <w:r>
              <w:rPr>
                <w:rFonts w:hint="eastAsia" w:ascii="宋体" w:hAnsi="宋体" w:cs="宋体"/>
                <w:color w:val="auto"/>
                <w:sz w:val="20"/>
                <w:szCs w:val="20"/>
                <w:highlight w:val="none"/>
                <w:lang w:val="en-US" w:eastAsia="zh-CN"/>
              </w:rPr>
              <w:t>和载货</w:t>
            </w:r>
            <w:r>
              <w:rPr>
                <w:rFonts w:hint="eastAsia" w:ascii="宋体" w:hAnsi="宋体" w:eastAsia="宋体" w:cs="宋体"/>
                <w:color w:val="auto"/>
                <w:sz w:val="20"/>
                <w:szCs w:val="20"/>
                <w:highlight w:val="none"/>
                <w:lang w:val="en-US"/>
              </w:rPr>
              <w:t>电梯安装、修理A级</w:t>
            </w:r>
            <w:r>
              <w:rPr>
                <w:rFonts w:hint="eastAsia" w:ascii="宋体" w:hAnsi="宋体" w:cs="宋体"/>
                <w:color w:val="auto"/>
                <w:sz w:val="20"/>
                <w:szCs w:val="20"/>
                <w:highlight w:val="none"/>
                <w:lang w:val="en-US" w:eastAsia="zh-CN" w:bidi="ar"/>
              </w:rPr>
              <w:t>。</w:t>
            </w:r>
          </w:p>
          <w:p>
            <w:pPr>
              <w:pStyle w:val="15"/>
              <w:keepNext w:val="0"/>
              <w:keepLines w:val="0"/>
              <w:pageBreakBefore w:val="0"/>
              <w:widowControl w:val="0"/>
              <w:tabs>
                <w:tab w:val="left" w:pos="880"/>
              </w:tabs>
              <w:kinsoku/>
              <w:wordWrap/>
              <w:overflowPunct/>
              <w:topLinePunct w:val="0"/>
              <w:bidi w:val="0"/>
              <w:spacing w:line="400" w:lineRule="exact"/>
              <w:ind w:left="105" w:leftChars="50" w:right="105" w:rightChars="50" w:firstLine="0" w:firstLineChars="0"/>
              <w:outlineLvl w:val="9"/>
              <w:rPr>
                <w:rFonts w:hint="eastAsia" w:ascii="宋体" w:hAnsi="宋体" w:eastAsia="宋体" w:cs="宋体"/>
                <w:color w:val="auto"/>
                <w:sz w:val="20"/>
                <w:szCs w:val="20"/>
                <w:highlight w:val="none"/>
                <w:lang w:val="en-US" w:bidi="ar"/>
              </w:rPr>
            </w:pPr>
            <w:r>
              <w:rPr>
                <w:rFonts w:hint="eastAsia" w:ascii="宋体" w:hAnsi="宋体" w:eastAsia="宋体" w:cs="宋体"/>
                <w:color w:val="auto"/>
                <w:sz w:val="20"/>
                <w:szCs w:val="20"/>
                <w:highlight w:val="none"/>
              </w:rPr>
              <w:t>②</w:t>
            </w:r>
            <w:r>
              <w:rPr>
                <w:rFonts w:hint="eastAsia" w:ascii="宋体" w:hAnsi="宋体" w:eastAsia="宋体" w:cs="宋体"/>
                <w:color w:val="auto"/>
                <w:sz w:val="20"/>
                <w:szCs w:val="20"/>
                <w:highlight w:val="none"/>
                <w:lang w:val="en-US" w:bidi="ar"/>
              </w:rPr>
              <w:t>具有在有效期内的《中华人民共和国特种设备生产许可证》，具体许可项目如下：</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2023"/>
              <w:gridCol w:w="20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5" w:type="dxa"/>
                  <w:vAlign w:val="top"/>
                </w:tcPr>
                <w:p>
                  <w:pPr>
                    <w:jc w:val="center"/>
                    <w:rPr>
                      <w:rFonts w:hint="default" w:ascii="Times New Roman" w:hAnsi="Times New Roman" w:eastAsia="方正仿宋_GBK" w:cs="Times New Roman"/>
                      <w:color w:val="auto"/>
                      <w:spacing w:val="0"/>
                      <w:w w:val="100"/>
                      <w:sz w:val="24"/>
                      <w:szCs w:val="24"/>
                      <w:vertAlign w:val="baseline"/>
                      <w:lang w:val="en-US" w:eastAsia="zh-CN"/>
                    </w:rPr>
                  </w:pPr>
                  <w:r>
                    <w:rPr>
                      <w:rFonts w:hint="eastAsia" w:ascii="宋体" w:hAnsi="宋体" w:eastAsia="宋体" w:cs="宋体"/>
                      <w:b/>
                      <w:bCs/>
                      <w:color w:val="auto"/>
                      <w:sz w:val="20"/>
                      <w:szCs w:val="20"/>
                      <w:highlight w:val="none"/>
                    </w:rPr>
                    <w:t>许可项目</w:t>
                  </w:r>
                </w:p>
              </w:tc>
              <w:tc>
                <w:tcPr>
                  <w:tcW w:w="2026" w:type="dxa"/>
                  <w:vAlign w:val="top"/>
                </w:tcPr>
                <w:p>
                  <w:pPr>
                    <w:jc w:val="center"/>
                    <w:rPr>
                      <w:rFonts w:hint="default" w:ascii="Times New Roman" w:hAnsi="Times New Roman" w:eastAsia="方正仿宋_GBK" w:cs="Times New Roman"/>
                      <w:color w:val="auto"/>
                      <w:spacing w:val="0"/>
                      <w:w w:val="100"/>
                      <w:sz w:val="24"/>
                      <w:szCs w:val="24"/>
                      <w:vertAlign w:val="baseline"/>
                      <w:lang w:val="en-US" w:eastAsia="zh-CN"/>
                    </w:rPr>
                  </w:pPr>
                  <w:r>
                    <w:rPr>
                      <w:rFonts w:hint="eastAsia" w:ascii="宋体" w:hAnsi="宋体" w:eastAsia="宋体" w:cs="宋体"/>
                      <w:b/>
                      <w:bCs/>
                      <w:color w:val="auto"/>
                      <w:sz w:val="20"/>
                      <w:szCs w:val="20"/>
                      <w:highlight w:val="none"/>
                    </w:rPr>
                    <w:t>许可子项目</w:t>
                  </w:r>
                </w:p>
              </w:tc>
              <w:tc>
                <w:tcPr>
                  <w:tcW w:w="2026" w:type="dxa"/>
                  <w:vAlign w:val="top"/>
                </w:tcPr>
                <w:p>
                  <w:pPr>
                    <w:jc w:val="center"/>
                    <w:rPr>
                      <w:rFonts w:hint="default" w:ascii="Times New Roman" w:hAnsi="Times New Roman" w:eastAsia="方正仿宋_GBK" w:cs="Times New Roman"/>
                      <w:color w:val="auto"/>
                      <w:spacing w:val="0"/>
                      <w:w w:val="100"/>
                      <w:sz w:val="24"/>
                      <w:szCs w:val="24"/>
                      <w:vertAlign w:val="baseline"/>
                      <w:lang w:val="en-US" w:eastAsia="zh-CN"/>
                    </w:rPr>
                  </w:pPr>
                  <w:r>
                    <w:rPr>
                      <w:rFonts w:hint="eastAsia" w:ascii="宋体" w:hAnsi="宋体" w:eastAsia="宋体" w:cs="宋体"/>
                      <w:b/>
                      <w:bCs/>
                      <w:color w:val="auto"/>
                      <w:sz w:val="20"/>
                      <w:szCs w:val="20"/>
                      <w:highlight w:val="none"/>
                    </w:rPr>
                    <w:t>许可参数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5" w:type="dxa"/>
                  <w:vAlign w:val="top"/>
                </w:tcPr>
                <w:p>
                  <w:pPr>
                    <w:rPr>
                      <w:rFonts w:hint="eastAsia" w:ascii="宋体" w:hAnsi="宋体" w:eastAsia="宋体" w:cs="宋体"/>
                      <w:color w:val="auto"/>
                      <w:sz w:val="20"/>
                      <w:szCs w:val="20"/>
                      <w:highlight w:val="none"/>
                    </w:rPr>
                  </w:pPr>
                </w:p>
                <w:p>
                  <w:pPr>
                    <w:rPr>
                      <w:rFonts w:hint="default" w:ascii="Times New Roman" w:hAnsi="Times New Roman" w:eastAsia="方正仿宋_GBK" w:cs="Times New Roman"/>
                      <w:color w:val="auto"/>
                      <w:spacing w:val="0"/>
                      <w:w w:val="100"/>
                      <w:sz w:val="24"/>
                      <w:szCs w:val="24"/>
                      <w:vertAlign w:val="baseline"/>
                      <w:lang w:val="en-US" w:eastAsia="zh-CN"/>
                    </w:rPr>
                  </w:pPr>
                  <w:r>
                    <w:rPr>
                      <w:rFonts w:hint="eastAsia" w:ascii="宋体" w:hAnsi="宋体" w:eastAsia="宋体" w:cs="宋体"/>
                      <w:color w:val="auto"/>
                      <w:sz w:val="20"/>
                      <w:szCs w:val="20"/>
                      <w:highlight w:val="none"/>
                    </w:rPr>
                    <w:t>电梯</w:t>
                  </w:r>
                  <w:r>
                    <w:rPr>
                      <w:rFonts w:hint="eastAsia" w:ascii="宋体" w:hAnsi="宋体" w:cs="宋体"/>
                      <w:color w:val="auto"/>
                      <w:sz w:val="20"/>
                      <w:szCs w:val="20"/>
                      <w:highlight w:val="none"/>
                      <w:lang w:val="en-US" w:eastAsia="zh-CN"/>
                    </w:rPr>
                    <w:t>安装</w:t>
                  </w:r>
                  <w:r>
                    <w:rPr>
                      <w:rFonts w:hint="eastAsia" w:ascii="宋体" w:hAnsi="宋体" w:eastAsia="宋体" w:cs="宋体"/>
                      <w:color w:val="auto"/>
                      <w:sz w:val="20"/>
                      <w:szCs w:val="20"/>
                      <w:highlight w:val="none"/>
                    </w:rPr>
                    <w:t>（</w:t>
                  </w:r>
                  <w:r>
                    <w:rPr>
                      <w:rFonts w:hint="eastAsia" w:ascii="宋体" w:hAnsi="宋体" w:cs="宋体"/>
                      <w:color w:val="auto"/>
                      <w:sz w:val="20"/>
                      <w:szCs w:val="20"/>
                      <w:highlight w:val="none"/>
                      <w:lang w:val="en-US" w:eastAsia="zh-CN"/>
                    </w:rPr>
                    <w:t>含</w:t>
                  </w:r>
                  <w:r>
                    <w:rPr>
                      <w:rFonts w:hint="eastAsia" w:ascii="宋体" w:hAnsi="宋体" w:eastAsia="宋体" w:cs="宋体"/>
                      <w:color w:val="auto"/>
                      <w:sz w:val="20"/>
                      <w:szCs w:val="20"/>
                      <w:highlight w:val="none"/>
                    </w:rPr>
                    <w:t>修理）</w:t>
                  </w:r>
                </w:p>
              </w:tc>
              <w:tc>
                <w:tcPr>
                  <w:tcW w:w="2026" w:type="dxa"/>
                  <w:vAlign w:val="top"/>
                </w:tcPr>
                <w:p>
                  <w:pPr>
                    <w:rPr>
                      <w:rFonts w:hint="default" w:ascii="Times New Roman" w:hAnsi="Times New Roman" w:eastAsia="方正仿宋_GBK" w:cs="Times New Roman"/>
                      <w:color w:val="auto"/>
                      <w:spacing w:val="0"/>
                      <w:w w:val="100"/>
                      <w:sz w:val="24"/>
                      <w:szCs w:val="24"/>
                      <w:vertAlign w:val="baseline"/>
                      <w:lang w:val="en-US" w:eastAsia="zh-CN"/>
                    </w:rPr>
                  </w:pPr>
                  <w:r>
                    <w:rPr>
                      <w:rFonts w:hint="eastAsia" w:ascii="宋体" w:hAnsi="宋体" w:eastAsia="宋体" w:cs="宋体"/>
                      <w:color w:val="auto"/>
                      <w:sz w:val="20"/>
                      <w:szCs w:val="20"/>
                      <w:highlight w:val="none"/>
                    </w:rPr>
                    <w:t>曳引驱动乘客电梯(含消防员电梯）</w:t>
                  </w:r>
                  <w:r>
                    <w:rPr>
                      <w:rFonts w:hint="eastAsia" w:ascii="宋体" w:hAnsi="宋体" w:cs="宋体"/>
                      <w:color w:val="auto"/>
                      <w:sz w:val="20"/>
                      <w:szCs w:val="20"/>
                      <w:highlight w:val="none"/>
                      <w:lang w:eastAsia="zh-CN"/>
                    </w:rPr>
                    <w:t>、曳引驱动载货电梯</w:t>
                  </w:r>
                </w:p>
              </w:tc>
              <w:tc>
                <w:tcPr>
                  <w:tcW w:w="2026" w:type="dxa"/>
                  <w:vAlign w:val="top"/>
                </w:tcPr>
                <w:p>
                  <w:pPr>
                    <w:jc w:val="center"/>
                    <w:rPr>
                      <w:rFonts w:hint="eastAsia" w:ascii="宋体" w:hAnsi="宋体" w:cs="宋体"/>
                      <w:color w:val="auto"/>
                      <w:sz w:val="20"/>
                      <w:szCs w:val="20"/>
                      <w:highlight w:val="none"/>
                      <w:vertAlign w:val="baseline"/>
                      <w:lang w:val="en-US" w:eastAsia="zh-CN"/>
                    </w:rPr>
                  </w:pPr>
                </w:p>
                <w:p>
                  <w:pPr>
                    <w:jc w:val="center"/>
                    <w:rPr>
                      <w:rFonts w:hint="default" w:ascii="Times New Roman" w:hAnsi="Times New Roman" w:eastAsia="方正仿宋_GBK" w:cs="Times New Roman"/>
                      <w:color w:val="auto"/>
                      <w:spacing w:val="0"/>
                      <w:w w:val="100"/>
                      <w:sz w:val="24"/>
                      <w:szCs w:val="24"/>
                      <w:vertAlign w:val="baseline"/>
                      <w:lang w:val="en-US" w:eastAsia="zh-CN"/>
                    </w:rPr>
                  </w:pPr>
                  <w:r>
                    <w:rPr>
                      <w:rFonts w:hint="eastAsia" w:ascii="宋体" w:hAnsi="宋体" w:cs="宋体"/>
                      <w:color w:val="auto"/>
                      <w:sz w:val="20"/>
                      <w:szCs w:val="20"/>
                      <w:highlight w:val="none"/>
                      <w:vertAlign w:val="baseline"/>
                      <w:lang w:val="en-US" w:eastAsia="zh-CN"/>
                    </w:rPr>
                    <w:t>--</w:t>
                  </w:r>
                </w:p>
              </w:tc>
            </w:tr>
          </w:tbl>
          <w:p>
            <w:pPr>
              <w:pStyle w:val="15"/>
              <w:keepNext w:val="0"/>
              <w:keepLines w:val="0"/>
              <w:pageBreakBefore w:val="0"/>
              <w:widowControl w:val="0"/>
              <w:tabs>
                <w:tab w:val="left" w:pos="880"/>
              </w:tabs>
              <w:kinsoku/>
              <w:wordWrap/>
              <w:overflowPunct/>
              <w:topLinePunct w:val="0"/>
              <w:bidi w:val="0"/>
              <w:spacing w:line="400" w:lineRule="exact"/>
              <w:ind w:left="105" w:leftChars="50" w:right="105" w:rightChars="50" w:firstLine="0" w:firstLineChars="0"/>
              <w:outlineLvl w:val="9"/>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（4）</w:t>
            </w:r>
            <w:r>
              <w:rPr>
                <w:rFonts w:hint="eastAsia" w:ascii="宋体" w:hAnsi="宋体" w:eastAsia="宋体" w:cs="宋体"/>
                <w:color w:val="auto"/>
                <w:sz w:val="20"/>
                <w:szCs w:val="20"/>
                <w:highlight w:val="none"/>
                <w:lang w:val="en-US" w:bidi="ar"/>
              </w:rPr>
              <w:t>代理商</w:t>
            </w:r>
            <w:r>
              <w:rPr>
                <w:rFonts w:hint="eastAsia" w:ascii="宋体" w:hAnsi="宋体" w:cs="宋体"/>
                <w:color w:val="auto"/>
                <w:sz w:val="20"/>
                <w:szCs w:val="20"/>
                <w:highlight w:val="none"/>
                <w:lang w:val="en-US" w:eastAsia="zh-CN" w:bidi="ar"/>
              </w:rPr>
              <w:t>参加比选</w:t>
            </w:r>
            <w:r>
              <w:rPr>
                <w:rFonts w:hint="eastAsia" w:ascii="宋体" w:hAnsi="宋体" w:eastAsia="宋体" w:cs="宋体"/>
                <w:color w:val="auto"/>
                <w:sz w:val="20"/>
                <w:szCs w:val="20"/>
                <w:highlight w:val="none"/>
                <w:lang w:val="en-US" w:bidi="ar"/>
              </w:rPr>
              <w:t>时，电梯的安装只能为代理商自己安装或制造厂商安装。如是代理商安装则须提供电梯生产制造商出具的授权安装书（或委托安装协议）。</w:t>
            </w:r>
            <w:r>
              <w:rPr>
                <w:rFonts w:hint="eastAsia" w:ascii="宋体" w:hAnsi="宋体" w:eastAsia="宋体" w:cs="宋体"/>
                <w:color w:val="auto"/>
                <w:sz w:val="20"/>
                <w:szCs w:val="20"/>
                <w:highlight w:val="none"/>
              </w:rPr>
              <w:t>（提供有效的</w:t>
            </w:r>
            <w:r>
              <w:rPr>
                <w:rFonts w:hint="eastAsia" w:ascii="宋体" w:hAnsi="宋体" w:eastAsia="宋体" w:cs="宋体"/>
                <w:color w:val="auto"/>
                <w:sz w:val="20"/>
                <w:szCs w:val="20"/>
                <w:highlight w:val="none"/>
                <w:lang w:val="en-US" w:bidi="ar"/>
              </w:rPr>
              <w:t>授权安装书（或委托安装协议）</w:t>
            </w:r>
            <w:r>
              <w:rPr>
                <w:rFonts w:hint="eastAsia" w:ascii="宋体" w:hAnsi="宋体" w:cs="宋体"/>
                <w:color w:val="auto"/>
                <w:sz w:val="20"/>
                <w:szCs w:val="20"/>
                <w:highlight w:val="none"/>
                <w:lang w:val="en-US" w:eastAsia="zh-CN" w:bidi="ar"/>
              </w:rPr>
              <w:t>复印件</w:t>
            </w:r>
            <w:r>
              <w:rPr>
                <w:rFonts w:hint="eastAsia" w:cs="宋体"/>
                <w:color w:val="auto"/>
                <w:sz w:val="20"/>
                <w:szCs w:val="20"/>
                <w:highlight w:val="none"/>
                <w:lang w:eastAsia="zh-CN"/>
              </w:rPr>
              <w:t>）。</w:t>
            </w:r>
            <w:bookmarkStart w:id="24" w:name="_GoBack"/>
            <w:bookmarkEnd w:id="24"/>
          </w:p>
          <w:p>
            <w:pPr>
              <w:pStyle w:val="15"/>
              <w:keepNext w:val="0"/>
              <w:keepLines w:val="0"/>
              <w:pageBreakBefore w:val="0"/>
              <w:widowControl w:val="0"/>
              <w:tabs>
                <w:tab w:val="left" w:pos="880"/>
              </w:tabs>
              <w:kinsoku/>
              <w:wordWrap/>
              <w:overflowPunct/>
              <w:topLinePunct w:val="0"/>
              <w:bidi w:val="0"/>
              <w:spacing w:line="400" w:lineRule="exact"/>
              <w:ind w:left="105" w:leftChars="50" w:right="105" w:rightChars="50" w:firstLine="0" w:firstLineChars="0"/>
              <w:outlineLvl w:val="9"/>
              <w:rPr>
                <w:rFonts w:hint="default" w:ascii="Times New Roman" w:hAnsi="Times New Roman" w:eastAsia="方正仿宋_GBK" w:cs="Times New Roman"/>
                <w:b/>
                <w:bCs/>
                <w:color w:val="auto"/>
                <w:spacing w:val="0"/>
                <w:w w:val="100"/>
                <w:sz w:val="24"/>
                <w:szCs w:val="24"/>
                <w:lang w:val="en-US" w:eastAsia="zh-CN"/>
              </w:rPr>
            </w:pPr>
            <w:r>
              <w:rPr>
                <w:rFonts w:hint="eastAsia" w:ascii="宋体" w:hAnsi="宋体" w:eastAsia="宋体" w:cs="宋体"/>
                <w:b w:val="0"/>
                <w:bCs w:val="0"/>
                <w:color w:val="auto"/>
                <w:sz w:val="20"/>
                <w:szCs w:val="20"/>
                <w:highlight w:val="none"/>
              </w:rPr>
              <w:t>（5）</w:t>
            </w:r>
            <w:r>
              <w:rPr>
                <w:rFonts w:hint="eastAsia" w:ascii="宋体" w:hAnsi="宋体" w:eastAsia="宋体" w:cs="宋体"/>
                <w:b w:val="0"/>
                <w:bCs w:val="0"/>
                <w:color w:val="auto"/>
                <w:sz w:val="20"/>
                <w:szCs w:val="20"/>
                <w:highlight w:val="none"/>
                <w:lang w:val="en-US" w:bidi="ar"/>
              </w:rPr>
              <w:t>代理商</w:t>
            </w:r>
            <w:r>
              <w:rPr>
                <w:rFonts w:hint="eastAsia" w:ascii="宋体" w:hAnsi="宋体" w:cs="宋体"/>
                <w:b w:val="0"/>
                <w:bCs w:val="0"/>
                <w:color w:val="auto"/>
                <w:sz w:val="20"/>
                <w:szCs w:val="20"/>
                <w:highlight w:val="none"/>
                <w:lang w:val="en-US" w:eastAsia="zh-CN" w:bidi="ar"/>
              </w:rPr>
              <w:t>比选</w:t>
            </w:r>
            <w:r>
              <w:rPr>
                <w:rFonts w:hint="eastAsia" w:ascii="宋体" w:hAnsi="宋体" w:eastAsia="宋体" w:cs="宋体"/>
                <w:b w:val="0"/>
                <w:bCs w:val="0"/>
                <w:color w:val="auto"/>
                <w:sz w:val="20"/>
                <w:szCs w:val="20"/>
                <w:highlight w:val="none"/>
                <w:lang w:val="en-US" w:bidi="ar"/>
              </w:rPr>
              <w:t>的，所投电梯产品均应为同一品牌。</w:t>
            </w:r>
            <w:r>
              <w:rPr>
                <w:rFonts w:hint="eastAsia"/>
                <w:b/>
                <w:bCs/>
                <w:color w:val="auto"/>
                <w:sz w:val="20"/>
                <w:szCs w:val="20"/>
                <w:highlight w:val="none"/>
                <w:lang w:val="en-US" w:bidi="ar"/>
              </w:rPr>
              <w:t>（</w:t>
            </w:r>
            <w:r>
              <w:rPr>
                <w:rFonts w:hint="eastAsia"/>
                <w:b/>
                <w:bCs/>
                <w:color w:val="auto"/>
                <w:sz w:val="20"/>
                <w:szCs w:val="20"/>
                <w:highlight w:val="none"/>
                <w:lang w:val="en-US" w:eastAsia="zh-CN"/>
              </w:rPr>
              <w:t>自行承诺所投电梯产品全部为同一品牌</w:t>
            </w:r>
            <w:r>
              <w:rPr>
                <w:rFonts w:hint="eastAsia"/>
                <w:b/>
                <w:bCs/>
                <w:color w:val="auto"/>
                <w:sz w:val="20"/>
                <w:szCs w:val="20"/>
                <w:highlight w:val="none"/>
                <w:lang w:eastAsia="zh-CN"/>
              </w:rPr>
              <w:t>，</w:t>
            </w:r>
            <w:r>
              <w:rPr>
                <w:rFonts w:hint="eastAsia"/>
                <w:b/>
                <w:bCs/>
                <w:color w:val="auto"/>
                <w:sz w:val="20"/>
                <w:szCs w:val="20"/>
                <w:highlight w:val="none"/>
                <w:lang w:val="en-US" w:eastAsia="zh-CN"/>
              </w:rPr>
              <w:t>承诺函格式自拟，</w:t>
            </w:r>
            <w:r>
              <w:rPr>
                <w:rFonts w:hint="eastAsia"/>
                <w:b/>
                <w:bCs/>
                <w:color w:val="auto"/>
                <w:sz w:val="20"/>
                <w:szCs w:val="20"/>
                <w:highlight w:val="none"/>
                <w:lang w:eastAsia="zh-CN"/>
              </w:rPr>
              <w:t>并</w:t>
            </w:r>
            <w:r>
              <w:rPr>
                <w:rFonts w:hint="eastAsia" w:ascii="宋体" w:hAnsi="宋体" w:eastAsia="宋体" w:cs="宋体"/>
                <w:b/>
                <w:bCs/>
                <w:color w:val="auto"/>
                <w:sz w:val="20"/>
                <w:szCs w:val="20"/>
                <w:highlight w:val="none"/>
              </w:rPr>
              <w:t>加盖</w:t>
            </w:r>
            <w:r>
              <w:rPr>
                <w:rFonts w:hint="eastAsia" w:ascii="宋体" w:hAnsi="宋体" w:cs="宋体"/>
                <w:b/>
                <w:bCs/>
                <w:color w:val="auto"/>
                <w:sz w:val="20"/>
                <w:szCs w:val="20"/>
                <w:highlight w:val="none"/>
                <w:lang w:val="en-US" w:eastAsia="zh-CN" w:bidi="ar"/>
              </w:rPr>
              <w:t>代理商公</w:t>
            </w:r>
            <w:r>
              <w:rPr>
                <w:rFonts w:hint="eastAsia" w:ascii="宋体" w:hAnsi="宋体" w:eastAsia="宋体" w:cs="宋体"/>
                <w:b/>
                <w:bCs/>
                <w:color w:val="auto"/>
                <w:sz w:val="20"/>
                <w:szCs w:val="20"/>
                <w:highlight w:val="none"/>
                <w:lang w:val="en-US" w:bidi="ar"/>
              </w:rPr>
              <w:t>章</w:t>
            </w:r>
            <w:r>
              <w:rPr>
                <w:rFonts w:hint="eastAsia" w:cs="宋体"/>
                <w:b/>
                <w:bCs/>
                <w:color w:val="auto"/>
                <w:sz w:val="20"/>
                <w:szCs w:val="20"/>
                <w:highlight w:val="none"/>
                <w:lang w:eastAsia="zh-CN"/>
              </w:rPr>
              <w:t>。</w:t>
            </w:r>
            <w:r>
              <w:rPr>
                <w:rFonts w:hint="eastAsia"/>
                <w:b/>
                <w:bCs/>
                <w:color w:val="auto"/>
                <w:sz w:val="20"/>
                <w:szCs w:val="20"/>
                <w:highlight w:val="none"/>
                <w:lang w:val="en-US" w:bidi="ar"/>
              </w:rPr>
              <w:t>）</w:t>
            </w:r>
          </w:p>
          <w:p>
            <w:pPr>
              <w:pStyle w:val="15"/>
              <w:keepNext w:val="0"/>
              <w:keepLines w:val="0"/>
              <w:pageBreakBefore w:val="0"/>
              <w:widowControl w:val="0"/>
              <w:numPr>
                <w:ilvl w:val="0"/>
                <w:numId w:val="0"/>
              </w:numPr>
              <w:tabs>
                <w:tab w:val="left" w:pos="880"/>
              </w:tabs>
              <w:kinsoku/>
              <w:wordWrap/>
              <w:overflowPunct/>
              <w:topLinePunct w:val="0"/>
              <w:bidi w:val="0"/>
              <w:spacing w:line="400" w:lineRule="exact"/>
              <w:ind w:leftChars="50" w:right="105" w:rightChars="50"/>
              <w:outlineLvl w:val="9"/>
              <w:rPr>
                <w:rFonts w:hint="default" w:ascii="宋体" w:hAnsi="宋体" w:eastAsia="宋体" w:cs="宋体"/>
                <w:b/>
                <w:bCs/>
                <w:color w:val="auto"/>
                <w:sz w:val="20"/>
                <w:szCs w:val="20"/>
                <w:highlight w:val="none"/>
                <w:lang w:val="en-US" w:eastAsia="zh-CN"/>
              </w:rPr>
            </w:pPr>
            <w:r>
              <w:rPr>
                <w:rFonts w:hint="eastAsia" w:ascii="宋体" w:hAnsi="宋体" w:cs="宋体"/>
                <w:b/>
                <w:bCs/>
                <w:color w:val="auto"/>
                <w:sz w:val="20"/>
                <w:szCs w:val="20"/>
                <w:highlight w:val="none"/>
                <w:lang w:val="en-US" w:eastAsia="zh-CN"/>
              </w:rPr>
              <w:t>（二）</w:t>
            </w:r>
            <w:r>
              <w:rPr>
                <w:rFonts w:hint="default" w:ascii="宋体" w:hAnsi="宋体" w:eastAsia="宋体" w:cs="宋体"/>
                <w:b/>
                <w:bCs/>
                <w:color w:val="auto"/>
                <w:sz w:val="20"/>
                <w:szCs w:val="20"/>
                <w:highlight w:val="none"/>
                <w:lang w:val="en-US" w:eastAsia="zh-CN"/>
              </w:rPr>
              <w:t>业绩要求：</w:t>
            </w:r>
          </w:p>
          <w:p>
            <w:pPr>
              <w:pStyle w:val="15"/>
              <w:keepNext w:val="0"/>
              <w:keepLines w:val="0"/>
              <w:pageBreakBefore w:val="0"/>
              <w:widowControl w:val="0"/>
              <w:numPr>
                <w:ilvl w:val="0"/>
                <w:numId w:val="0"/>
              </w:numPr>
              <w:tabs>
                <w:tab w:val="left" w:pos="880"/>
              </w:tabs>
              <w:kinsoku/>
              <w:wordWrap/>
              <w:overflowPunct/>
              <w:topLinePunct w:val="0"/>
              <w:bidi w:val="0"/>
              <w:spacing w:line="400" w:lineRule="exact"/>
              <w:ind w:leftChars="50" w:right="105" w:rightChars="50" w:firstLine="400" w:firstLineChars="200"/>
              <w:outlineLvl w:val="9"/>
              <w:rPr>
                <w:rFonts w:hint="default" w:ascii="宋体" w:hAnsi="宋体" w:eastAsia="宋体" w:cs="宋体"/>
                <w:color w:val="auto"/>
                <w:sz w:val="20"/>
                <w:szCs w:val="20"/>
                <w:highlight w:val="none"/>
                <w:lang w:val="en-US" w:eastAsia="zh-CN"/>
              </w:rPr>
            </w:pPr>
            <w:r>
              <w:rPr>
                <w:rFonts w:hint="eastAsia"/>
                <w:color w:val="auto"/>
                <w:sz w:val="20"/>
                <w:szCs w:val="20"/>
                <w:highlight w:val="none"/>
                <w:lang w:eastAsia="zh-CN"/>
              </w:rPr>
              <w:t>2016年1月1日</w:t>
            </w:r>
            <w:r>
              <w:rPr>
                <w:rFonts w:hint="eastAsia"/>
                <w:color w:val="auto"/>
                <w:sz w:val="20"/>
                <w:szCs w:val="20"/>
                <w:highlight w:val="none"/>
              </w:rPr>
              <w:t>至投标截止之日止（以合同签订时间为准）</w:t>
            </w:r>
            <w:r>
              <w:rPr>
                <w:rFonts w:hint="eastAsia"/>
                <w:color w:val="auto"/>
                <w:sz w:val="20"/>
                <w:szCs w:val="20"/>
                <w:highlight w:val="none"/>
                <w:lang w:eastAsia="zh-CN"/>
              </w:rPr>
              <w:t>，</w:t>
            </w:r>
            <w:r>
              <w:rPr>
                <w:rFonts w:hint="default" w:ascii="宋体" w:hAnsi="宋体" w:eastAsia="宋体" w:cs="宋体"/>
                <w:color w:val="auto"/>
                <w:sz w:val="20"/>
                <w:szCs w:val="20"/>
                <w:highlight w:val="none"/>
                <w:lang w:val="en-US" w:eastAsia="zh-CN"/>
              </w:rPr>
              <w:t>具有</w:t>
            </w:r>
            <w:r>
              <w:rPr>
                <w:rFonts w:hint="eastAsia"/>
                <w:color w:val="auto"/>
                <w:sz w:val="20"/>
                <w:szCs w:val="20"/>
                <w:highlight w:val="none"/>
              </w:rPr>
              <w:t>中国大陆城市轨道交通（地铁、轻轨）或机场或铁路枢纽站</w:t>
            </w:r>
            <w:r>
              <w:rPr>
                <w:rFonts w:hint="eastAsia"/>
                <w:color w:val="auto"/>
                <w:sz w:val="20"/>
                <w:szCs w:val="20"/>
                <w:highlight w:val="none"/>
                <w:lang w:val="en-US" w:eastAsia="zh-CN"/>
              </w:rPr>
              <w:t>或公交站场</w:t>
            </w:r>
            <w:r>
              <w:rPr>
                <w:rFonts w:hint="eastAsia" w:ascii="宋体" w:hAnsi="宋体" w:cs="宋体"/>
                <w:color w:val="auto"/>
                <w:sz w:val="20"/>
                <w:szCs w:val="20"/>
                <w:highlight w:val="none"/>
                <w:lang w:val="en-US" w:eastAsia="zh-CN"/>
              </w:rPr>
              <w:t>电梯</w:t>
            </w:r>
            <w:r>
              <w:rPr>
                <w:rFonts w:hint="eastAsia"/>
                <w:color w:val="auto"/>
                <w:sz w:val="20"/>
                <w:szCs w:val="20"/>
                <w:highlight w:val="none"/>
              </w:rPr>
              <w:t>系统设备供货及安装业绩或供货业绩</w:t>
            </w:r>
            <w:r>
              <w:rPr>
                <w:rFonts w:hint="default" w:ascii="宋体" w:hAnsi="宋体" w:eastAsia="宋体" w:cs="宋体"/>
                <w:color w:val="auto"/>
                <w:sz w:val="20"/>
                <w:szCs w:val="20"/>
                <w:highlight w:val="none"/>
                <w:lang w:val="en-US" w:eastAsia="zh-CN"/>
              </w:rPr>
              <w:t>1个及以上</w:t>
            </w:r>
            <w:r>
              <w:rPr>
                <w:rFonts w:hint="eastAsia" w:ascii="宋体" w:hAnsi="宋体" w:cs="宋体"/>
                <w:color w:val="auto"/>
                <w:sz w:val="20"/>
                <w:szCs w:val="20"/>
                <w:highlight w:val="none"/>
                <w:lang w:val="en-US" w:eastAsia="zh-CN"/>
              </w:rPr>
              <w:t>，单项</w:t>
            </w:r>
            <w:r>
              <w:rPr>
                <w:rFonts w:hint="default" w:ascii="宋体" w:hAnsi="宋体" w:eastAsia="宋体" w:cs="宋体"/>
                <w:color w:val="auto"/>
                <w:sz w:val="20"/>
                <w:szCs w:val="20"/>
                <w:highlight w:val="none"/>
                <w:lang w:val="en-US" w:eastAsia="zh-CN"/>
              </w:rPr>
              <w:t>合同金额</w:t>
            </w:r>
            <w:r>
              <w:rPr>
                <w:rFonts w:hint="eastAsia" w:ascii="宋体" w:hAnsi="宋体" w:cs="宋体"/>
                <w:color w:val="auto"/>
                <w:sz w:val="20"/>
                <w:szCs w:val="20"/>
                <w:highlight w:val="none"/>
                <w:lang w:val="en-US" w:eastAsia="zh-CN"/>
              </w:rPr>
              <w:t>不低于</w:t>
            </w:r>
            <w:r>
              <w:rPr>
                <w:rFonts w:hint="eastAsia" w:ascii="宋体" w:hAnsi="宋体" w:eastAsia="宋体" w:cs="宋体"/>
                <w:color w:val="auto"/>
                <w:sz w:val="20"/>
                <w:szCs w:val="20"/>
                <w:highlight w:val="none"/>
                <w:lang w:val="en-US" w:eastAsia="zh-CN"/>
              </w:rPr>
              <w:t>106.5</w:t>
            </w:r>
            <w:r>
              <w:rPr>
                <w:rFonts w:hint="default" w:ascii="宋体" w:hAnsi="宋体" w:eastAsia="宋体" w:cs="宋体"/>
                <w:color w:val="auto"/>
                <w:sz w:val="20"/>
                <w:szCs w:val="20"/>
                <w:highlight w:val="none"/>
                <w:lang w:val="en-US" w:eastAsia="zh-CN"/>
              </w:rPr>
              <w:t>万元，须提供合同复印件。</w:t>
            </w:r>
          </w:p>
          <w:p>
            <w:pPr>
              <w:pStyle w:val="15"/>
              <w:keepNext w:val="0"/>
              <w:keepLines w:val="0"/>
              <w:pageBreakBefore w:val="0"/>
              <w:widowControl w:val="0"/>
              <w:numPr>
                <w:ilvl w:val="0"/>
                <w:numId w:val="0"/>
              </w:numPr>
              <w:tabs>
                <w:tab w:val="left" w:pos="880"/>
              </w:tabs>
              <w:kinsoku/>
              <w:wordWrap/>
              <w:overflowPunct/>
              <w:topLinePunct w:val="0"/>
              <w:bidi w:val="0"/>
              <w:spacing w:line="400" w:lineRule="exact"/>
              <w:ind w:leftChars="50" w:right="105" w:rightChars="50" w:firstLine="400" w:firstLineChars="200"/>
              <w:outlineLvl w:val="9"/>
              <w:rPr>
                <w:rFonts w:hint="eastAsia"/>
                <w:color w:val="auto"/>
                <w:sz w:val="20"/>
                <w:szCs w:val="20"/>
                <w:highlight w:val="none"/>
              </w:rPr>
            </w:pPr>
            <w:r>
              <w:rPr>
                <w:rFonts w:hint="eastAsia"/>
                <w:color w:val="auto"/>
                <w:sz w:val="20"/>
                <w:szCs w:val="20"/>
                <w:highlight w:val="none"/>
              </w:rPr>
              <w:t>【注：该业绩应为</w:t>
            </w:r>
            <w:r>
              <w:rPr>
                <w:rFonts w:hint="eastAsia"/>
                <w:color w:val="auto"/>
                <w:sz w:val="20"/>
                <w:szCs w:val="20"/>
                <w:highlight w:val="none"/>
                <w:lang w:val="en-US" w:eastAsia="zh-CN"/>
              </w:rPr>
              <w:t>竞选人</w:t>
            </w:r>
            <w:r>
              <w:rPr>
                <w:rFonts w:hint="eastAsia"/>
                <w:color w:val="auto"/>
                <w:sz w:val="20"/>
                <w:szCs w:val="20"/>
                <w:highlight w:val="none"/>
              </w:rPr>
              <w:t>所投产品制造商的供货及安装业绩或供货业绩</w:t>
            </w:r>
            <w:r>
              <w:rPr>
                <w:rFonts w:hint="eastAsia"/>
                <w:b w:val="0"/>
                <w:bCs w:val="0"/>
                <w:color w:val="auto"/>
                <w:sz w:val="20"/>
                <w:szCs w:val="20"/>
                <w:highlight w:val="none"/>
              </w:rPr>
              <w:t>，合同中须体现出金额】</w:t>
            </w:r>
          </w:p>
          <w:p>
            <w:pPr>
              <w:pStyle w:val="15"/>
              <w:keepNext w:val="0"/>
              <w:keepLines w:val="0"/>
              <w:pageBreakBefore w:val="0"/>
              <w:widowControl w:val="0"/>
              <w:tabs>
                <w:tab w:val="left" w:pos="880"/>
              </w:tabs>
              <w:kinsoku/>
              <w:wordWrap/>
              <w:overflowPunct/>
              <w:topLinePunct w:val="0"/>
              <w:bidi w:val="0"/>
              <w:spacing w:line="400" w:lineRule="exact"/>
              <w:ind w:left="105" w:leftChars="50" w:right="105" w:rightChars="50" w:firstLine="0" w:firstLineChars="0"/>
              <w:outlineLvl w:val="9"/>
              <w:rPr>
                <w:rFonts w:hint="eastAsia" w:ascii="宋体" w:hAnsi="宋体" w:eastAsia="宋体" w:cs="宋体"/>
                <w:b/>
                <w:bCs/>
                <w:color w:val="auto"/>
                <w:sz w:val="20"/>
                <w:szCs w:val="20"/>
                <w:highlight w:val="none"/>
                <w:lang w:eastAsia="zh-CN"/>
              </w:rPr>
            </w:pPr>
            <w:r>
              <w:rPr>
                <w:rFonts w:hint="eastAsia" w:ascii="宋体" w:hAnsi="宋体" w:eastAsia="宋体" w:cs="宋体"/>
                <w:b/>
                <w:bCs/>
                <w:color w:val="auto"/>
                <w:sz w:val="20"/>
                <w:szCs w:val="20"/>
                <w:highlight w:val="none"/>
              </w:rPr>
              <w:t>（</w:t>
            </w:r>
            <w:r>
              <w:rPr>
                <w:rFonts w:hint="eastAsia" w:ascii="宋体" w:hAnsi="宋体" w:cs="宋体"/>
                <w:b/>
                <w:bCs/>
                <w:color w:val="auto"/>
                <w:sz w:val="20"/>
                <w:szCs w:val="20"/>
                <w:highlight w:val="none"/>
                <w:lang w:val="en-US" w:eastAsia="zh-CN"/>
              </w:rPr>
              <w:t>三</w:t>
            </w:r>
            <w:r>
              <w:rPr>
                <w:rFonts w:hint="eastAsia" w:ascii="宋体" w:hAnsi="宋体" w:eastAsia="宋体" w:cs="宋体"/>
                <w:b/>
                <w:bCs/>
                <w:color w:val="auto"/>
                <w:sz w:val="20"/>
                <w:szCs w:val="20"/>
                <w:highlight w:val="none"/>
              </w:rPr>
              <w:t>）人员要求</w:t>
            </w:r>
            <w:r>
              <w:rPr>
                <w:rFonts w:hint="eastAsia" w:ascii="宋体" w:hAnsi="宋体" w:cs="宋体"/>
                <w:b/>
                <w:bCs/>
                <w:color w:val="auto"/>
                <w:sz w:val="20"/>
                <w:szCs w:val="20"/>
                <w:highlight w:val="none"/>
                <w:lang w:eastAsia="zh-CN"/>
              </w:rPr>
              <w:t>：</w:t>
            </w:r>
          </w:p>
          <w:p>
            <w:pPr>
              <w:pStyle w:val="15"/>
              <w:keepNext w:val="0"/>
              <w:keepLines w:val="0"/>
              <w:pageBreakBefore w:val="0"/>
              <w:widowControl w:val="0"/>
              <w:tabs>
                <w:tab w:val="left" w:pos="880"/>
              </w:tabs>
              <w:kinsoku/>
              <w:wordWrap/>
              <w:overflowPunct/>
              <w:topLinePunct w:val="0"/>
              <w:bidi w:val="0"/>
              <w:spacing w:line="400" w:lineRule="exact"/>
              <w:ind w:left="105" w:leftChars="50" w:right="105" w:rightChars="50" w:firstLine="0" w:firstLineChars="0"/>
              <w:outlineLvl w:val="9"/>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1</w:t>
            </w:r>
            <w:r>
              <w:rPr>
                <w:rFonts w:hint="eastAsia" w:ascii="宋体" w:hAnsi="宋体" w:eastAsia="宋体" w:cs="宋体"/>
                <w:color w:val="auto"/>
                <w:sz w:val="20"/>
                <w:szCs w:val="20"/>
                <w:highlight w:val="none"/>
                <w:lang w:val="en-US"/>
              </w:rPr>
              <w:t>.</w:t>
            </w:r>
            <w:r>
              <w:rPr>
                <w:rFonts w:hint="eastAsia" w:ascii="宋体" w:hAnsi="宋体" w:eastAsia="宋体" w:cs="宋体"/>
                <w:color w:val="auto"/>
                <w:sz w:val="20"/>
                <w:szCs w:val="20"/>
                <w:highlight w:val="none"/>
              </w:rPr>
              <w:t>项目经理资格要求</w:t>
            </w:r>
          </w:p>
          <w:p>
            <w:pPr>
              <w:pStyle w:val="15"/>
              <w:keepNext w:val="0"/>
              <w:keepLines w:val="0"/>
              <w:pageBreakBefore w:val="0"/>
              <w:widowControl w:val="0"/>
              <w:tabs>
                <w:tab w:val="left" w:pos="880"/>
              </w:tabs>
              <w:kinsoku/>
              <w:wordWrap/>
              <w:overflowPunct/>
              <w:topLinePunct w:val="0"/>
              <w:bidi w:val="0"/>
              <w:spacing w:line="400" w:lineRule="exact"/>
              <w:ind w:left="105" w:leftChars="50" w:right="105" w:rightChars="50" w:firstLine="400" w:firstLineChars="200"/>
              <w:outlineLvl w:val="9"/>
              <w:rPr>
                <w:rFonts w:hint="eastAsia" w:ascii="宋体" w:hAnsi="宋体" w:eastAsia="宋体" w:cs="宋体"/>
                <w:color w:val="auto"/>
                <w:sz w:val="20"/>
                <w:szCs w:val="20"/>
                <w:highlight w:val="none"/>
              </w:rPr>
            </w:pPr>
            <w:r>
              <w:rPr>
                <w:rFonts w:hint="eastAsia"/>
                <w:color w:val="auto"/>
                <w:sz w:val="20"/>
                <w:szCs w:val="20"/>
                <w:highlight w:val="none"/>
              </w:rPr>
              <w:t>若</w:t>
            </w:r>
            <w:r>
              <w:rPr>
                <w:rFonts w:hint="eastAsia"/>
                <w:color w:val="auto"/>
                <w:sz w:val="20"/>
                <w:szCs w:val="20"/>
                <w:highlight w:val="none"/>
                <w:lang w:val="en-US" w:eastAsia="zh-CN"/>
              </w:rPr>
              <w:t>竞选人</w:t>
            </w:r>
            <w:r>
              <w:rPr>
                <w:rFonts w:hint="eastAsia"/>
                <w:color w:val="auto"/>
                <w:sz w:val="20"/>
                <w:szCs w:val="20"/>
                <w:highlight w:val="none"/>
              </w:rPr>
              <w:t>为制造商，则拟投入本项目工程的项目经理（负责人）须为电梯生产制造商或其委托的安装单位正式职工</w:t>
            </w:r>
            <w:r>
              <w:rPr>
                <w:rFonts w:hint="eastAsia"/>
                <w:color w:val="auto"/>
                <w:sz w:val="20"/>
                <w:szCs w:val="20"/>
                <w:highlight w:val="none"/>
                <w:lang w:eastAsia="zh-CN"/>
              </w:rPr>
              <w:t>；</w:t>
            </w:r>
            <w:r>
              <w:rPr>
                <w:rFonts w:hint="eastAsia"/>
                <w:color w:val="auto"/>
                <w:sz w:val="20"/>
                <w:szCs w:val="20"/>
                <w:highlight w:val="none"/>
              </w:rPr>
              <w:t>若</w:t>
            </w:r>
            <w:r>
              <w:rPr>
                <w:rFonts w:hint="eastAsia"/>
                <w:color w:val="auto"/>
                <w:sz w:val="20"/>
                <w:szCs w:val="20"/>
                <w:highlight w:val="none"/>
                <w:lang w:val="en-US" w:eastAsia="zh-CN"/>
              </w:rPr>
              <w:t>竞选人</w:t>
            </w:r>
            <w:r>
              <w:rPr>
                <w:rFonts w:hint="eastAsia"/>
                <w:color w:val="auto"/>
                <w:sz w:val="20"/>
                <w:szCs w:val="20"/>
                <w:highlight w:val="none"/>
              </w:rPr>
              <w:t>为代理商，则拟投入本项目工程的项目经理（负责人）须为电梯生产制造商或</w:t>
            </w:r>
            <w:r>
              <w:rPr>
                <w:rFonts w:hint="eastAsia"/>
                <w:color w:val="auto"/>
                <w:sz w:val="20"/>
                <w:szCs w:val="20"/>
                <w:highlight w:val="none"/>
                <w:lang w:val="en-US" w:eastAsia="zh-CN"/>
              </w:rPr>
              <w:t>代理商</w:t>
            </w:r>
            <w:r>
              <w:rPr>
                <w:rFonts w:hint="eastAsia"/>
                <w:color w:val="auto"/>
                <w:sz w:val="20"/>
                <w:szCs w:val="20"/>
                <w:highlight w:val="none"/>
              </w:rPr>
              <w:t>正式职工；具有机械或电气专业</w:t>
            </w:r>
            <w:r>
              <w:rPr>
                <w:rFonts w:hint="eastAsia" w:ascii="宋体" w:hAnsi="宋体"/>
                <w:color w:val="auto"/>
                <w:sz w:val="20"/>
                <w:szCs w:val="20"/>
                <w:highlight w:val="none"/>
                <w:lang w:val="en-US" w:eastAsia="zh-CN"/>
              </w:rPr>
              <w:t>高级工程师及以上职称</w:t>
            </w:r>
            <w:r>
              <w:rPr>
                <w:rFonts w:hint="eastAsia"/>
                <w:color w:val="auto"/>
                <w:sz w:val="20"/>
                <w:szCs w:val="20"/>
                <w:highlight w:val="none"/>
                <w:lang w:eastAsia="zh-CN"/>
              </w:rPr>
              <w:t>。</w:t>
            </w:r>
          </w:p>
          <w:p>
            <w:pPr>
              <w:pStyle w:val="15"/>
              <w:keepNext w:val="0"/>
              <w:keepLines w:val="0"/>
              <w:pageBreakBefore w:val="0"/>
              <w:widowControl w:val="0"/>
              <w:tabs>
                <w:tab w:val="left" w:pos="880"/>
              </w:tabs>
              <w:kinsoku/>
              <w:wordWrap/>
              <w:overflowPunct/>
              <w:topLinePunct w:val="0"/>
              <w:bidi w:val="0"/>
              <w:spacing w:line="400" w:lineRule="exact"/>
              <w:ind w:left="105" w:leftChars="50" w:right="105" w:rightChars="50" w:firstLine="0" w:firstLineChars="0"/>
              <w:outlineLvl w:val="9"/>
              <w:rPr>
                <w:rFonts w:hint="eastAsia" w:ascii="宋体" w:hAnsi="宋体" w:eastAsia="宋体" w:cs="宋体"/>
                <w:color w:val="auto"/>
                <w:sz w:val="20"/>
                <w:szCs w:val="20"/>
                <w:highlight w:val="none"/>
              </w:rPr>
            </w:pPr>
            <w:r>
              <w:rPr>
                <w:rFonts w:hint="eastAsia"/>
                <w:color w:val="auto"/>
                <w:sz w:val="20"/>
                <w:szCs w:val="20"/>
                <w:highlight w:val="none"/>
              </w:rPr>
              <w:t>（</w:t>
            </w:r>
            <w:r>
              <w:rPr>
                <w:rFonts w:hint="eastAsia"/>
                <w:color w:val="auto"/>
                <w:sz w:val="20"/>
                <w:szCs w:val="20"/>
                <w:highlight w:val="none"/>
                <w:lang w:eastAsia="zh-CN"/>
              </w:rPr>
              <w:t>须</w:t>
            </w:r>
            <w:r>
              <w:rPr>
                <w:rFonts w:hint="eastAsia"/>
                <w:color w:val="auto"/>
                <w:sz w:val="20"/>
                <w:szCs w:val="20"/>
                <w:highlight w:val="none"/>
              </w:rPr>
              <w:t>提供职称证书</w:t>
            </w:r>
            <w:r>
              <w:rPr>
                <w:rFonts w:hint="eastAsia"/>
                <w:color w:val="auto"/>
                <w:sz w:val="20"/>
                <w:szCs w:val="20"/>
                <w:highlight w:val="none"/>
                <w:lang w:eastAsia="zh-CN"/>
              </w:rPr>
              <w:t>复印件</w:t>
            </w:r>
            <w:r>
              <w:rPr>
                <w:rFonts w:hint="eastAsia"/>
                <w:color w:val="auto"/>
                <w:sz w:val="20"/>
                <w:szCs w:val="20"/>
                <w:highlight w:val="none"/>
              </w:rPr>
              <w:t>加盖</w:t>
            </w:r>
            <w:r>
              <w:rPr>
                <w:rFonts w:hint="eastAsia"/>
                <w:color w:val="auto"/>
                <w:sz w:val="20"/>
                <w:szCs w:val="20"/>
                <w:highlight w:val="none"/>
                <w:lang w:val="en-US" w:eastAsia="zh-CN"/>
              </w:rPr>
              <w:t>竞选人公章</w:t>
            </w:r>
            <w:r>
              <w:rPr>
                <w:rFonts w:hint="eastAsia"/>
                <w:color w:val="auto"/>
                <w:sz w:val="20"/>
                <w:szCs w:val="20"/>
                <w:highlight w:val="none"/>
              </w:rPr>
              <w:t>；</w:t>
            </w:r>
            <w:r>
              <w:rPr>
                <w:rFonts w:hint="eastAsia"/>
                <w:color w:val="auto"/>
                <w:sz w:val="20"/>
                <w:szCs w:val="20"/>
                <w:highlight w:val="none"/>
                <w:lang w:eastAsia="zh-CN"/>
              </w:rPr>
              <w:t>提供</w:t>
            </w:r>
            <w:r>
              <w:rPr>
                <w:rFonts w:hint="eastAsia"/>
                <w:b w:val="0"/>
                <w:bCs w:val="0"/>
                <w:color w:val="auto"/>
                <w:sz w:val="20"/>
                <w:szCs w:val="20"/>
                <w:highlight w:val="none"/>
              </w:rPr>
              <w:t>电梯生产制造商或</w:t>
            </w:r>
            <w:r>
              <w:rPr>
                <w:rFonts w:hint="eastAsia"/>
                <w:b w:val="0"/>
                <w:bCs w:val="0"/>
                <w:color w:val="auto"/>
                <w:sz w:val="20"/>
                <w:szCs w:val="20"/>
                <w:highlight w:val="none"/>
                <w:lang w:eastAsia="zh-CN"/>
              </w:rPr>
              <w:t>代理商或</w:t>
            </w:r>
            <w:r>
              <w:rPr>
                <w:rFonts w:hint="eastAsia"/>
                <w:b w:val="0"/>
                <w:bCs w:val="0"/>
                <w:color w:val="auto"/>
                <w:sz w:val="20"/>
                <w:szCs w:val="20"/>
                <w:highlight w:val="none"/>
              </w:rPr>
              <w:t>其委托的安装单位</w:t>
            </w:r>
            <w:r>
              <w:rPr>
                <w:rFonts w:hint="eastAsia"/>
                <w:color w:val="auto"/>
                <w:sz w:val="20"/>
                <w:szCs w:val="20"/>
                <w:highlight w:val="none"/>
              </w:rPr>
              <w:t>为其缴纳的2020年10月-2021年3月</w:t>
            </w:r>
            <w:r>
              <w:rPr>
                <w:rFonts w:hint="eastAsia"/>
                <w:color w:val="auto"/>
                <w:sz w:val="20"/>
                <w:szCs w:val="20"/>
                <w:highlight w:val="none"/>
                <w:lang w:eastAsia="zh-CN"/>
              </w:rPr>
              <w:t>养老保险证明材料复印件</w:t>
            </w:r>
            <w:r>
              <w:rPr>
                <w:rFonts w:hint="eastAsia"/>
                <w:color w:val="auto"/>
                <w:sz w:val="20"/>
                <w:szCs w:val="20"/>
                <w:highlight w:val="none"/>
              </w:rPr>
              <w:t>）</w:t>
            </w:r>
          </w:p>
          <w:p>
            <w:pPr>
              <w:pStyle w:val="15"/>
              <w:keepNext w:val="0"/>
              <w:keepLines w:val="0"/>
              <w:pageBreakBefore w:val="0"/>
              <w:widowControl w:val="0"/>
              <w:tabs>
                <w:tab w:val="left" w:pos="880"/>
              </w:tabs>
              <w:kinsoku/>
              <w:wordWrap/>
              <w:overflowPunct/>
              <w:topLinePunct w:val="0"/>
              <w:bidi w:val="0"/>
              <w:spacing w:line="400" w:lineRule="exact"/>
              <w:ind w:left="105" w:leftChars="50" w:right="105" w:rightChars="50" w:firstLine="0" w:firstLineChars="0"/>
              <w:outlineLvl w:val="9"/>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2.技术负责人资格要求：</w:t>
            </w:r>
          </w:p>
          <w:p>
            <w:pPr>
              <w:pStyle w:val="15"/>
              <w:keepNext w:val="0"/>
              <w:keepLines w:val="0"/>
              <w:pageBreakBefore w:val="0"/>
              <w:widowControl w:val="0"/>
              <w:tabs>
                <w:tab w:val="left" w:pos="880"/>
              </w:tabs>
              <w:kinsoku/>
              <w:wordWrap/>
              <w:overflowPunct/>
              <w:topLinePunct w:val="0"/>
              <w:bidi w:val="0"/>
              <w:spacing w:line="400" w:lineRule="exact"/>
              <w:ind w:left="105" w:leftChars="50" w:right="105" w:rightChars="50" w:firstLine="400" w:firstLineChars="200"/>
              <w:outlineLvl w:val="9"/>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若</w:t>
            </w:r>
            <w:r>
              <w:rPr>
                <w:rFonts w:hint="eastAsia" w:ascii="宋体" w:hAnsi="宋体" w:cs="宋体"/>
                <w:color w:val="auto"/>
                <w:sz w:val="20"/>
                <w:szCs w:val="20"/>
                <w:highlight w:val="none"/>
                <w:lang w:eastAsia="zh-CN"/>
              </w:rPr>
              <w:t>竞选人</w:t>
            </w:r>
            <w:r>
              <w:rPr>
                <w:rFonts w:hint="eastAsia" w:ascii="宋体" w:hAnsi="宋体" w:eastAsia="宋体" w:cs="宋体"/>
                <w:color w:val="auto"/>
                <w:sz w:val="20"/>
                <w:szCs w:val="20"/>
                <w:highlight w:val="none"/>
              </w:rPr>
              <w:t>为制造商，则拟投入本项目工程的技术负责人须为电梯制造商或其委托的安装单位正式职工，若</w:t>
            </w:r>
            <w:r>
              <w:rPr>
                <w:rFonts w:hint="eastAsia" w:ascii="宋体" w:hAnsi="宋体" w:cs="宋体"/>
                <w:color w:val="auto"/>
                <w:sz w:val="20"/>
                <w:szCs w:val="20"/>
                <w:highlight w:val="none"/>
                <w:lang w:eastAsia="zh-CN"/>
              </w:rPr>
              <w:t>竞选人</w:t>
            </w:r>
            <w:r>
              <w:rPr>
                <w:rFonts w:hint="eastAsia" w:ascii="宋体" w:hAnsi="宋体" w:eastAsia="宋体" w:cs="宋体"/>
                <w:color w:val="auto"/>
                <w:sz w:val="20"/>
                <w:szCs w:val="20"/>
                <w:highlight w:val="none"/>
              </w:rPr>
              <w:t>为代理商，则拟投入本项目工程的技术负责人须为电梯制造商或投标单位正式职工；具有机械或电气专业</w:t>
            </w:r>
            <w:r>
              <w:rPr>
                <w:rFonts w:hint="eastAsia" w:ascii="宋体" w:hAnsi="宋体"/>
                <w:color w:val="auto"/>
                <w:sz w:val="20"/>
                <w:szCs w:val="20"/>
                <w:highlight w:val="none"/>
                <w:lang w:val="en-US" w:eastAsia="zh-CN"/>
              </w:rPr>
              <w:t>高级工程师及以上职称</w:t>
            </w:r>
            <w:r>
              <w:rPr>
                <w:rFonts w:hint="eastAsia" w:ascii="宋体" w:hAnsi="宋体" w:eastAsia="宋体" w:cs="宋体"/>
                <w:color w:val="auto"/>
                <w:sz w:val="20"/>
                <w:szCs w:val="20"/>
                <w:highlight w:val="none"/>
              </w:rPr>
              <w:t>。</w:t>
            </w:r>
          </w:p>
          <w:p>
            <w:pPr>
              <w:pStyle w:val="15"/>
              <w:keepNext w:val="0"/>
              <w:keepLines w:val="0"/>
              <w:pageBreakBefore w:val="0"/>
              <w:widowControl w:val="0"/>
              <w:tabs>
                <w:tab w:val="left" w:pos="880"/>
              </w:tabs>
              <w:kinsoku/>
              <w:wordWrap/>
              <w:overflowPunct/>
              <w:topLinePunct w:val="0"/>
              <w:bidi w:val="0"/>
              <w:spacing w:line="400" w:lineRule="exact"/>
              <w:ind w:left="105" w:leftChars="50" w:right="105" w:rightChars="50" w:firstLine="0" w:firstLineChars="0"/>
              <w:outlineLvl w:val="9"/>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w:t>
            </w:r>
            <w:r>
              <w:rPr>
                <w:rFonts w:hint="eastAsia" w:cs="宋体"/>
                <w:color w:val="auto"/>
                <w:sz w:val="20"/>
                <w:szCs w:val="20"/>
                <w:highlight w:val="none"/>
                <w:lang w:eastAsia="zh-CN"/>
              </w:rPr>
              <w:t>须</w:t>
            </w:r>
            <w:r>
              <w:rPr>
                <w:rFonts w:hint="eastAsia" w:ascii="宋体" w:hAnsi="宋体" w:eastAsia="宋体" w:cs="宋体"/>
                <w:color w:val="auto"/>
                <w:sz w:val="20"/>
                <w:szCs w:val="20"/>
                <w:highlight w:val="none"/>
              </w:rPr>
              <w:t>提供职称证书</w:t>
            </w:r>
            <w:r>
              <w:rPr>
                <w:rFonts w:hint="eastAsia" w:cs="宋体"/>
                <w:color w:val="auto"/>
                <w:sz w:val="20"/>
                <w:szCs w:val="20"/>
                <w:highlight w:val="none"/>
                <w:lang w:eastAsia="zh-CN"/>
              </w:rPr>
              <w:t>复印件</w:t>
            </w:r>
            <w:r>
              <w:rPr>
                <w:rFonts w:hint="eastAsia" w:ascii="宋体" w:hAnsi="宋体" w:eastAsia="宋体" w:cs="宋体"/>
                <w:color w:val="auto"/>
                <w:sz w:val="20"/>
                <w:szCs w:val="20"/>
                <w:highlight w:val="none"/>
              </w:rPr>
              <w:t>加盖</w:t>
            </w:r>
            <w:r>
              <w:rPr>
                <w:rFonts w:hint="eastAsia"/>
                <w:color w:val="auto"/>
                <w:sz w:val="20"/>
                <w:szCs w:val="20"/>
                <w:highlight w:val="none"/>
                <w:lang w:val="en-US" w:eastAsia="zh-CN"/>
              </w:rPr>
              <w:t>竞选人公章</w:t>
            </w:r>
            <w:r>
              <w:rPr>
                <w:rFonts w:hint="eastAsia" w:cs="宋体"/>
                <w:color w:val="auto"/>
                <w:sz w:val="20"/>
                <w:szCs w:val="20"/>
                <w:highlight w:val="none"/>
                <w:lang w:eastAsia="zh-CN"/>
              </w:rPr>
              <w:t>，</w:t>
            </w:r>
            <w:r>
              <w:rPr>
                <w:rFonts w:hint="eastAsia"/>
                <w:color w:val="auto"/>
                <w:sz w:val="20"/>
                <w:szCs w:val="20"/>
                <w:highlight w:val="none"/>
                <w:lang w:eastAsia="zh-CN"/>
              </w:rPr>
              <w:t>提供</w:t>
            </w:r>
            <w:r>
              <w:rPr>
                <w:rFonts w:hint="eastAsia"/>
                <w:b w:val="0"/>
                <w:bCs w:val="0"/>
                <w:color w:val="auto"/>
                <w:sz w:val="20"/>
                <w:szCs w:val="20"/>
                <w:highlight w:val="none"/>
              </w:rPr>
              <w:t>电梯生产制造商或</w:t>
            </w:r>
            <w:r>
              <w:rPr>
                <w:rFonts w:hint="eastAsia"/>
                <w:b w:val="0"/>
                <w:bCs w:val="0"/>
                <w:color w:val="auto"/>
                <w:sz w:val="20"/>
                <w:szCs w:val="20"/>
                <w:highlight w:val="none"/>
                <w:lang w:eastAsia="zh-CN"/>
              </w:rPr>
              <w:t>代理商或</w:t>
            </w:r>
            <w:r>
              <w:rPr>
                <w:rFonts w:hint="eastAsia"/>
                <w:b w:val="0"/>
                <w:bCs w:val="0"/>
                <w:color w:val="auto"/>
                <w:sz w:val="20"/>
                <w:szCs w:val="20"/>
                <w:highlight w:val="none"/>
              </w:rPr>
              <w:t>其委托的安装单位</w:t>
            </w:r>
            <w:r>
              <w:rPr>
                <w:rFonts w:hint="eastAsia"/>
                <w:color w:val="auto"/>
                <w:sz w:val="20"/>
                <w:szCs w:val="20"/>
                <w:highlight w:val="none"/>
              </w:rPr>
              <w:t>为其缴纳的2020年10月-2021年3月</w:t>
            </w:r>
            <w:r>
              <w:rPr>
                <w:rFonts w:hint="eastAsia"/>
                <w:color w:val="auto"/>
                <w:sz w:val="20"/>
                <w:szCs w:val="20"/>
                <w:highlight w:val="none"/>
                <w:lang w:eastAsia="zh-CN"/>
              </w:rPr>
              <w:t>养老保险证明材料复印件</w:t>
            </w:r>
            <w:r>
              <w:rPr>
                <w:rFonts w:hint="eastAsia" w:ascii="宋体" w:hAnsi="宋体" w:eastAsia="宋体" w:cs="宋体"/>
                <w:color w:val="auto"/>
                <w:sz w:val="20"/>
                <w:szCs w:val="20"/>
                <w:highlight w:val="none"/>
              </w:rPr>
              <w:t>）</w:t>
            </w:r>
          </w:p>
          <w:p>
            <w:pPr>
              <w:pStyle w:val="15"/>
              <w:keepNext w:val="0"/>
              <w:keepLines w:val="0"/>
              <w:pageBreakBefore w:val="0"/>
              <w:widowControl w:val="0"/>
              <w:tabs>
                <w:tab w:val="left" w:pos="880"/>
              </w:tabs>
              <w:kinsoku/>
              <w:wordWrap/>
              <w:overflowPunct/>
              <w:topLinePunct w:val="0"/>
              <w:bidi w:val="0"/>
              <w:spacing w:line="400" w:lineRule="exact"/>
              <w:ind w:left="105" w:leftChars="50" w:right="105" w:rightChars="50" w:firstLine="0" w:firstLineChars="0"/>
              <w:outlineLvl w:val="9"/>
              <w:rPr>
                <w:rFonts w:hint="eastAsia" w:ascii="宋体" w:hAnsi="宋体" w:eastAsia="宋体" w:cs="宋体"/>
                <w:b/>
                <w:bCs/>
                <w:color w:val="auto"/>
                <w:sz w:val="20"/>
                <w:szCs w:val="20"/>
                <w:highlight w:val="none"/>
              </w:rPr>
            </w:pPr>
            <w:r>
              <w:rPr>
                <w:rFonts w:hint="eastAsia" w:ascii="宋体" w:hAnsi="宋体" w:eastAsia="宋体" w:cs="宋体"/>
                <w:b/>
                <w:bCs/>
                <w:color w:val="auto"/>
                <w:sz w:val="20"/>
                <w:szCs w:val="20"/>
                <w:highlight w:val="none"/>
              </w:rPr>
              <w:t>（</w:t>
            </w:r>
            <w:r>
              <w:rPr>
                <w:rFonts w:hint="eastAsia" w:ascii="宋体" w:hAnsi="宋体" w:cs="宋体"/>
                <w:b/>
                <w:bCs/>
                <w:color w:val="auto"/>
                <w:sz w:val="20"/>
                <w:szCs w:val="20"/>
                <w:highlight w:val="none"/>
                <w:lang w:val="en-US" w:eastAsia="zh-CN"/>
              </w:rPr>
              <w:t>四</w:t>
            </w:r>
            <w:r>
              <w:rPr>
                <w:rFonts w:hint="eastAsia" w:ascii="宋体" w:hAnsi="宋体" w:eastAsia="宋体" w:cs="宋体"/>
                <w:b/>
                <w:bCs/>
                <w:color w:val="auto"/>
                <w:sz w:val="20"/>
                <w:szCs w:val="20"/>
                <w:highlight w:val="none"/>
              </w:rPr>
              <w:t>）其他要求</w:t>
            </w:r>
          </w:p>
          <w:p>
            <w:pPr>
              <w:pStyle w:val="15"/>
              <w:keepNext w:val="0"/>
              <w:keepLines w:val="0"/>
              <w:pageBreakBefore w:val="0"/>
              <w:widowControl w:val="0"/>
              <w:tabs>
                <w:tab w:val="left" w:pos="880"/>
              </w:tabs>
              <w:kinsoku/>
              <w:wordWrap/>
              <w:overflowPunct/>
              <w:topLinePunct w:val="0"/>
              <w:bidi w:val="0"/>
              <w:spacing w:line="400" w:lineRule="exact"/>
              <w:ind w:left="105" w:leftChars="50" w:right="105" w:rightChars="50" w:firstLine="400" w:firstLineChars="200"/>
              <w:outlineLvl w:val="9"/>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项目不接受联合体</w:t>
            </w:r>
            <w:r>
              <w:rPr>
                <w:rFonts w:hint="eastAsia" w:ascii="宋体" w:hAnsi="宋体" w:cs="宋体"/>
                <w:color w:val="auto"/>
                <w:sz w:val="20"/>
                <w:szCs w:val="20"/>
                <w:highlight w:val="none"/>
                <w:lang w:val="en-US" w:eastAsia="zh-CN"/>
              </w:rPr>
              <w:t>竞选</w:t>
            </w:r>
            <w:r>
              <w:rPr>
                <w:rFonts w:hint="eastAsia" w:ascii="宋体" w:hAnsi="宋体" w:eastAsia="宋体" w:cs="宋体"/>
                <w:color w:val="auto"/>
                <w:sz w:val="20"/>
                <w:szCs w:val="20"/>
                <w:highlight w:val="none"/>
              </w:rPr>
              <w:t>，不接受电梯制造商以其办事处或分公司的名义参加</w:t>
            </w:r>
            <w:r>
              <w:rPr>
                <w:rFonts w:hint="eastAsia" w:ascii="宋体" w:hAnsi="宋体" w:cs="宋体"/>
                <w:color w:val="auto"/>
                <w:sz w:val="20"/>
                <w:szCs w:val="20"/>
                <w:highlight w:val="none"/>
                <w:lang w:val="en-US" w:eastAsia="zh-CN"/>
              </w:rPr>
              <w:t>竞选</w:t>
            </w:r>
            <w:r>
              <w:rPr>
                <w:rFonts w:hint="eastAsia" w:ascii="宋体" w:hAnsi="宋体" w:eastAsia="宋体" w:cs="宋体"/>
                <w:color w:val="auto"/>
                <w:sz w:val="20"/>
                <w:szCs w:val="20"/>
                <w:highlight w:val="none"/>
              </w:rPr>
              <w:t>。</w:t>
            </w:r>
          </w:p>
          <w:p>
            <w:pPr>
              <w:keepNext w:val="0"/>
              <w:keepLines w:val="0"/>
              <w:pageBreakBefore w:val="0"/>
              <w:widowControl w:val="0"/>
              <w:kinsoku/>
              <w:wordWrap/>
              <w:overflowPunct/>
              <w:topLinePunct w:val="0"/>
              <w:bidi w:val="0"/>
              <w:adjustRightInd w:val="0"/>
              <w:snapToGrid w:val="0"/>
              <w:spacing w:line="400" w:lineRule="exact"/>
              <w:ind w:left="105" w:leftChars="50" w:right="105" w:rightChars="50" w:firstLine="0" w:firstLineChars="0"/>
              <w:textAlignment w:val="baseline"/>
              <w:outlineLvl w:val="9"/>
              <w:rPr>
                <w:rFonts w:hint="eastAsia" w:ascii="宋体" w:hAnsi="宋体" w:eastAsia="宋体" w:cs="宋体"/>
                <w:b/>
                <w:bCs w:val="0"/>
                <w:color w:val="auto"/>
                <w:sz w:val="20"/>
                <w:szCs w:val="20"/>
                <w:highlight w:val="none"/>
              </w:rPr>
            </w:pPr>
            <w:r>
              <w:rPr>
                <w:rFonts w:hint="eastAsia" w:ascii="宋体" w:hAnsi="宋体" w:eastAsia="宋体" w:cs="宋体"/>
                <w:b/>
                <w:bCs w:val="0"/>
                <w:snapToGrid w:val="0"/>
                <w:color w:val="auto"/>
                <w:sz w:val="20"/>
                <w:szCs w:val="20"/>
                <w:highlight w:val="none"/>
              </w:rPr>
              <w:t>特别提示：</w:t>
            </w:r>
          </w:p>
          <w:p>
            <w:pPr>
              <w:keepNext w:val="0"/>
              <w:keepLines w:val="0"/>
              <w:pageBreakBefore w:val="0"/>
              <w:widowControl w:val="0"/>
              <w:numPr>
                <w:ilvl w:val="0"/>
                <w:numId w:val="1"/>
              </w:numPr>
              <w:kinsoku/>
              <w:wordWrap/>
              <w:overflowPunct/>
              <w:topLinePunct w:val="0"/>
              <w:bidi w:val="0"/>
              <w:adjustRightInd w:val="0"/>
              <w:snapToGrid w:val="0"/>
              <w:spacing w:line="400" w:lineRule="exact"/>
              <w:ind w:left="105" w:leftChars="50" w:right="105" w:rightChars="50" w:firstLine="0" w:firstLineChars="0"/>
              <w:textAlignment w:val="baseline"/>
              <w:outlineLvl w:val="9"/>
              <w:rPr>
                <w:rFonts w:hint="default"/>
                <w:lang w:val="en-US" w:eastAsia="zh-CN"/>
              </w:rPr>
            </w:pPr>
            <w:r>
              <w:rPr>
                <w:rFonts w:hint="eastAsia" w:ascii="宋体" w:hAnsi="宋体" w:eastAsia="宋体" w:cs="宋体"/>
                <w:b/>
                <w:bCs w:val="0"/>
                <w:snapToGrid w:val="0"/>
                <w:color w:val="auto"/>
                <w:sz w:val="20"/>
                <w:szCs w:val="20"/>
                <w:highlight w:val="none"/>
              </w:rPr>
              <w:t>以上所有复印件必须加盖</w:t>
            </w:r>
            <w:r>
              <w:rPr>
                <w:rFonts w:hint="eastAsia" w:ascii="宋体" w:hAnsi="宋体" w:cs="宋体"/>
                <w:b/>
                <w:bCs w:val="0"/>
                <w:snapToGrid w:val="0"/>
                <w:color w:val="auto"/>
                <w:sz w:val="20"/>
                <w:szCs w:val="20"/>
                <w:highlight w:val="none"/>
                <w:lang w:val="en-US" w:eastAsia="zh-CN"/>
              </w:rPr>
              <w:t>竞选人</w:t>
            </w:r>
            <w:r>
              <w:rPr>
                <w:rFonts w:hint="eastAsia" w:ascii="宋体" w:hAnsi="宋体" w:eastAsia="宋体" w:cs="宋体"/>
                <w:b/>
                <w:bCs w:val="0"/>
                <w:snapToGrid w:val="0"/>
                <w:color w:val="auto"/>
                <w:sz w:val="20"/>
                <w:szCs w:val="20"/>
                <w:highlight w:val="none"/>
              </w:rPr>
              <w:t>单位</w:t>
            </w:r>
            <w:r>
              <w:rPr>
                <w:rFonts w:hint="eastAsia" w:ascii="宋体" w:hAnsi="宋体" w:cs="宋体"/>
                <w:b/>
                <w:bCs w:val="0"/>
                <w:snapToGrid w:val="0"/>
                <w:color w:val="auto"/>
                <w:sz w:val="20"/>
                <w:szCs w:val="20"/>
                <w:highlight w:val="none"/>
                <w:lang w:val="en-US" w:eastAsia="zh-CN"/>
              </w:rPr>
              <w:t>公章（鲜章）</w:t>
            </w:r>
            <w:r>
              <w:rPr>
                <w:rFonts w:hint="eastAsia" w:ascii="宋体" w:hAnsi="宋体" w:cs="宋体"/>
                <w:b/>
                <w:bCs w:val="0"/>
                <w:snapToGrid w:val="0"/>
                <w:color w:val="auto"/>
                <w:sz w:val="20"/>
                <w:szCs w:val="20"/>
                <w:highlight w:val="none"/>
                <w:lang w:eastAsia="zh-CN"/>
              </w:rPr>
              <w:t>。</w:t>
            </w:r>
          </w:p>
          <w:p>
            <w:pPr>
              <w:keepNext w:val="0"/>
              <w:keepLines w:val="0"/>
              <w:pageBreakBefore w:val="0"/>
              <w:widowControl w:val="0"/>
              <w:kinsoku/>
              <w:wordWrap/>
              <w:overflowPunct/>
              <w:topLinePunct w:val="0"/>
              <w:bidi w:val="0"/>
              <w:adjustRightInd w:val="0"/>
              <w:snapToGrid w:val="0"/>
              <w:spacing w:line="400" w:lineRule="exact"/>
              <w:ind w:left="105" w:leftChars="50" w:right="105" w:rightChars="50" w:firstLine="0" w:firstLineChars="0"/>
              <w:textAlignment w:val="baseline"/>
              <w:outlineLvl w:val="9"/>
              <w:rPr>
                <w:rFonts w:hint="eastAsia" w:ascii="宋体" w:hAnsi="宋体" w:eastAsia="宋体" w:cs="宋体"/>
                <w:b/>
                <w:bCs w:val="0"/>
                <w:snapToGrid w:val="0"/>
                <w:color w:val="auto"/>
                <w:sz w:val="20"/>
                <w:szCs w:val="20"/>
                <w:highlight w:val="none"/>
              </w:rPr>
            </w:pPr>
            <w:r>
              <w:rPr>
                <w:rFonts w:hint="eastAsia" w:ascii="宋体" w:hAnsi="宋体" w:eastAsia="宋体" w:cs="宋体"/>
                <w:b/>
                <w:bCs w:val="0"/>
                <w:snapToGrid w:val="0"/>
                <w:color w:val="auto"/>
                <w:sz w:val="20"/>
                <w:szCs w:val="20"/>
                <w:highlight w:val="none"/>
              </w:rPr>
              <w:t xml:space="preserve">2、本招标文件中所要求的人员养老保险证明要求如下： </w:t>
            </w:r>
          </w:p>
          <w:p>
            <w:pPr>
              <w:keepNext w:val="0"/>
              <w:keepLines w:val="0"/>
              <w:pageBreakBefore w:val="0"/>
              <w:widowControl w:val="0"/>
              <w:kinsoku/>
              <w:wordWrap/>
              <w:overflowPunct/>
              <w:topLinePunct w:val="0"/>
              <w:bidi w:val="0"/>
              <w:adjustRightInd w:val="0"/>
              <w:snapToGrid w:val="0"/>
              <w:spacing w:line="400" w:lineRule="exact"/>
              <w:ind w:left="105" w:leftChars="50" w:right="105" w:rightChars="50" w:firstLine="0" w:firstLineChars="0"/>
              <w:textAlignment w:val="baseline"/>
              <w:outlineLvl w:val="9"/>
              <w:rPr>
                <w:rFonts w:hint="eastAsia" w:ascii="宋体" w:hAnsi="宋体" w:eastAsia="宋体" w:cs="宋体"/>
                <w:b/>
                <w:bCs w:val="0"/>
                <w:snapToGrid w:val="0"/>
                <w:color w:val="auto"/>
                <w:sz w:val="20"/>
                <w:szCs w:val="20"/>
                <w:highlight w:val="none"/>
              </w:rPr>
            </w:pPr>
            <w:r>
              <w:rPr>
                <w:rFonts w:hint="eastAsia" w:ascii="宋体" w:hAnsi="宋体" w:eastAsia="宋体" w:cs="宋体"/>
                <w:b/>
                <w:bCs w:val="0"/>
                <w:snapToGrid w:val="0"/>
                <w:color w:val="auto"/>
                <w:sz w:val="20"/>
                <w:szCs w:val="20"/>
                <w:highlight w:val="none"/>
              </w:rPr>
              <w:t xml:space="preserve">①社会单位提供养老保险证明，事业单位提供养老保险证明或行政主管部门在编证明。 </w:t>
            </w:r>
          </w:p>
          <w:p>
            <w:pPr>
              <w:ind w:firstLine="201" w:firstLineChars="100"/>
              <w:rPr>
                <w:rFonts w:hint="eastAsia" w:ascii="宋体" w:hAnsi="宋体" w:eastAsia="宋体" w:cs="宋体"/>
                <w:b/>
                <w:bCs w:val="0"/>
                <w:snapToGrid w:val="0"/>
                <w:color w:val="auto"/>
                <w:sz w:val="20"/>
                <w:szCs w:val="20"/>
                <w:highlight w:val="none"/>
              </w:rPr>
            </w:pPr>
            <w:r>
              <w:rPr>
                <w:rFonts w:hint="eastAsia" w:ascii="宋体" w:hAnsi="宋体" w:eastAsia="宋体" w:cs="宋体"/>
                <w:b/>
                <w:bCs w:val="0"/>
                <w:snapToGrid w:val="0"/>
                <w:color w:val="auto"/>
                <w:sz w:val="20"/>
                <w:szCs w:val="20"/>
                <w:highlight w:val="none"/>
              </w:rPr>
              <w:t>②投标文件中对养老保险的要求为：养老保险证明（个人）可通过互联网在社会保险网上业务经办平台自助打印带有电子章的参保证明，或在社保经办服务大厅的社保自助一 体机自助打印带有电子章的参保证明，或在社保管理部门开具的养老保险缴纳证明的复印件</w:t>
            </w:r>
            <w:r>
              <w:rPr>
                <w:rFonts w:hint="eastAsia" w:ascii="宋体" w:hAnsi="宋体" w:cs="宋体"/>
                <w:b/>
                <w:bCs w:val="0"/>
                <w:snapToGrid w:val="0"/>
                <w:color w:val="auto"/>
                <w:sz w:val="20"/>
                <w:szCs w:val="20"/>
                <w:highlight w:val="none"/>
                <w:lang w:eastAsia="zh-CN"/>
              </w:rPr>
              <w:t>，</w:t>
            </w:r>
            <w:r>
              <w:rPr>
                <w:rFonts w:hint="eastAsia" w:ascii="宋体" w:hAnsi="宋体" w:eastAsia="宋体" w:cs="宋体"/>
                <w:b/>
                <w:bCs w:val="0"/>
                <w:snapToGrid w:val="0"/>
                <w:color w:val="auto"/>
                <w:sz w:val="20"/>
                <w:szCs w:val="20"/>
                <w:highlight w:val="none"/>
              </w:rPr>
              <w:t xml:space="preserve"> 否则视为无效社保。</w:t>
            </w:r>
          </w:p>
          <w:p>
            <w:pPr>
              <w:pStyle w:val="15"/>
              <w:keepNext w:val="0"/>
              <w:keepLines w:val="0"/>
              <w:pageBreakBefore w:val="0"/>
              <w:widowControl w:val="0"/>
              <w:tabs>
                <w:tab w:val="left" w:pos="880"/>
              </w:tabs>
              <w:kinsoku/>
              <w:wordWrap/>
              <w:overflowPunct/>
              <w:topLinePunct w:val="0"/>
              <w:bidi w:val="0"/>
              <w:spacing w:line="400" w:lineRule="exact"/>
              <w:ind w:left="105" w:leftChars="50" w:right="105" w:rightChars="50" w:firstLine="0" w:firstLineChars="0"/>
              <w:outlineLvl w:val="9"/>
              <w:rPr>
                <w:rFonts w:hint="default" w:ascii="Times New Roman" w:hAnsi="Times New Roman" w:eastAsia="方正仿宋_GBK" w:cs="Times New Roman"/>
                <w:color w:val="auto"/>
                <w:spacing w:val="0"/>
                <w:w w:val="100"/>
                <w:sz w:val="24"/>
                <w:szCs w:val="24"/>
                <w:lang w:val="en-US" w:eastAsia="zh-CN"/>
              </w:rPr>
            </w:pPr>
            <w:r>
              <w:rPr>
                <w:rFonts w:hint="eastAsia" w:ascii="宋体" w:hAnsi="宋体" w:eastAsia="宋体" w:cs="宋体"/>
                <w:b/>
                <w:bCs w:val="0"/>
                <w:snapToGrid w:val="0"/>
                <w:color w:val="auto"/>
                <w:sz w:val="20"/>
                <w:szCs w:val="20"/>
                <w:highlight w:val="none"/>
              </w:rPr>
              <w:t>3、招标人在合同签订前均有权对</w:t>
            </w:r>
            <w:r>
              <w:rPr>
                <w:rFonts w:hint="eastAsia" w:ascii="宋体" w:hAnsi="宋体" w:cs="宋体"/>
                <w:b/>
                <w:bCs w:val="0"/>
                <w:snapToGrid w:val="0"/>
                <w:color w:val="auto"/>
                <w:sz w:val="20"/>
                <w:szCs w:val="20"/>
                <w:highlight w:val="none"/>
                <w:lang w:val="en-US" w:eastAsia="zh-CN"/>
              </w:rPr>
              <w:t>竞选人</w:t>
            </w:r>
            <w:r>
              <w:rPr>
                <w:rFonts w:hint="eastAsia" w:ascii="宋体" w:hAnsi="宋体" w:eastAsia="宋体" w:cs="宋体"/>
                <w:b/>
                <w:bCs w:val="0"/>
                <w:snapToGrid w:val="0"/>
                <w:color w:val="auto"/>
                <w:sz w:val="20"/>
                <w:szCs w:val="20"/>
                <w:highlight w:val="none"/>
              </w:rPr>
              <w:t>提供的上述相关证明材料进行核实，若发现资料存在弄虚作假，取消其中标资格，</w:t>
            </w:r>
            <w:r>
              <w:rPr>
                <w:rFonts w:hint="eastAsia" w:ascii="宋体" w:hAnsi="宋体" w:cs="宋体"/>
                <w:b/>
                <w:bCs w:val="0"/>
                <w:snapToGrid w:val="0"/>
                <w:color w:val="auto"/>
                <w:sz w:val="20"/>
                <w:szCs w:val="20"/>
                <w:highlight w:val="none"/>
                <w:lang w:val="en-US" w:eastAsia="zh-CN"/>
              </w:rPr>
              <w:t>竞选人</w:t>
            </w:r>
            <w:r>
              <w:rPr>
                <w:rFonts w:hint="eastAsia" w:ascii="宋体" w:hAnsi="宋体" w:eastAsia="宋体" w:cs="宋体"/>
                <w:b/>
                <w:bCs w:val="0"/>
                <w:snapToGrid w:val="0"/>
                <w:color w:val="auto"/>
                <w:sz w:val="20"/>
                <w:szCs w:val="20"/>
                <w:highlight w:val="none"/>
              </w:rPr>
              <w:t>承担因此造成的相关责任并赔偿相应损失。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4" w:hRule="exact"/>
        </w:trPr>
        <w:tc>
          <w:tcPr>
            <w:tcW w:w="2229" w:type="dxa"/>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cs="Times New Roman"/>
                <w:color w:val="auto"/>
                <w:spacing w:val="0"/>
                <w:w w:val="100"/>
                <w:sz w:val="24"/>
                <w:szCs w:val="24"/>
                <w:vertAlign w:val="baseline"/>
              </w:rPr>
            </w:pPr>
            <w:r>
              <w:rPr>
                <w:rFonts w:hint="default" w:ascii="Times New Roman" w:hAnsi="Times New Roman" w:eastAsia="仿宋_GB2312" w:cs="Times New Roman"/>
                <w:color w:val="auto"/>
                <w:sz w:val="28"/>
                <w:szCs w:val="28"/>
                <w:lang w:val="en-US" w:eastAsia="zh-CN"/>
              </w:rPr>
              <w:t>★</w:t>
            </w:r>
            <w:r>
              <w:rPr>
                <w:rFonts w:hint="default" w:ascii="Times New Roman" w:hAnsi="Times New Roman" w:eastAsia="方正仿宋_GBK" w:cs="Times New Roman"/>
                <w:color w:val="auto"/>
                <w:sz w:val="24"/>
                <w:szCs w:val="24"/>
                <w:lang w:val="en-US" w:eastAsia="zh-CN"/>
              </w:rPr>
              <w:t>比选文件递交时间、地点及比选文件份数</w:t>
            </w:r>
          </w:p>
        </w:tc>
        <w:tc>
          <w:tcPr>
            <w:tcW w:w="6293" w:type="dxa"/>
            <w:vAlign w:val="center"/>
          </w:tcPr>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递交时间：</w:t>
            </w:r>
            <w:r>
              <w:rPr>
                <w:rFonts w:hint="default" w:ascii="Times New Roman" w:hAnsi="Times New Roman" w:eastAsia="方正仿宋_GBK" w:cs="Times New Roman"/>
                <w:color w:val="auto"/>
                <w:sz w:val="24"/>
                <w:szCs w:val="24"/>
              </w:rPr>
              <w:t xml:space="preserve"> </w:t>
            </w:r>
            <w:r>
              <w:rPr>
                <w:rFonts w:hint="default" w:ascii="Times New Roman" w:hAnsi="Times New Roman" w:eastAsia="方正仿宋_GBK" w:cs="Times New Roman"/>
                <w:color w:val="auto"/>
                <w:sz w:val="24"/>
                <w:szCs w:val="24"/>
                <w:lang w:eastAsia="zh-CN"/>
              </w:rPr>
              <w:t>于</w:t>
            </w:r>
            <w:r>
              <w:rPr>
                <w:rFonts w:hint="eastAsia" w:eastAsia="方正仿宋_GBK" w:cs="Times New Roman"/>
                <w:color w:val="auto"/>
                <w:sz w:val="24"/>
                <w:szCs w:val="24"/>
                <w:lang w:val="en-US" w:eastAsia="zh-CN"/>
              </w:rPr>
              <w:t>2021</w:t>
            </w:r>
            <w:r>
              <w:rPr>
                <w:rFonts w:hint="default" w:ascii="Times New Roman" w:hAnsi="Times New Roman" w:eastAsia="方正仿宋_GBK" w:cs="Times New Roman"/>
                <w:color w:val="auto"/>
                <w:sz w:val="24"/>
                <w:szCs w:val="24"/>
              </w:rPr>
              <w:t>年</w:t>
            </w:r>
            <w:r>
              <w:rPr>
                <w:rFonts w:hint="eastAsia" w:eastAsia="方正仿宋_GBK" w:cs="Times New Roman"/>
                <w:color w:val="auto"/>
                <w:sz w:val="24"/>
                <w:szCs w:val="24"/>
                <w:lang w:val="en-US" w:eastAsia="zh-CN"/>
              </w:rPr>
              <w:t>6</w:t>
            </w:r>
            <w:r>
              <w:rPr>
                <w:rFonts w:hint="default" w:ascii="Times New Roman" w:hAnsi="Times New Roman" w:eastAsia="方正仿宋_GBK" w:cs="Times New Roman"/>
                <w:color w:val="auto"/>
                <w:sz w:val="24"/>
                <w:szCs w:val="24"/>
              </w:rPr>
              <w:t>月</w:t>
            </w:r>
            <w:r>
              <w:rPr>
                <w:rFonts w:hint="eastAsia" w:eastAsia="方正仿宋_GBK" w:cs="Times New Roman"/>
                <w:color w:val="auto"/>
                <w:sz w:val="24"/>
                <w:szCs w:val="24"/>
                <w:lang w:val="en-US" w:eastAsia="zh-CN"/>
              </w:rPr>
              <w:t xml:space="preserve"> </w:t>
            </w:r>
            <w:r>
              <w:rPr>
                <w:rFonts w:hint="default" w:ascii="Times New Roman" w:hAnsi="Times New Roman" w:eastAsia="方正仿宋_GBK" w:cs="Times New Roman"/>
                <w:color w:val="auto"/>
                <w:sz w:val="24"/>
                <w:szCs w:val="24"/>
              </w:rPr>
              <w:t>日</w:t>
            </w:r>
            <w:r>
              <w:rPr>
                <w:rFonts w:hint="eastAsia" w:eastAsia="方正仿宋_GBK" w:cs="Times New Roman"/>
                <w:color w:val="auto"/>
                <w:sz w:val="24"/>
                <w:szCs w:val="24"/>
                <w:lang w:val="en-US" w:eastAsia="zh-CN"/>
              </w:rPr>
              <w:t>9</w:t>
            </w:r>
            <w:r>
              <w:rPr>
                <w:rFonts w:hint="default" w:ascii="Times New Roman" w:hAnsi="Times New Roman" w:eastAsia="方正仿宋_GBK" w:cs="Times New Roman"/>
                <w:color w:val="auto"/>
                <w:sz w:val="24"/>
                <w:szCs w:val="24"/>
              </w:rPr>
              <w:t>时</w:t>
            </w:r>
            <w:r>
              <w:rPr>
                <w:rFonts w:hint="eastAsia" w:eastAsia="方正仿宋_GBK" w:cs="Times New Roman"/>
                <w:color w:val="auto"/>
                <w:sz w:val="24"/>
                <w:szCs w:val="24"/>
                <w:lang w:val="en-US" w:eastAsia="zh-CN"/>
              </w:rPr>
              <w:t>30</w:t>
            </w:r>
            <w:r>
              <w:rPr>
                <w:rFonts w:hint="default" w:ascii="Times New Roman" w:hAnsi="Times New Roman" w:eastAsia="方正仿宋_GBK" w:cs="Times New Roman"/>
                <w:color w:val="auto"/>
                <w:sz w:val="24"/>
                <w:szCs w:val="24"/>
              </w:rPr>
              <w:t>分</w:t>
            </w:r>
            <w:r>
              <w:rPr>
                <w:rFonts w:hint="default" w:ascii="Times New Roman" w:hAnsi="Times New Roman" w:eastAsia="方正仿宋_GBK" w:cs="Times New Roman"/>
                <w:color w:val="auto"/>
                <w:sz w:val="24"/>
                <w:szCs w:val="24"/>
                <w:lang w:eastAsia="zh-CN"/>
              </w:rPr>
              <w:t>截止</w:t>
            </w:r>
            <w:r>
              <w:rPr>
                <w:rFonts w:hint="default" w:ascii="Times New Roman" w:hAnsi="Times New Roman" w:eastAsia="方正仿宋_GBK" w:cs="Times New Roman"/>
                <w:color w:val="auto"/>
                <w:sz w:val="24"/>
                <w:szCs w:val="24"/>
              </w:rPr>
              <w:t xml:space="preserve">。  </w:t>
            </w:r>
            <w:r>
              <w:rPr>
                <w:rFonts w:hint="default" w:ascii="Times New Roman" w:hAnsi="Times New Roman" w:eastAsia="方正仿宋_GBK" w:cs="Times New Roman"/>
                <w:color w:val="auto"/>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递交地点：重庆市北部新区泰山大道东段梧桐路6号（交通开投大厦</w:t>
            </w:r>
            <w:r>
              <w:rPr>
                <w:rFonts w:hint="eastAsia" w:eastAsia="方正仿宋_GBK" w:cs="Times New Roman"/>
                <w:color w:val="auto"/>
                <w:sz w:val="24"/>
                <w:szCs w:val="24"/>
                <w:lang w:val="en-US" w:eastAsia="zh-CN"/>
              </w:rPr>
              <w:t>1107</w:t>
            </w:r>
            <w:r>
              <w:rPr>
                <w:rFonts w:hint="default" w:ascii="Times New Roman" w:hAnsi="Times New Roman" w:eastAsia="方正仿宋_GBK" w:cs="Times New Roman"/>
                <w:color w:val="auto"/>
                <w:sz w:val="24"/>
                <w:szCs w:val="24"/>
              </w:rPr>
              <w:t>室）</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lang w:val="en-US" w:eastAsia="zh-CN"/>
              </w:rPr>
              <w:t>比选时间：</w:t>
            </w:r>
            <w:r>
              <w:rPr>
                <w:rFonts w:hint="default" w:ascii="Times New Roman" w:hAnsi="Times New Roman" w:eastAsia="方正仿宋_GBK" w:cs="Times New Roman"/>
                <w:color w:val="auto"/>
                <w:sz w:val="24"/>
                <w:szCs w:val="24"/>
              </w:rPr>
              <w:t xml:space="preserve"> </w:t>
            </w:r>
            <w:r>
              <w:rPr>
                <w:rFonts w:hint="default" w:ascii="Times New Roman" w:hAnsi="Times New Roman" w:eastAsia="方正仿宋_GBK" w:cs="Times New Roman"/>
                <w:color w:val="auto"/>
                <w:sz w:val="24"/>
                <w:szCs w:val="24"/>
                <w:lang w:eastAsia="zh-CN"/>
              </w:rPr>
              <w:t>于</w:t>
            </w:r>
            <w:r>
              <w:rPr>
                <w:rFonts w:hint="eastAsia" w:eastAsia="方正仿宋_GBK" w:cs="Times New Roman"/>
                <w:color w:val="auto"/>
                <w:sz w:val="24"/>
                <w:szCs w:val="24"/>
                <w:lang w:val="en-US" w:eastAsia="zh-CN"/>
              </w:rPr>
              <w:t>2021</w:t>
            </w:r>
            <w:r>
              <w:rPr>
                <w:rFonts w:hint="default" w:ascii="Times New Roman" w:hAnsi="Times New Roman" w:eastAsia="方正仿宋_GBK" w:cs="Times New Roman"/>
                <w:color w:val="auto"/>
                <w:sz w:val="24"/>
                <w:szCs w:val="24"/>
              </w:rPr>
              <w:t>年</w:t>
            </w:r>
            <w:r>
              <w:rPr>
                <w:rFonts w:hint="eastAsia" w:eastAsia="方正仿宋_GBK" w:cs="Times New Roman"/>
                <w:color w:val="auto"/>
                <w:sz w:val="24"/>
                <w:szCs w:val="24"/>
                <w:lang w:val="en-US" w:eastAsia="zh-CN"/>
              </w:rPr>
              <w:t>6</w:t>
            </w:r>
            <w:r>
              <w:rPr>
                <w:rFonts w:hint="default" w:ascii="Times New Roman" w:hAnsi="Times New Roman" w:eastAsia="方正仿宋_GBK" w:cs="Times New Roman"/>
                <w:color w:val="auto"/>
                <w:sz w:val="24"/>
                <w:szCs w:val="24"/>
              </w:rPr>
              <w:t>月</w:t>
            </w:r>
            <w:r>
              <w:rPr>
                <w:rFonts w:hint="eastAsia" w:eastAsia="方正仿宋_GBK" w:cs="Times New Roman"/>
                <w:color w:val="auto"/>
                <w:sz w:val="24"/>
                <w:szCs w:val="24"/>
                <w:lang w:val="en-US" w:eastAsia="zh-CN"/>
              </w:rPr>
              <w:t xml:space="preserve"> </w:t>
            </w:r>
            <w:r>
              <w:rPr>
                <w:rFonts w:hint="default" w:ascii="Times New Roman" w:hAnsi="Times New Roman" w:eastAsia="方正仿宋_GBK" w:cs="Times New Roman"/>
                <w:color w:val="auto"/>
                <w:sz w:val="24"/>
                <w:szCs w:val="24"/>
              </w:rPr>
              <w:t>日</w:t>
            </w:r>
            <w:r>
              <w:rPr>
                <w:rFonts w:hint="eastAsia" w:eastAsia="方正仿宋_GBK" w:cs="Times New Roman"/>
                <w:color w:val="auto"/>
                <w:sz w:val="24"/>
                <w:szCs w:val="24"/>
                <w:lang w:val="en-US" w:eastAsia="zh-CN"/>
              </w:rPr>
              <w:t>9</w:t>
            </w:r>
            <w:r>
              <w:rPr>
                <w:rFonts w:hint="default" w:ascii="Times New Roman" w:hAnsi="Times New Roman" w:eastAsia="方正仿宋_GBK" w:cs="Times New Roman"/>
                <w:color w:val="auto"/>
                <w:sz w:val="24"/>
                <w:szCs w:val="24"/>
              </w:rPr>
              <w:t>时</w:t>
            </w:r>
            <w:r>
              <w:rPr>
                <w:rFonts w:hint="eastAsia" w:eastAsia="方正仿宋_GBK" w:cs="Times New Roman"/>
                <w:color w:val="auto"/>
                <w:sz w:val="24"/>
                <w:szCs w:val="24"/>
                <w:lang w:val="en-US" w:eastAsia="zh-CN"/>
              </w:rPr>
              <w:t>30</w:t>
            </w:r>
            <w:r>
              <w:rPr>
                <w:rFonts w:hint="default" w:ascii="Times New Roman" w:hAnsi="Times New Roman" w:eastAsia="方正仿宋_GBK" w:cs="Times New Roman"/>
                <w:color w:val="auto"/>
                <w:sz w:val="24"/>
                <w:szCs w:val="24"/>
              </w:rPr>
              <w:t>分</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cs="Times New Roman"/>
                <w:color w:val="auto"/>
                <w:spacing w:val="0"/>
                <w:w w:val="100"/>
                <w:sz w:val="24"/>
                <w:szCs w:val="24"/>
                <w:vertAlign w:val="baseline"/>
              </w:rPr>
            </w:pPr>
            <w:r>
              <w:rPr>
                <w:rFonts w:hint="default" w:ascii="Times New Roman" w:hAnsi="Times New Roman" w:eastAsia="方正仿宋_GBK" w:cs="Times New Roman"/>
                <w:color w:val="auto"/>
                <w:sz w:val="24"/>
                <w:szCs w:val="24"/>
                <w:lang w:val="en-US" w:eastAsia="zh-CN"/>
              </w:rPr>
              <w:t xml:space="preserve">    比选</w:t>
            </w:r>
            <w:r>
              <w:rPr>
                <w:rFonts w:hint="default" w:ascii="Times New Roman" w:hAnsi="Times New Roman" w:eastAsia="方正仿宋_GBK" w:cs="Times New Roman"/>
                <w:color w:val="auto"/>
                <w:sz w:val="24"/>
                <w:szCs w:val="24"/>
              </w:rPr>
              <w:t>文件份数：</w:t>
            </w:r>
            <w:r>
              <w:rPr>
                <w:rFonts w:hint="default" w:ascii="Times New Roman" w:hAnsi="Times New Roman" w:eastAsia="方正仿宋_GBK" w:cs="Times New Roman"/>
                <w:color w:val="auto"/>
                <w:sz w:val="24"/>
                <w:szCs w:val="24"/>
                <w:lang w:eastAsia="zh-CN"/>
              </w:rPr>
              <w:t>正本</w:t>
            </w:r>
            <w:r>
              <w:rPr>
                <w:rFonts w:hint="eastAsia" w:eastAsia="方正仿宋_GBK" w:cs="Times New Roman"/>
                <w:color w:val="auto"/>
                <w:sz w:val="24"/>
                <w:szCs w:val="24"/>
                <w:lang w:val="en-US" w:eastAsia="zh-CN"/>
              </w:rPr>
              <w:t>1</w:t>
            </w:r>
            <w:r>
              <w:rPr>
                <w:rFonts w:hint="default" w:ascii="Times New Roman" w:hAnsi="Times New Roman" w:eastAsia="方正仿宋_GBK" w:cs="Times New Roman"/>
                <w:color w:val="auto"/>
                <w:sz w:val="24"/>
                <w:szCs w:val="24"/>
                <w:lang w:val="en-US" w:eastAsia="zh-CN"/>
              </w:rPr>
              <w:t>份，副本</w:t>
            </w:r>
            <w:r>
              <w:rPr>
                <w:rFonts w:hint="eastAsia" w:eastAsia="方正仿宋_GBK" w:cs="Times New Roman"/>
                <w:color w:val="auto"/>
                <w:sz w:val="24"/>
                <w:szCs w:val="24"/>
                <w:lang w:val="en-US" w:eastAsia="zh-CN"/>
              </w:rPr>
              <w:t>0</w:t>
            </w:r>
            <w:r>
              <w:rPr>
                <w:rFonts w:hint="default" w:ascii="Times New Roman" w:hAnsi="Times New Roman" w:eastAsia="方正仿宋_GBK" w:cs="Times New Roman"/>
                <w:color w:val="auto"/>
                <w:sz w:val="24"/>
                <w:szCs w:val="24"/>
                <w:lang w:val="en-US" w:eastAsia="zh-CN"/>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229" w:type="dxa"/>
            <w:vMerge w:val="restart"/>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cs="Times New Roman"/>
                <w:color w:val="auto"/>
                <w:spacing w:val="0"/>
                <w:w w:val="100"/>
                <w:sz w:val="24"/>
                <w:szCs w:val="24"/>
                <w:vertAlign w:val="baseline"/>
              </w:rPr>
            </w:pPr>
            <w:r>
              <w:rPr>
                <w:rFonts w:hint="default" w:ascii="Times New Roman" w:hAnsi="Times New Roman" w:eastAsia="仿宋_GB2312" w:cs="Times New Roman"/>
                <w:color w:val="auto"/>
                <w:sz w:val="28"/>
                <w:szCs w:val="28"/>
                <w:lang w:val="en-US" w:eastAsia="zh-CN"/>
              </w:rPr>
              <w:t>★</w:t>
            </w:r>
            <w:r>
              <w:rPr>
                <w:rFonts w:hint="default" w:ascii="Times New Roman" w:hAnsi="Times New Roman" w:eastAsia="方正仿宋_GBK" w:cs="Times New Roman"/>
                <w:color w:val="auto"/>
                <w:sz w:val="24"/>
                <w:szCs w:val="24"/>
                <w:lang w:val="en-US" w:eastAsia="zh-CN"/>
              </w:rPr>
              <w:t>限价及比选报价要求</w:t>
            </w:r>
          </w:p>
        </w:tc>
        <w:tc>
          <w:tcPr>
            <w:tcW w:w="629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firstLine="560"/>
              <w:jc w:val="both"/>
              <w:textAlignment w:val="auto"/>
              <w:outlineLvl w:val="9"/>
              <w:rPr>
                <w:rFonts w:hint="default" w:ascii="Times New Roman" w:hAnsi="Times New Roman" w:cs="Times New Roman"/>
                <w:color w:val="auto"/>
                <w:spacing w:val="0"/>
                <w:w w:val="100"/>
                <w:sz w:val="24"/>
                <w:szCs w:val="24"/>
                <w:vertAlign w:val="baseline"/>
              </w:rPr>
            </w:pPr>
            <w:r>
              <w:rPr>
                <w:rFonts w:hint="default" w:ascii="Times New Roman" w:hAnsi="Times New Roman" w:eastAsia="方正仿宋_GBK" w:cs="Times New Roman"/>
                <w:color w:val="auto"/>
                <w:sz w:val="24"/>
                <w:szCs w:val="24"/>
                <w:lang w:val="en-US" w:eastAsia="zh-CN"/>
              </w:rPr>
              <w:t>本次比选以正信伟业工程咨询管理有限公司出具的《陈庹路公交站场电梯采购工程限价编制报告书》明确金额142万元作为限价。本次比选为一次性最终报价，不再议价</w:t>
            </w:r>
            <w:r>
              <w:rPr>
                <w:rFonts w:hint="default" w:ascii="Times New Roman" w:hAnsi="Times New Roman" w:eastAsia="方正仿宋_GBK" w:cs="Times New Roman"/>
                <w:color w:val="auto"/>
                <w:sz w:val="24"/>
                <w:szCs w:val="24"/>
                <w:lang w:eastAsia="zh-CN"/>
              </w:rPr>
              <w:t>。</w:t>
            </w:r>
            <w:r>
              <w:rPr>
                <w:rFonts w:hint="default" w:ascii="Times New Roman" w:hAnsi="Times New Roman" w:eastAsia="方正仿宋_GBK" w:cs="Times New Roman"/>
                <w:color w:val="auto"/>
                <w:sz w:val="24"/>
                <w:szCs w:val="24"/>
              </w:rPr>
              <w:t>请</w:t>
            </w:r>
            <w:r>
              <w:rPr>
                <w:rFonts w:hint="eastAsia" w:eastAsia="方正仿宋_GBK" w:cs="Times New Roman"/>
                <w:color w:val="auto"/>
                <w:sz w:val="24"/>
                <w:szCs w:val="24"/>
                <w:lang w:eastAsia="zh-CN"/>
              </w:rPr>
              <w:t>竞选人</w:t>
            </w:r>
            <w:r>
              <w:rPr>
                <w:rFonts w:hint="default" w:ascii="Times New Roman" w:hAnsi="Times New Roman" w:eastAsia="方正仿宋_GBK" w:cs="Times New Roman"/>
                <w:color w:val="auto"/>
                <w:sz w:val="24"/>
                <w:szCs w:val="24"/>
              </w:rPr>
              <w:t>根据自身情况自主报价</w:t>
            </w:r>
            <w:r>
              <w:rPr>
                <w:rFonts w:hint="default" w:ascii="Times New Roman" w:hAnsi="Times New Roman" w:eastAsia="方正仿宋_GBK" w:cs="Times New Roman"/>
                <w:color w:val="auto"/>
                <w:sz w:val="24"/>
                <w:szCs w:val="24"/>
                <w:lang w:eastAsia="zh-CN"/>
              </w:rPr>
              <w:t>，</w:t>
            </w:r>
            <w:r>
              <w:rPr>
                <w:rFonts w:hint="default" w:ascii="Times New Roman" w:hAnsi="Times New Roman" w:eastAsia="方正仿宋_GBK" w:cs="Times New Roman"/>
                <w:color w:val="auto"/>
                <w:sz w:val="24"/>
                <w:szCs w:val="24"/>
                <w:lang w:val="en-US" w:eastAsia="zh-CN"/>
              </w:rPr>
              <w:t>报价超过该限价的为否决比选。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229" w:type="dxa"/>
            <w:vMerge w:val="continue"/>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cs="Times New Roman"/>
                <w:color w:val="auto"/>
                <w:spacing w:val="0"/>
                <w:w w:val="100"/>
                <w:sz w:val="24"/>
                <w:szCs w:val="24"/>
                <w:vertAlign w:val="baseline"/>
              </w:rPr>
            </w:pPr>
          </w:p>
        </w:tc>
        <w:tc>
          <w:tcPr>
            <w:tcW w:w="6293" w:type="dxa"/>
            <w:vAlign w:val="center"/>
          </w:tcPr>
          <w:p>
            <w:pPr>
              <w:keepNext w:val="0"/>
              <w:keepLines w:val="0"/>
              <w:pageBreakBefore w:val="0"/>
              <w:widowControl w:val="0"/>
              <w:kinsoku/>
              <w:wordWrap/>
              <w:overflowPunct/>
              <w:topLinePunct w:val="0"/>
              <w:autoSpaceDE/>
              <w:autoSpaceDN/>
              <w:bidi w:val="0"/>
              <w:adjustRightInd/>
              <w:snapToGrid/>
              <w:spacing w:line="440" w:lineRule="exact"/>
              <w:ind w:firstLine="560" w:firstLineChars="0"/>
              <w:textAlignment w:val="auto"/>
              <w:outlineLvl w:val="9"/>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本次比选为“交钥匙工程”,采用总价包干方式，</w:t>
            </w:r>
            <w:r>
              <w:rPr>
                <w:rFonts w:hint="eastAsia" w:eastAsia="方正仿宋_GBK" w:cs="Times New Roman"/>
                <w:color w:val="auto"/>
                <w:sz w:val="24"/>
                <w:szCs w:val="24"/>
                <w:lang w:val="en-US" w:eastAsia="zh-CN"/>
              </w:rPr>
              <w:t>竞选人</w:t>
            </w:r>
            <w:r>
              <w:rPr>
                <w:rFonts w:hint="default" w:ascii="Times New Roman" w:hAnsi="Times New Roman" w:eastAsia="方正仿宋_GBK" w:cs="Times New Roman"/>
                <w:color w:val="auto"/>
                <w:sz w:val="24"/>
                <w:szCs w:val="24"/>
                <w:lang w:val="en-US" w:eastAsia="zh-CN"/>
              </w:rPr>
              <w:t>须完成本比选文件所包含的全部工程。包括电梯供货及安装、调试、验收、24个月免费保修期内维修、保养（含零部件更换）及年度检测费、以及附属项目等（即必须符合最新执行的国家规定的相关《电梯的制造与安装安全规范》并交付招标人使用的“交钥匙工程”）的全部费用，包括但不限于：设计费、制造费、材料采购费、备品、备件及专用工器具费、设备预（组）装费、出厂前测试和检测费、检验费、包装费、装卸费、搬运费、运达需方现场的保险及运费、进口部件的关税、专利费、以及设备安装（含安装开工申报、五方通话安装、轿厢内的视频监控安装、动力配电箱至电梯控制箱（柜）的线缆敷设（含线、管\桥架）费、调试费、试运行费、安装完毕检测申报、取得安装监督检验合格报告及特种设备使用标志费、验收前的管理、开通使用前每台设备的开荒清洁费、竣工验收、人员操作培训费、技术资料提交、技术服务费、成品保护费、安全文明施工费、企业管理费、利润、保险费、风险费、规费、增值税以及招标范围内所有附属项目（包括但不限于：井道及底坑整改（除结构改造外）、井道安全护栏、底坑垃圾、外呼面板及指示板底盒开凿（每层每站）、外呼盒电缆孔洞开凿（每层每站）、电梯安装完成之后厅门收边收口、配合消防验收（联动）、备案，直至取得运行许可证并交付给招标人使用的相关费用等），均须包括在投标单台设备单价报价内。另还需包含下述费用：</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0"/>
              <w:textAlignment w:val="auto"/>
              <w:outlineLvl w:val="9"/>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1.井道测量、预埋件、井道照明及检修所需的开关、插座、管、线、灯全部设备的供应和安装、井道搭架、安全设施等。且</w:t>
            </w:r>
            <w:r>
              <w:rPr>
                <w:rFonts w:hint="eastAsia" w:eastAsia="方正仿宋_GBK" w:cs="Times New Roman"/>
                <w:color w:val="auto"/>
                <w:sz w:val="24"/>
                <w:szCs w:val="24"/>
                <w:lang w:val="en-US" w:eastAsia="zh-CN"/>
              </w:rPr>
              <w:t>竞选人</w:t>
            </w:r>
            <w:r>
              <w:rPr>
                <w:rFonts w:hint="default" w:ascii="Times New Roman" w:hAnsi="Times New Roman" w:eastAsia="方正仿宋_GBK" w:cs="Times New Roman"/>
                <w:color w:val="auto"/>
                <w:sz w:val="24"/>
                <w:szCs w:val="24"/>
                <w:lang w:val="en-US" w:eastAsia="zh-CN"/>
              </w:rPr>
              <w:t>对招标人提供的电梯井道、机房的相关土建图纸应充分了解、研究，土建若有设计缺陷、缺漏的预埋件和材料等，以及现有井道、底坑土建尺寸不满足安装要求，无预留孔洞的整改（除结构改造外）均由</w:t>
            </w:r>
            <w:r>
              <w:rPr>
                <w:rFonts w:hint="eastAsia" w:eastAsia="方正仿宋_GBK" w:cs="Times New Roman"/>
                <w:color w:val="auto"/>
                <w:sz w:val="24"/>
                <w:szCs w:val="24"/>
                <w:lang w:val="en-US" w:eastAsia="zh-CN"/>
              </w:rPr>
              <w:t>竞选人</w:t>
            </w:r>
            <w:r>
              <w:rPr>
                <w:rFonts w:hint="default" w:ascii="Times New Roman" w:hAnsi="Times New Roman" w:eastAsia="方正仿宋_GBK" w:cs="Times New Roman"/>
                <w:color w:val="auto"/>
                <w:sz w:val="24"/>
                <w:szCs w:val="24"/>
                <w:lang w:val="en-US" w:eastAsia="zh-CN"/>
              </w:rPr>
              <w:t>统筹考虑完善，所需费用计入单台设备单价报价中，中标后不予增补，包干使用，合同另有约定除外。</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0"/>
              <w:textAlignment w:val="auto"/>
              <w:outlineLvl w:val="9"/>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2．各</w:t>
            </w:r>
            <w:r>
              <w:rPr>
                <w:rFonts w:hint="eastAsia" w:eastAsia="方正仿宋_GBK" w:cs="Times New Roman"/>
                <w:color w:val="auto"/>
                <w:sz w:val="24"/>
                <w:szCs w:val="24"/>
                <w:lang w:val="en-US" w:eastAsia="zh-CN"/>
              </w:rPr>
              <w:t>竞选人</w:t>
            </w:r>
            <w:r>
              <w:rPr>
                <w:rFonts w:hint="default" w:ascii="Times New Roman" w:hAnsi="Times New Roman" w:eastAsia="方正仿宋_GBK" w:cs="Times New Roman"/>
                <w:color w:val="auto"/>
                <w:sz w:val="24"/>
                <w:szCs w:val="24"/>
                <w:lang w:val="en-US" w:eastAsia="zh-CN"/>
              </w:rPr>
              <w:t>应对本</w:t>
            </w:r>
            <w:r>
              <w:rPr>
                <w:rFonts w:hint="eastAsia" w:eastAsia="方正仿宋_GBK" w:cs="Times New Roman"/>
                <w:color w:val="auto"/>
                <w:sz w:val="24"/>
                <w:szCs w:val="24"/>
                <w:lang w:val="en-US" w:eastAsia="zh-CN"/>
              </w:rPr>
              <w:t>比选</w:t>
            </w:r>
            <w:r>
              <w:rPr>
                <w:rFonts w:hint="default" w:ascii="Times New Roman" w:hAnsi="Times New Roman" w:eastAsia="方正仿宋_GBK" w:cs="Times New Roman"/>
                <w:color w:val="auto"/>
                <w:sz w:val="24"/>
                <w:szCs w:val="24"/>
                <w:lang w:val="en-US" w:eastAsia="zh-CN"/>
              </w:rPr>
              <w:t>范围内的所有工程内容进行报价，报价应涵盖为实施本工程而发生的所有成本和费用。应考虑本工程，明显或隐含的风险与责任，由此产生的所有费用，以及按有关规定须缴纳的各种税费均应包含在单台设备单价报价中。招标人将不再支付任何其他费用。</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0"/>
              <w:textAlignment w:val="auto"/>
              <w:outlineLvl w:val="9"/>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3．</w:t>
            </w:r>
            <w:r>
              <w:rPr>
                <w:rFonts w:hint="eastAsia" w:eastAsia="方正仿宋_GBK" w:cs="Times New Roman"/>
                <w:color w:val="auto"/>
                <w:sz w:val="24"/>
                <w:szCs w:val="24"/>
                <w:lang w:val="en-US" w:eastAsia="zh-CN"/>
              </w:rPr>
              <w:t>竞选人</w:t>
            </w:r>
            <w:r>
              <w:rPr>
                <w:rFonts w:hint="default" w:ascii="Times New Roman" w:hAnsi="Times New Roman" w:eastAsia="方正仿宋_GBK" w:cs="Times New Roman"/>
                <w:color w:val="auto"/>
                <w:sz w:val="24"/>
                <w:szCs w:val="24"/>
                <w:lang w:val="en-US" w:eastAsia="zh-CN"/>
              </w:rPr>
              <w:t>的施工措施包括但不限于（含踏勘现场后根据现场实际情况考虑需采取的吊装就位措施、场外以及枢纽既有建筑内的二次、多次转运措施）、工作平台、水平及垂直运输、施工临时用水用电、临时设施、设备运至施工现场，因工程进度影响不能及时安装，由招标人指定场地，由</w:t>
            </w:r>
            <w:r>
              <w:rPr>
                <w:rFonts w:hint="eastAsia" w:eastAsia="方正仿宋_GBK" w:cs="Times New Roman"/>
                <w:color w:val="auto"/>
                <w:sz w:val="24"/>
                <w:szCs w:val="24"/>
                <w:lang w:val="en-US" w:eastAsia="zh-CN"/>
              </w:rPr>
              <w:t>竞选人</w:t>
            </w:r>
            <w:r>
              <w:rPr>
                <w:rFonts w:hint="default" w:ascii="Times New Roman" w:hAnsi="Times New Roman" w:eastAsia="方正仿宋_GBK" w:cs="Times New Roman"/>
                <w:color w:val="auto"/>
                <w:sz w:val="24"/>
                <w:szCs w:val="24"/>
                <w:lang w:val="en-US" w:eastAsia="zh-CN"/>
              </w:rPr>
              <w:t>自行保管产生的现场保管仓储费用、环保、设计联络、成品及半成品的保护、为保证交货期而采取的赶工措施费、工完场清的垃圾外运费、配合联合调试的相关工作项目、满足运营要求的设备标志标牌文件及图纸资料等所有费用均应包含在单台设备单价报价中，中标后不作调整。</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0"/>
              <w:textAlignment w:val="auto"/>
              <w:outlineLvl w:val="9"/>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4.</w:t>
            </w:r>
            <w:r>
              <w:rPr>
                <w:rFonts w:hint="eastAsia" w:eastAsia="方正仿宋_GBK" w:cs="Times New Roman"/>
                <w:color w:val="auto"/>
                <w:sz w:val="24"/>
                <w:szCs w:val="24"/>
                <w:lang w:val="en-US" w:eastAsia="zh-CN"/>
              </w:rPr>
              <w:t>竞选人</w:t>
            </w:r>
            <w:r>
              <w:rPr>
                <w:rFonts w:hint="default" w:ascii="Times New Roman" w:hAnsi="Times New Roman" w:eastAsia="方正仿宋_GBK" w:cs="Times New Roman"/>
                <w:color w:val="auto"/>
                <w:sz w:val="24"/>
                <w:szCs w:val="24"/>
                <w:lang w:val="en-US" w:eastAsia="zh-CN"/>
              </w:rPr>
              <w:t>自行承担材料涨跌风险，相应费用自行考虑计入本次投标报价内，中</w:t>
            </w:r>
            <w:r>
              <w:rPr>
                <w:rFonts w:hint="eastAsia" w:eastAsia="方正仿宋_GBK" w:cs="Times New Roman"/>
                <w:color w:val="auto"/>
                <w:sz w:val="24"/>
                <w:szCs w:val="24"/>
                <w:lang w:val="en-US" w:eastAsia="zh-CN"/>
              </w:rPr>
              <w:t>标</w:t>
            </w:r>
            <w:r>
              <w:rPr>
                <w:rFonts w:hint="default" w:ascii="Times New Roman" w:hAnsi="Times New Roman" w:eastAsia="方正仿宋_GBK" w:cs="Times New Roman"/>
                <w:color w:val="auto"/>
                <w:sz w:val="24"/>
                <w:szCs w:val="24"/>
                <w:lang w:val="en-US" w:eastAsia="zh-CN"/>
              </w:rPr>
              <w:t>后</w:t>
            </w:r>
            <w:r>
              <w:rPr>
                <w:rFonts w:hint="eastAsia" w:eastAsia="方正仿宋_GBK" w:cs="Times New Roman"/>
                <w:color w:val="auto"/>
                <w:sz w:val="24"/>
                <w:szCs w:val="24"/>
                <w:lang w:val="en-US" w:eastAsia="zh-CN"/>
              </w:rPr>
              <w:t>招标人</w:t>
            </w:r>
            <w:r>
              <w:rPr>
                <w:rFonts w:hint="default" w:ascii="Times New Roman" w:hAnsi="Times New Roman" w:eastAsia="方正仿宋_GBK" w:cs="Times New Roman"/>
                <w:color w:val="auto"/>
                <w:sz w:val="24"/>
                <w:szCs w:val="24"/>
                <w:lang w:val="en-US" w:eastAsia="zh-CN"/>
              </w:rPr>
              <w:t>不再支付任何相关费用。</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0"/>
              <w:textAlignment w:val="auto"/>
              <w:outlineLvl w:val="9"/>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5.本次招标时招标人提供的井道尺寸若有超高、超宽需增加的支架和轨道等材料费用由</w:t>
            </w:r>
            <w:r>
              <w:rPr>
                <w:rFonts w:hint="eastAsia" w:eastAsia="方正仿宋_GBK" w:cs="Times New Roman"/>
                <w:color w:val="auto"/>
                <w:sz w:val="24"/>
                <w:szCs w:val="24"/>
                <w:lang w:val="en-US" w:eastAsia="zh-CN"/>
              </w:rPr>
              <w:t>竞选人</w:t>
            </w:r>
            <w:r>
              <w:rPr>
                <w:rFonts w:hint="default" w:ascii="Times New Roman" w:hAnsi="Times New Roman" w:eastAsia="方正仿宋_GBK" w:cs="Times New Roman"/>
                <w:color w:val="auto"/>
                <w:sz w:val="24"/>
                <w:szCs w:val="24"/>
                <w:lang w:val="en-US" w:eastAsia="zh-CN"/>
              </w:rPr>
              <w:t>自行考虑计入本次投标单台设备单价报价内，中标后不得再向招标人收取任何费用。</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0"/>
              <w:textAlignment w:val="auto"/>
              <w:outlineLvl w:val="9"/>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6.安装调试完毕后，因实际装修标高发生变化时，需重新调整厅门地嵌高度，由此产生的调试费用包含在投标单台设备单价报价内</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0"/>
              <w:textAlignment w:val="auto"/>
              <w:outlineLvl w:val="9"/>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7.各</w:t>
            </w:r>
            <w:r>
              <w:rPr>
                <w:rFonts w:hint="eastAsia" w:eastAsia="方正仿宋_GBK" w:cs="Times New Roman"/>
                <w:color w:val="auto"/>
                <w:sz w:val="24"/>
                <w:szCs w:val="24"/>
                <w:lang w:val="en-US" w:eastAsia="zh-CN"/>
              </w:rPr>
              <w:t>竞选人</w:t>
            </w:r>
            <w:r>
              <w:rPr>
                <w:rFonts w:hint="default" w:ascii="Times New Roman" w:hAnsi="Times New Roman" w:eastAsia="方正仿宋_GBK" w:cs="Times New Roman"/>
                <w:color w:val="auto"/>
                <w:sz w:val="24"/>
                <w:szCs w:val="24"/>
                <w:lang w:val="en-US" w:eastAsia="zh-CN"/>
              </w:rPr>
              <w:t>须仔细踏勘现场，结合实际，要确保施工质量、施工进度和施工安全，充分考虑并行工程施工的配合、工序工作等，其配合费由</w:t>
            </w:r>
            <w:r>
              <w:rPr>
                <w:rFonts w:hint="eastAsia" w:eastAsia="方正仿宋_GBK" w:cs="Times New Roman"/>
                <w:color w:val="auto"/>
                <w:sz w:val="24"/>
                <w:szCs w:val="24"/>
                <w:lang w:val="en-US" w:eastAsia="zh-CN"/>
              </w:rPr>
              <w:t>竞选人</w:t>
            </w:r>
            <w:r>
              <w:rPr>
                <w:rFonts w:hint="default" w:ascii="Times New Roman" w:hAnsi="Times New Roman" w:eastAsia="方正仿宋_GBK" w:cs="Times New Roman"/>
                <w:color w:val="auto"/>
                <w:sz w:val="24"/>
                <w:szCs w:val="24"/>
                <w:lang w:val="en-US" w:eastAsia="zh-CN"/>
              </w:rPr>
              <w:t>自行考虑计入本次投标单台设备单价报价中，中标后不得再向招标人收取任何费用。</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0"/>
              <w:textAlignment w:val="auto"/>
              <w:outlineLvl w:val="9"/>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8．凡本招标文件要求或允许进行报价的各项费用项目，若</w:t>
            </w:r>
            <w:r>
              <w:rPr>
                <w:rFonts w:hint="eastAsia" w:eastAsia="方正仿宋_GBK" w:cs="Times New Roman"/>
                <w:color w:val="auto"/>
                <w:sz w:val="24"/>
                <w:szCs w:val="24"/>
                <w:lang w:val="en-US" w:eastAsia="zh-CN"/>
              </w:rPr>
              <w:t>竞选人</w:t>
            </w:r>
            <w:r>
              <w:rPr>
                <w:rFonts w:hint="default" w:ascii="Times New Roman" w:hAnsi="Times New Roman" w:eastAsia="方正仿宋_GBK" w:cs="Times New Roman"/>
                <w:color w:val="auto"/>
                <w:sz w:val="24"/>
                <w:szCs w:val="24"/>
                <w:lang w:val="en-US" w:eastAsia="zh-CN"/>
              </w:rPr>
              <w:t>投标时未报，将被视为这些费用已包含在投标单台设备单价报价中。</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0"/>
              <w:textAlignment w:val="auto"/>
              <w:outlineLvl w:val="9"/>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9.</w:t>
            </w:r>
            <w:r>
              <w:rPr>
                <w:rFonts w:hint="eastAsia" w:eastAsia="方正仿宋_GBK" w:cs="Times New Roman"/>
                <w:color w:val="auto"/>
                <w:sz w:val="24"/>
                <w:szCs w:val="24"/>
                <w:lang w:val="en-US" w:eastAsia="zh-CN"/>
              </w:rPr>
              <w:t>竞选人</w:t>
            </w:r>
            <w:r>
              <w:rPr>
                <w:rFonts w:hint="default" w:ascii="Times New Roman" w:hAnsi="Times New Roman" w:eastAsia="方正仿宋_GBK" w:cs="Times New Roman"/>
                <w:color w:val="auto"/>
                <w:sz w:val="24"/>
                <w:szCs w:val="24"/>
                <w:lang w:val="en-US" w:eastAsia="zh-CN"/>
              </w:rPr>
              <w:t>必须保证中标后按照招标文件和发包人的要求保证培训质量，使得最终用户的相关技术人员完全掌握设备的操作和维护，</w:t>
            </w:r>
            <w:r>
              <w:rPr>
                <w:rFonts w:hint="eastAsia" w:eastAsia="方正仿宋_GBK" w:cs="Times New Roman"/>
                <w:color w:val="auto"/>
                <w:sz w:val="24"/>
                <w:szCs w:val="24"/>
                <w:lang w:val="en-US" w:eastAsia="zh-CN"/>
              </w:rPr>
              <w:t>竞选人</w:t>
            </w:r>
            <w:r>
              <w:rPr>
                <w:rFonts w:hint="default" w:ascii="Times New Roman" w:hAnsi="Times New Roman" w:eastAsia="方正仿宋_GBK" w:cs="Times New Roman"/>
                <w:color w:val="auto"/>
                <w:sz w:val="24"/>
                <w:szCs w:val="24"/>
                <w:lang w:val="en-US" w:eastAsia="zh-CN"/>
              </w:rPr>
              <w:t>必须保证中标后按照招标文件和发包人的要求履行免费保修期的服务，且培训费和免费保修期服务费已包含在投标单台设备单价报价中。</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0"/>
              <w:textAlignment w:val="auto"/>
              <w:outlineLvl w:val="9"/>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10．</w:t>
            </w:r>
            <w:r>
              <w:rPr>
                <w:rFonts w:hint="eastAsia" w:eastAsia="方正仿宋_GBK" w:cs="Times New Roman"/>
                <w:color w:val="auto"/>
                <w:sz w:val="24"/>
                <w:szCs w:val="24"/>
                <w:lang w:val="en-US" w:eastAsia="zh-CN"/>
              </w:rPr>
              <w:t>竞选人</w:t>
            </w:r>
            <w:r>
              <w:rPr>
                <w:rFonts w:hint="default" w:ascii="Times New Roman" w:hAnsi="Times New Roman" w:eastAsia="方正仿宋_GBK" w:cs="Times New Roman"/>
                <w:color w:val="auto"/>
                <w:sz w:val="24"/>
                <w:szCs w:val="24"/>
                <w:lang w:val="en-US" w:eastAsia="zh-CN"/>
              </w:rPr>
              <w:t>应严格按照招标文件中提供的报价格式进行报价；</w:t>
            </w:r>
            <w:r>
              <w:rPr>
                <w:rFonts w:hint="eastAsia" w:eastAsia="方正仿宋_GBK" w:cs="Times New Roman"/>
                <w:color w:val="auto"/>
                <w:sz w:val="24"/>
                <w:szCs w:val="24"/>
                <w:lang w:val="en-US" w:eastAsia="zh-CN"/>
              </w:rPr>
              <w:t>竞选人</w:t>
            </w:r>
            <w:r>
              <w:rPr>
                <w:rFonts w:hint="default" w:ascii="Times New Roman" w:hAnsi="Times New Roman" w:eastAsia="方正仿宋_GBK" w:cs="Times New Roman"/>
                <w:color w:val="auto"/>
                <w:sz w:val="24"/>
                <w:szCs w:val="24"/>
                <w:lang w:val="en-US" w:eastAsia="zh-CN"/>
              </w:rPr>
              <w:t>所报单台设备单价（含设备费及安装费）除合同另有约定外，不予调整，</w:t>
            </w:r>
            <w:r>
              <w:rPr>
                <w:rFonts w:hint="eastAsia" w:eastAsia="方正仿宋_GBK" w:cs="Times New Roman"/>
                <w:color w:val="auto"/>
                <w:sz w:val="24"/>
                <w:szCs w:val="24"/>
                <w:lang w:val="en-US" w:eastAsia="zh-CN"/>
              </w:rPr>
              <w:t>竞选人</w:t>
            </w:r>
            <w:r>
              <w:rPr>
                <w:rFonts w:hint="default" w:ascii="Times New Roman" w:hAnsi="Times New Roman" w:eastAsia="方正仿宋_GBK" w:cs="Times New Roman"/>
                <w:color w:val="auto"/>
                <w:sz w:val="24"/>
                <w:szCs w:val="24"/>
                <w:lang w:val="en-US" w:eastAsia="zh-CN"/>
              </w:rPr>
              <w:t>必须按此单价完成其服务。</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0"/>
              <w:textAlignment w:val="auto"/>
              <w:outlineLvl w:val="9"/>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 xml:space="preserve">11.农民工工伤险、安全文明施工费、规费不需单独立项计取，均含在相应投标单台设备单价报价中。 </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0"/>
              <w:textAlignment w:val="auto"/>
              <w:outlineLvl w:val="9"/>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12．</w:t>
            </w:r>
            <w:r>
              <w:rPr>
                <w:rFonts w:hint="eastAsia" w:eastAsia="方正仿宋_GBK" w:cs="Times New Roman"/>
                <w:color w:val="auto"/>
                <w:sz w:val="24"/>
                <w:szCs w:val="24"/>
                <w:lang w:val="en-US" w:eastAsia="zh-CN"/>
              </w:rPr>
              <w:t>竞选人</w:t>
            </w:r>
            <w:r>
              <w:rPr>
                <w:rFonts w:hint="default" w:ascii="Times New Roman" w:hAnsi="Times New Roman" w:eastAsia="方正仿宋_GBK" w:cs="Times New Roman"/>
                <w:color w:val="auto"/>
                <w:sz w:val="24"/>
                <w:szCs w:val="24"/>
                <w:lang w:val="en-US" w:eastAsia="zh-CN"/>
              </w:rPr>
              <w:t>设备险由</w:t>
            </w:r>
            <w:r>
              <w:rPr>
                <w:rFonts w:hint="eastAsia" w:eastAsia="方正仿宋_GBK" w:cs="Times New Roman"/>
                <w:color w:val="auto"/>
                <w:sz w:val="24"/>
                <w:szCs w:val="24"/>
                <w:lang w:val="en-US" w:eastAsia="zh-CN"/>
              </w:rPr>
              <w:t>竞选人</w:t>
            </w:r>
            <w:r>
              <w:rPr>
                <w:rFonts w:hint="default" w:ascii="Times New Roman" w:hAnsi="Times New Roman" w:eastAsia="方正仿宋_GBK" w:cs="Times New Roman"/>
                <w:color w:val="auto"/>
                <w:sz w:val="24"/>
                <w:szCs w:val="24"/>
                <w:lang w:val="en-US" w:eastAsia="zh-CN"/>
              </w:rPr>
              <w:t>自行投保，保险费由</w:t>
            </w:r>
            <w:r>
              <w:rPr>
                <w:rFonts w:hint="eastAsia" w:eastAsia="方正仿宋_GBK" w:cs="Times New Roman"/>
                <w:color w:val="auto"/>
                <w:sz w:val="24"/>
                <w:szCs w:val="24"/>
                <w:lang w:val="en-US" w:eastAsia="zh-CN"/>
              </w:rPr>
              <w:t>竞选人</w:t>
            </w:r>
            <w:r>
              <w:rPr>
                <w:rFonts w:hint="default" w:ascii="Times New Roman" w:hAnsi="Times New Roman" w:eastAsia="方正仿宋_GBK" w:cs="Times New Roman"/>
                <w:color w:val="auto"/>
                <w:sz w:val="24"/>
                <w:szCs w:val="24"/>
                <w:lang w:val="en-US" w:eastAsia="zh-CN"/>
              </w:rPr>
              <w:t>承担支付，并包含在投标单台设备单价报价中，不单独报价。</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0"/>
              <w:textAlignment w:val="auto"/>
              <w:outlineLvl w:val="9"/>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13.税费按营改增执行。本项目投标报价及结算原则均按“营改増”最新政策执行，请各</w:t>
            </w:r>
            <w:r>
              <w:rPr>
                <w:rFonts w:hint="eastAsia" w:eastAsia="方正仿宋_GBK" w:cs="Times New Roman"/>
                <w:color w:val="auto"/>
                <w:sz w:val="24"/>
                <w:szCs w:val="24"/>
                <w:lang w:val="en-US" w:eastAsia="zh-CN"/>
              </w:rPr>
              <w:t>竞选人</w:t>
            </w:r>
            <w:r>
              <w:rPr>
                <w:rFonts w:hint="default" w:ascii="Times New Roman" w:hAnsi="Times New Roman" w:eastAsia="方正仿宋_GBK" w:cs="Times New Roman"/>
                <w:color w:val="auto"/>
                <w:sz w:val="24"/>
                <w:szCs w:val="24"/>
                <w:lang w:val="en-US" w:eastAsia="zh-CN"/>
              </w:rPr>
              <w:t>参照相应的规定投标报价，并包含在相应投标单台设备单价报价中。</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0"/>
              <w:textAlignment w:val="auto"/>
              <w:outlineLvl w:val="9"/>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14.本工程暂列金额纳入总报价，</w:t>
            </w:r>
            <w:r>
              <w:rPr>
                <w:rFonts w:hint="eastAsia" w:eastAsia="方正仿宋_GBK" w:cs="Times New Roman"/>
                <w:color w:val="auto"/>
                <w:sz w:val="24"/>
                <w:szCs w:val="24"/>
                <w:lang w:val="en-US" w:eastAsia="zh-CN"/>
              </w:rPr>
              <w:t>竞选人</w:t>
            </w:r>
            <w:r>
              <w:rPr>
                <w:rFonts w:hint="default" w:ascii="Times New Roman" w:hAnsi="Times New Roman" w:eastAsia="方正仿宋_GBK" w:cs="Times New Roman"/>
                <w:color w:val="auto"/>
                <w:sz w:val="24"/>
                <w:szCs w:val="24"/>
                <w:lang w:val="en-US" w:eastAsia="zh-CN"/>
              </w:rPr>
              <w:t>必须按照招标人给定的暂列金额填报，不得浮动，否则视为对招标文件不作实质性响应，其投标将被否决。</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0"/>
              <w:textAlignment w:val="auto"/>
              <w:outlineLvl w:val="9"/>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15.招标人不接受任何选择性报价，对每一种投标方案只允许有一个报价。</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0"/>
              <w:textAlignment w:val="auto"/>
              <w:outlineLvl w:val="9"/>
              <w:rPr>
                <w:rFonts w:hint="default" w:ascii="Times New Roman" w:hAnsi="Times New Roman" w:eastAsia="方正仿宋_GBK" w:cs="Times New Roman"/>
                <w:b/>
                <w:bCs/>
                <w:color w:val="auto"/>
                <w:sz w:val="24"/>
                <w:szCs w:val="24"/>
                <w:lang w:val="en-US" w:eastAsia="zh-CN"/>
              </w:rPr>
            </w:pPr>
            <w:r>
              <w:rPr>
                <w:rFonts w:hint="default" w:ascii="Times New Roman" w:hAnsi="Times New Roman" w:eastAsia="方正仿宋_GBK" w:cs="Times New Roman"/>
                <w:b/>
                <w:bCs/>
                <w:color w:val="auto"/>
                <w:sz w:val="24"/>
                <w:szCs w:val="24"/>
                <w:lang w:val="en-US" w:eastAsia="zh-CN"/>
              </w:rPr>
              <w:t>特别提醒：</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0"/>
              <w:textAlignment w:val="auto"/>
              <w:outlineLvl w:val="9"/>
              <w:rPr>
                <w:rFonts w:hint="default" w:ascii="Times New Roman" w:hAnsi="Times New Roman" w:eastAsia="方正仿宋_GBK" w:cs="Times New Roman"/>
                <w:color w:val="auto"/>
                <w:sz w:val="24"/>
                <w:szCs w:val="24"/>
                <w:lang w:val="en-US" w:eastAsia="zh-CN"/>
              </w:rPr>
            </w:pPr>
            <w:r>
              <w:rPr>
                <w:rFonts w:hint="eastAsia" w:eastAsia="方正仿宋_GBK" w:cs="Times New Roman"/>
                <w:color w:val="auto"/>
                <w:sz w:val="24"/>
                <w:szCs w:val="24"/>
                <w:lang w:val="en-US" w:eastAsia="zh-CN"/>
              </w:rPr>
              <w:t>1</w:t>
            </w:r>
            <w:r>
              <w:rPr>
                <w:rFonts w:hint="default" w:ascii="Times New Roman" w:hAnsi="Times New Roman" w:eastAsia="方正仿宋_GBK" w:cs="Times New Roman"/>
                <w:color w:val="auto"/>
                <w:sz w:val="24"/>
                <w:szCs w:val="24"/>
                <w:lang w:val="en-US" w:eastAsia="zh-CN"/>
              </w:rPr>
              <w:t>、</w:t>
            </w:r>
            <w:r>
              <w:rPr>
                <w:rFonts w:hint="eastAsia" w:eastAsia="方正仿宋_GBK" w:cs="Times New Roman"/>
                <w:color w:val="auto"/>
                <w:sz w:val="24"/>
                <w:szCs w:val="24"/>
                <w:lang w:val="en-US" w:eastAsia="zh-CN"/>
              </w:rPr>
              <w:t>竞选人</w:t>
            </w:r>
            <w:r>
              <w:rPr>
                <w:rFonts w:hint="default" w:ascii="Times New Roman" w:hAnsi="Times New Roman" w:eastAsia="方正仿宋_GBK" w:cs="Times New Roman"/>
                <w:color w:val="auto"/>
                <w:sz w:val="24"/>
                <w:szCs w:val="24"/>
                <w:lang w:val="en-US" w:eastAsia="zh-CN"/>
              </w:rPr>
              <w:t>报价前须自行前往工地现场踏勘，且应充分考虑设备到现场后转运进既有建筑内的措施，所有措施费用及风险因素</w:t>
            </w:r>
            <w:r>
              <w:rPr>
                <w:rFonts w:hint="eastAsia" w:eastAsia="方正仿宋_GBK" w:cs="Times New Roman"/>
                <w:color w:val="auto"/>
                <w:sz w:val="24"/>
                <w:szCs w:val="24"/>
                <w:lang w:val="en-US" w:eastAsia="zh-CN"/>
              </w:rPr>
              <w:t>竞选人</w:t>
            </w:r>
            <w:r>
              <w:rPr>
                <w:rFonts w:hint="default" w:ascii="Times New Roman" w:hAnsi="Times New Roman" w:eastAsia="方正仿宋_GBK" w:cs="Times New Roman"/>
                <w:color w:val="auto"/>
                <w:sz w:val="24"/>
                <w:szCs w:val="24"/>
                <w:lang w:val="en-US" w:eastAsia="zh-CN"/>
              </w:rPr>
              <w:t>均应考虑在投标单台设备单价报价中。</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0"/>
              <w:textAlignment w:val="auto"/>
              <w:outlineLvl w:val="9"/>
              <w:rPr>
                <w:rFonts w:hint="default" w:ascii="Times New Roman" w:hAnsi="Times New Roman" w:cs="Times New Roman"/>
                <w:color w:val="auto"/>
                <w:spacing w:val="0"/>
                <w:w w:val="100"/>
                <w:sz w:val="24"/>
                <w:szCs w:val="24"/>
                <w:vertAlign w:val="baseline"/>
              </w:rPr>
            </w:pPr>
            <w:r>
              <w:rPr>
                <w:rFonts w:hint="eastAsia" w:eastAsia="方正仿宋_GBK" w:cs="Times New Roman"/>
                <w:color w:val="auto"/>
                <w:sz w:val="24"/>
                <w:szCs w:val="24"/>
                <w:lang w:val="en-US" w:eastAsia="zh-CN"/>
              </w:rPr>
              <w:t>2</w:t>
            </w:r>
            <w:r>
              <w:rPr>
                <w:rFonts w:hint="default" w:ascii="Times New Roman" w:hAnsi="Times New Roman" w:eastAsia="方正仿宋_GBK" w:cs="Times New Roman"/>
                <w:color w:val="auto"/>
                <w:sz w:val="24"/>
                <w:szCs w:val="24"/>
                <w:lang w:val="en-US" w:eastAsia="zh-CN"/>
              </w:rPr>
              <w:t>、本项目中“井道及底坑整改（除结构改造外）、井道安全护栏、底坑垃圾、外呼面板及指示板底盒开凿（每层每站）、外呼盒电缆孔洞开凿（每层每站）、电梯安装完成之后厅门收边收口”，并非对结构进行改造，仅是对现场建筑尺寸与</w:t>
            </w:r>
            <w:r>
              <w:rPr>
                <w:rFonts w:hint="eastAsia" w:eastAsia="方正仿宋_GBK" w:cs="Times New Roman"/>
                <w:color w:val="auto"/>
                <w:sz w:val="24"/>
                <w:szCs w:val="24"/>
                <w:lang w:val="en-US" w:eastAsia="zh-CN"/>
              </w:rPr>
              <w:t>竞选人</w:t>
            </w:r>
            <w:r>
              <w:rPr>
                <w:rFonts w:hint="default" w:ascii="Times New Roman" w:hAnsi="Times New Roman" w:eastAsia="方正仿宋_GBK" w:cs="Times New Roman"/>
                <w:color w:val="auto"/>
                <w:sz w:val="24"/>
                <w:szCs w:val="24"/>
                <w:lang w:val="en-US" w:eastAsia="zh-CN"/>
              </w:rPr>
              <w:t>提供产品存在偏差，或</w:t>
            </w:r>
            <w:r>
              <w:rPr>
                <w:rFonts w:hint="eastAsia" w:eastAsia="方正仿宋_GBK" w:cs="Times New Roman"/>
                <w:color w:val="auto"/>
                <w:sz w:val="24"/>
                <w:szCs w:val="24"/>
                <w:lang w:val="en-US" w:eastAsia="zh-CN"/>
              </w:rPr>
              <w:t>竞选人</w:t>
            </w:r>
            <w:r>
              <w:rPr>
                <w:rFonts w:hint="default" w:ascii="Times New Roman" w:hAnsi="Times New Roman" w:eastAsia="方正仿宋_GBK" w:cs="Times New Roman"/>
                <w:color w:val="auto"/>
                <w:sz w:val="24"/>
                <w:szCs w:val="24"/>
                <w:lang w:val="en-US" w:eastAsia="zh-CN"/>
              </w:rPr>
              <w:t>为满足安装需要而进行的剔打、整改、开洞等辅助工作。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229" w:type="dxa"/>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cs="Times New Roman"/>
                <w:color w:val="auto"/>
                <w:spacing w:val="0"/>
                <w:w w:val="100"/>
                <w:sz w:val="24"/>
                <w:szCs w:val="24"/>
                <w:vertAlign w:val="baseline"/>
              </w:rPr>
            </w:pPr>
            <w:r>
              <w:rPr>
                <w:rFonts w:hint="default" w:ascii="Times New Roman" w:hAnsi="Times New Roman" w:eastAsia="仿宋_GB2312" w:cs="Times New Roman"/>
                <w:color w:val="auto"/>
                <w:sz w:val="28"/>
                <w:szCs w:val="28"/>
                <w:lang w:val="en-US" w:eastAsia="zh-CN"/>
              </w:rPr>
              <w:t>★</w:t>
            </w:r>
            <w:r>
              <w:rPr>
                <w:rFonts w:hint="default" w:ascii="Times New Roman" w:hAnsi="Times New Roman" w:eastAsia="方正仿宋_GBK" w:cs="Times New Roman"/>
                <w:color w:val="auto"/>
                <w:sz w:val="24"/>
                <w:szCs w:val="24"/>
                <w:lang w:eastAsia="zh-CN"/>
              </w:rPr>
              <w:t>费用支付方式</w:t>
            </w:r>
          </w:p>
        </w:tc>
        <w:tc>
          <w:tcPr>
            <w:tcW w:w="6293" w:type="dxa"/>
            <w:vAlign w:val="center"/>
          </w:tcPr>
          <w:p>
            <w:pPr>
              <w:keepNext w:val="0"/>
              <w:keepLines w:val="0"/>
              <w:pageBreakBefore w:val="0"/>
              <w:widowControl w:val="0"/>
              <w:kinsoku/>
              <w:wordWrap/>
              <w:overflowPunct/>
              <w:topLinePunct w:val="0"/>
              <w:autoSpaceDE/>
              <w:autoSpaceDN/>
              <w:bidi w:val="0"/>
              <w:adjustRightInd/>
              <w:snapToGrid/>
              <w:spacing w:line="440" w:lineRule="exact"/>
              <w:ind w:firstLine="560" w:firstLineChars="0"/>
              <w:textAlignment w:val="auto"/>
              <w:outlineLvl w:val="9"/>
              <w:rPr>
                <w:rFonts w:hint="default" w:eastAsia="方正仿宋_GBK" w:cs="Times New Roman"/>
                <w:color w:val="auto"/>
                <w:sz w:val="24"/>
                <w:szCs w:val="24"/>
                <w:lang w:val="en-US" w:eastAsia="zh-CN"/>
              </w:rPr>
            </w:pPr>
            <w:r>
              <w:rPr>
                <w:rFonts w:hint="eastAsia" w:eastAsia="方正仿宋_GBK" w:cs="Times New Roman"/>
                <w:color w:val="auto"/>
                <w:sz w:val="24"/>
                <w:szCs w:val="24"/>
                <w:lang w:val="en-US" w:eastAsia="zh-CN"/>
              </w:rPr>
              <w:t>（一）</w:t>
            </w:r>
            <w:r>
              <w:rPr>
                <w:rFonts w:hint="default" w:eastAsia="方正仿宋_GBK" w:cs="Times New Roman"/>
                <w:color w:val="auto"/>
                <w:sz w:val="24"/>
                <w:szCs w:val="24"/>
                <w:lang w:val="en-US" w:eastAsia="zh-CN"/>
              </w:rPr>
              <w:t>设备价款支付：合同签订后，我方在已收到</w:t>
            </w:r>
            <w:r>
              <w:rPr>
                <w:rFonts w:hint="eastAsia" w:eastAsia="方正仿宋_GBK" w:cs="Times New Roman"/>
                <w:color w:val="auto"/>
                <w:sz w:val="24"/>
                <w:szCs w:val="24"/>
                <w:lang w:val="en-US" w:eastAsia="zh-CN"/>
              </w:rPr>
              <w:t>中标</w:t>
            </w:r>
            <w:r>
              <w:rPr>
                <w:rFonts w:hint="default" w:eastAsia="方正仿宋_GBK" w:cs="Times New Roman"/>
                <w:color w:val="auto"/>
                <w:sz w:val="24"/>
                <w:szCs w:val="24"/>
                <w:lang w:val="en-US" w:eastAsia="zh-CN"/>
              </w:rPr>
              <w:t>人提供的履约担保后（中标金额的10%），根据排产计划，在设备生产前10日内</w:t>
            </w:r>
            <w:r>
              <w:rPr>
                <w:rFonts w:hint="default" w:eastAsia="方正仿宋_GBK" w:cs="Times New Roman"/>
                <w:color w:val="FF0000"/>
                <w:sz w:val="24"/>
                <w:szCs w:val="24"/>
                <w:lang w:val="en-US" w:eastAsia="zh-CN"/>
              </w:rPr>
              <w:t>支付</w:t>
            </w:r>
            <w:r>
              <w:rPr>
                <w:rFonts w:hint="eastAsia" w:eastAsia="方正仿宋_GBK" w:cs="Times New Roman"/>
                <w:color w:val="FF0000"/>
                <w:sz w:val="24"/>
                <w:szCs w:val="24"/>
                <w:lang w:val="en-US" w:eastAsia="zh-CN"/>
              </w:rPr>
              <w:t>至</w:t>
            </w:r>
            <w:r>
              <w:rPr>
                <w:rFonts w:hint="default" w:eastAsia="方正仿宋_GBK" w:cs="Times New Roman"/>
                <w:color w:val="auto"/>
                <w:sz w:val="24"/>
                <w:szCs w:val="24"/>
                <w:lang w:val="en-US" w:eastAsia="zh-CN"/>
              </w:rPr>
              <w:t>本批次排产设备的设备费</w:t>
            </w:r>
            <w:r>
              <w:rPr>
                <w:rFonts w:hint="eastAsia" w:eastAsia="方正仿宋_GBK" w:cs="Times New Roman"/>
                <w:color w:val="auto"/>
                <w:sz w:val="24"/>
                <w:szCs w:val="24"/>
                <w:lang w:val="en-US" w:eastAsia="zh-CN"/>
              </w:rPr>
              <w:t>3</w:t>
            </w:r>
            <w:r>
              <w:rPr>
                <w:rFonts w:hint="default" w:eastAsia="方正仿宋_GBK" w:cs="Times New Roman"/>
                <w:color w:val="auto"/>
                <w:sz w:val="24"/>
                <w:szCs w:val="24"/>
                <w:lang w:val="en-US" w:eastAsia="zh-CN"/>
              </w:rPr>
              <w:t>0%的排产款</w:t>
            </w:r>
            <w:r>
              <w:rPr>
                <w:rFonts w:hint="eastAsia" w:eastAsia="方正仿宋_GBK" w:cs="Times New Roman"/>
                <w:color w:val="auto"/>
                <w:sz w:val="24"/>
                <w:szCs w:val="24"/>
                <w:lang w:val="en-US" w:eastAsia="zh-CN"/>
              </w:rPr>
              <w:t>；</w:t>
            </w:r>
            <w:r>
              <w:rPr>
                <w:rFonts w:hint="default" w:eastAsia="方正仿宋_GBK" w:cs="Times New Roman"/>
                <w:color w:val="auto"/>
                <w:sz w:val="24"/>
                <w:szCs w:val="24"/>
                <w:lang w:val="en-US" w:eastAsia="zh-CN"/>
              </w:rPr>
              <w:t>设备运至现场经监理、发包人验收无误后</w:t>
            </w:r>
            <w:r>
              <w:rPr>
                <w:rFonts w:hint="default" w:eastAsia="方正仿宋_GBK" w:cs="Times New Roman"/>
                <w:color w:val="FF0000"/>
                <w:sz w:val="24"/>
                <w:szCs w:val="24"/>
                <w:lang w:val="en-US" w:eastAsia="zh-CN"/>
              </w:rPr>
              <w:t>支付</w:t>
            </w:r>
            <w:r>
              <w:rPr>
                <w:rFonts w:hint="eastAsia" w:eastAsia="方正仿宋_GBK" w:cs="Times New Roman"/>
                <w:color w:val="FF0000"/>
                <w:sz w:val="24"/>
                <w:szCs w:val="24"/>
                <w:lang w:val="en-US" w:eastAsia="zh-CN"/>
              </w:rPr>
              <w:t>至</w:t>
            </w:r>
            <w:r>
              <w:rPr>
                <w:rFonts w:hint="default" w:eastAsia="方正仿宋_GBK" w:cs="Times New Roman"/>
                <w:color w:val="FF0000"/>
                <w:sz w:val="24"/>
                <w:szCs w:val="24"/>
                <w:lang w:val="en-US" w:eastAsia="zh-CN"/>
              </w:rPr>
              <w:t>本</w:t>
            </w:r>
            <w:r>
              <w:rPr>
                <w:rFonts w:hint="default" w:eastAsia="方正仿宋_GBK" w:cs="Times New Roman"/>
                <w:color w:val="auto"/>
                <w:sz w:val="24"/>
                <w:szCs w:val="24"/>
                <w:lang w:val="en-US" w:eastAsia="zh-CN"/>
              </w:rPr>
              <w:t>批次排产设备的设备费</w:t>
            </w:r>
            <w:r>
              <w:rPr>
                <w:rFonts w:hint="eastAsia" w:eastAsia="方正仿宋_GBK" w:cs="Times New Roman"/>
                <w:color w:val="auto"/>
                <w:sz w:val="24"/>
                <w:szCs w:val="24"/>
                <w:lang w:val="en-US" w:eastAsia="zh-CN"/>
              </w:rPr>
              <w:t>的7</w:t>
            </w:r>
            <w:r>
              <w:rPr>
                <w:rFonts w:hint="default" w:eastAsia="方正仿宋_GBK" w:cs="Times New Roman"/>
                <w:color w:val="auto"/>
                <w:sz w:val="24"/>
                <w:szCs w:val="24"/>
                <w:lang w:val="en-US" w:eastAsia="zh-CN"/>
              </w:rPr>
              <w:t>0%</w:t>
            </w:r>
            <w:r>
              <w:rPr>
                <w:rFonts w:hint="eastAsia" w:eastAsia="方正仿宋_GBK" w:cs="Times New Roman"/>
                <w:color w:val="auto"/>
                <w:sz w:val="24"/>
                <w:szCs w:val="24"/>
                <w:lang w:val="en-US" w:eastAsia="zh-CN"/>
              </w:rPr>
              <w:t>；</w:t>
            </w:r>
            <w:r>
              <w:rPr>
                <w:rFonts w:hint="default" w:eastAsia="方正仿宋_GBK" w:cs="Times New Roman"/>
                <w:color w:val="auto"/>
                <w:sz w:val="24"/>
                <w:szCs w:val="24"/>
                <w:lang w:val="en-US" w:eastAsia="zh-CN"/>
              </w:rPr>
              <w:t>本批次设备安装完毕，经重庆市法定检验机构验收合格并取得电梯设备运行许可证后，并在乙方将本批次设备所有完善的竣工资料提交齐全办完工程结算，</w:t>
            </w:r>
            <w:r>
              <w:rPr>
                <w:rFonts w:hint="default" w:eastAsia="方正仿宋_GBK" w:cs="Times New Roman"/>
                <w:color w:val="FF0000"/>
                <w:sz w:val="24"/>
                <w:szCs w:val="24"/>
                <w:lang w:val="en-US" w:eastAsia="zh-CN"/>
              </w:rPr>
              <w:t>支付至</w:t>
            </w:r>
            <w:r>
              <w:rPr>
                <w:rFonts w:hint="default" w:eastAsia="方正仿宋_GBK" w:cs="Times New Roman"/>
                <w:color w:val="auto"/>
                <w:sz w:val="24"/>
                <w:szCs w:val="24"/>
                <w:lang w:val="en-US" w:eastAsia="zh-CN"/>
              </w:rPr>
              <w:t>本批次设备的设备费结算总金额的97%；留3%的质量保证金，电梯免费保修期从设备取得运行许可证并移交运营签字接管使用，并试运行3个月后进入保修期，保修期为24个月，在保修期内，电梯制造商须按TSGT5002-2017的要求免费进行维修保养。满12个月后支付质保金总额的40%，保修期满，无质量问题，15个工作日内支付余款（质保金不计利息）。</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0"/>
              <w:textAlignment w:val="auto"/>
              <w:outlineLvl w:val="9"/>
              <w:rPr>
                <w:rFonts w:hint="default" w:eastAsia="方正仿宋_GBK" w:cs="Times New Roman"/>
                <w:color w:val="auto"/>
                <w:sz w:val="24"/>
                <w:szCs w:val="24"/>
                <w:lang w:val="en-US" w:eastAsia="zh-CN"/>
              </w:rPr>
            </w:pPr>
            <w:r>
              <w:rPr>
                <w:rFonts w:hint="default" w:eastAsia="方正仿宋_GBK" w:cs="Times New Roman"/>
                <w:color w:val="auto"/>
                <w:sz w:val="24"/>
                <w:szCs w:val="24"/>
                <w:lang w:val="en-US" w:eastAsia="zh-CN"/>
              </w:rPr>
              <w:t>（二）安装工程款支付：安装进场后15个工作日内支付本批次安装设备的安装费的50%；本批次设备安装调试完毕，并经重庆市法定检验机构验收合格并取得电梯设备运行许可证后15个工作日支付至本批次安装设备的安装费的80%；待该项目综合验收并办理完结算后15个工作日支付至本批次安装设备的安装费结算总价的97%，留3%的质量保证金，电梯免费保修期从设备取得运行许可证并移交运营签字接管使用，并试运行3个月后进入保修期，保修期为24个月，在保修期内，制造商须按TSGT5002-2017的要求免费进行维修保养。满12个月后支付质保金总额的40%，保修期满，无质量问题，15个工作日支付余款（质保金不计利息）。</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0"/>
              <w:textAlignment w:val="auto"/>
              <w:outlineLvl w:val="9"/>
              <w:rPr>
                <w:rFonts w:hint="default" w:eastAsia="方正仿宋_GBK" w:cs="Times New Roman"/>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5" w:hRule="exact"/>
        </w:trPr>
        <w:tc>
          <w:tcPr>
            <w:tcW w:w="2229" w:type="dxa"/>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cs="Times New Roman"/>
                <w:color w:val="auto"/>
                <w:spacing w:val="0"/>
                <w:w w:val="100"/>
                <w:sz w:val="24"/>
                <w:szCs w:val="24"/>
                <w:vertAlign w:val="baseline"/>
              </w:rPr>
            </w:pPr>
            <w:r>
              <w:rPr>
                <w:rFonts w:hint="default" w:ascii="Times New Roman" w:hAnsi="Times New Roman" w:eastAsia="方正仿宋_GBK" w:cs="Times New Roman"/>
                <w:color w:val="auto"/>
                <w:sz w:val="24"/>
                <w:szCs w:val="24"/>
                <w:lang w:val="en-US" w:eastAsia="zh-CN"/>
              </w:rPr>
              <w:t>其他需告知</w:t>
            </w:r>
            <w:r>
              <w:rPr>
                <w:rFonts w:hint="eastAsia" w:eastAsia="方正仿宋_GBK" w:cs="Times New Roman"/>
                <w:color w:val="auto"/>
                <w:sz w:val="24"/>
                <w:szCs w:val="24"/>
                <w:lang w:val="en-US" w:eastAsia="zh-CN"/>
              </w:rPr>
              <w:t>竞选人</w:t>
            </w:r>
            <w:r>
              <w:rPr>
                <w:rFonts w:hint="default" w:ascii="Times New Roman" w:hAnsi="Times New Roman" w:eastAsia="方正仿宋_GBK" w:cs="Times New Roman"/>
                <w:color w:val="auto"/>
                <w:sz w:val="24"/>
                <w:szCs w:val="24"/>
                <w:lang w:val="en-US" w:eastAsia="zh-CN"/>
              </w:rPr>
              <w:t>的要求</w:t>
            </w:r>
          </w:p>
        </w:tc>
        <w:tc>
          <w:tcPr>
            <w:tcW w:w="629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default"/>
                <w:lang w:eastAsia="zh-CN"/>
              </w:rPr>
            </w:pPr>
            <w:r>
              <w:rPr>
                <w:rFonts w:hint="eastAsia" w:ascii="宋体" w:hAnsi="宋体" w:cs="宋体"/>
                <w:color w:val="auto"/>
                <w:kern w:val="0"/>
                <w:sz w:val="20"/>
                <w:szCs w:val="20"/>
                <w:highlight w:val="none"/>
                <w:lang w:val="en-US" w:eastAsia="zh-CN"/>
              </w:rPr>
              <w:t>1.</w:t>
            </w:r>
            <w:r>
              <w:rPr>
                <w:rFonts w:hint="eastAsia" w:ascii="宋体" w:hAnsi="宋体" w:eastAsia="宋体" w:cs="宋体"/>
                <w:color w:val="auto"/>
                <w:kern w:val="0"/>
                <w:sz w:val="20"/>
                <w:szCs w:val="20"/>
                <w:highlight w:val="none"/>
              </w:rPr>
              <w:t>履约担保金额：</w:t>
            </w:r>
            <w:r>
              <w:rPr>
                <w:rFonts w:hint="eastAsia"/>
                <w:lang w:val="en-US" w:eastAsia="zh-CN"/>
              </w:rPr>
              <w:t>中标金额的10%</w:t>
            </w:r>
            <w:r>
              <w:rPr>
                <w:rFonts w:hint="default"/>
                <w:lang w:eastAsia="zh-CN"/>
              </w:rPr>
              <w:t>。</w:t>
            </w:r>
          </w:p>
          <w:p>
            <w:pPr>
              <w:pStyle w:val="3"/>
              <w:numPr>
                <w:ilvl w:val="0"/>
                <w:numId w:val="0"/>
              </w:numPr>
              <w:rPr>
                <w:rFonts w:hint="default"/>
                <w:lang w:eastAsia="zh-CN"/>
              </w:rPr>
            </w:pPr>
            <w:r>
              <w:rPr>
                <w:rFonts w:hint="eastAsia"/>
                <w:lang w:val="en-US" w:eastAsia="zh-CN"/>
              </w:rPr>
              <w:t>2.</w:t>
            </w:r>
            <w:r>
              <w:rPr>
                <w:rFonts w:hint="default"/>
                <w:lang w:eastAsia="zh-CN"/>
              </w:rPr>
              <w:t>履约担保形式：现金或银行保函或现金+银行保函的组合；采用银行保函形式的，保函必须为不可撤销且见索即付</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lang w:val="en-US" w:eastAsia="zh-CN"/>
              </w:rPr>
            </w:pPr>
            <w:r>
              <w:rPr>
                <w:rFonts w:hint="eastAsia"/>
                <w:lang w:val="en-US" w:eastAsia="zh-CN"/>
              </w:rPr>
              <w:t>3.</w:t>
            </w:r>
            <w:r>
              <w:rPr>
                <w:rFonts w:hint="default"/>
                <w:lang w:val="en-US" w:eastAsia="zh-CN"/>
              </w:rPr>
              <w:t>本次招标招标公告同时在重庆城市综合交通枢纽(集团)有限公司</w:t>
            </w:r>
            <w:r>
              <w:rPr>
                <w:rFonts w:hint="eastAsia"/>
                <w:lang w:val="en-US" w:eastAsia="zh-CN"/>
              </w:rPr>
              <w:t>官网</w:t>
            </w:r>
            <w:r>
              <w:rPr>
                <w:rFonts w:hint="default"/>
                <w:lang w:val="en-US" w:eastAsia="zh-CN"/>
              </w:rPr>
              <w:t>（</w:t>
            </w:r>
            <w:r>
              <w:rPr>
                <w:rFonts w:hint="eastAsia"/>
                <w:lang w:val="en-US" w:eastAsia="zh-CN"/>
              </w:rPr>
              <w:t>网址：</w:t>
            </w:r>
            <w:r>
              <w:rPr>
                <w:rFonts w:hint="default"/>
                <w:lang w:val="en-US" w:eastAsia="zh-CN"/>
              </w:rPr>
              <w:fldChar w:fldCharType="begin"/>
            </w:r>
            <w:r>
              <w:rPr>
                <w:rFonts w:hint="default"/>
                <w:lang w:val="en-US" w:eastAsia="zh-CN"/>
              </w:rPr>
              <w:instrText xml:space="preserve"> HYPERLINK "http://www.cqjtsn.com/" </w:instrText>
            </w:r>
            <w:r>
              <w:rPr>
                <w:rFonts w:hint="default"/>
                <w:lang w:val="en-US" w:eastAsia="zh-CN"/>
              </w:rPr>
              <w:fldChar w:fldCharType="separate"/>
            </w:r>
            <w:r>
              <w:rPr>
                <w:rFonts w:hint="default"/>
                <w:lang w:val="en-US" w:eastAsia="zh-CN"/>
              </w:rPr>
              <w:t>www.cqjtsn.com</w:t>
            </w:r>
            <w:r>
              <w:rPr>
                <w:rFonts w:hint="default"/>
                <w:lang w:val="en-US" w:eastAsia="zh-CN"/>
              </w:rPr>
              <w:fldChar w:fldCharType="end"/>
            </w:r>
            <w:r>
              <w:rPr>
                <w:rFonts w:hint="default"/>
                <w:lang w:val="en-US" w:eastAsia="zh-CN"/>
              </w:rPr>
              <w:t>）和公众号上发布。</w:t>
            </w:r>
          </w:p>
          <w:p>
            <w:pPr>
              <w:pStyle w:val="3"/>
              <w:rPr>
                <w:rFonts w:hint="default"/>
                <w:lang w:val="en-US" w:eastAsia="zh-CN"/>
              </w:rPr>
            </w:pPr>
            <w:r>
              <w:rPr>
                <w:rFonts w:hint="eastAsia"/>
                <w:lang w:val="en-US" w:eastAsia="zh-CN"/>
              </w:rPr>
              <w:t>4.</w:t>
            </w:r>
            <w:r>
              <w:rPr>
                <w:rFonts w:hint="eastAsia" w:ascii="宋体" w:hAnsi="宋体" w:eastAsia="宋体" w:cs="宋体"/>
                <w:color w:val="auto"/>
                <w:sz w:val="20"/>
                <w:szCs w:val="20"/>
                <w:highlight w:val="none"/>
              </w:rPr>
              <w:t>招标人发出的补遗书及其补充材料</w:t>
            </w:r>
            <w:r>
              <w:rPr>
                <w:rFonts w:hint="eastAsia" w:ascii="宋体" w:hAnsi="宋体" w:cs="宋体"/>
                <w:color w:val="auto"/>
                <w:sz w:val="20"/>
                <w:szCs w:val="20"/>
                <w:highlight w:val="none"/>
                <w:lang w:eastAsia="zh-CN"/>
              </w:rPr>
              <w:t>，</w:t>
            </w:r>
            <w:r>
              <w:rPr>
                <w:rFonts w:hint="default"/>
                <w:lang w:val="en-US" w:eastAsia="zh-CN"/>
              </w:rPr>
              <w:t>在重庆城市综合交通枢纽(集团)有限公司</w:t>
            </w:r>
            <w:r>
              <w:rPr>
                <w:rFonts w:hint="eastAsia"/>
                <w:lang w:val="en-US" w:eastAsia="zh-CN"/>
              </w:rPr>
              <w:t>官网</w:t>
            </w:r>
            <w:r>
              <w:rPr>
                <w:rFonts w:hint="default"/>
                <w:lang w:val="en-US" w:eastAsia="zh-CN"/>
              </w:rPr>
              <w:t>（</w:t>
            </w:r>
            <w:r>
              <w:rPr>
                <w:rFonts w:hint="default"/>
                <w:lang w:val="en-US" w:eastAsia="zh-CN"/>
              </w:rPr>
              <w:fldChar w:fldCharType="begin"/>
            </w:r>
            <w:r>
              <w:rPr>
                <w:rFonts w:hint="default"/>
                <w:lang w:val="en-US" w:eastAsia="zh-CN"/>
              </w:rPr>
              <w:instrText xml:space="preserve"> HYPERLINK "http://www.cqjtsn.com/" </w:instrText>
            </w:r>
            <w:r>
              <w:rPr>
                <w:rFonts w:hint="default"/>
                <w:lang w:val="en-US" w:eastAsia="zh-CN"/>
              </w:rPr>
              <w:fldChar w:fldCharType="separate"/>
            </w:r>
            <w:r>
              <w:rPr>
                <w:rFonts w:hint="default"/>
                <w:lang w:val="en-US" w:eastAsia="zh-CN"/>
              </w:rPr>
              <w:t>www.cqjtsn.com</w:t>
            </w:r>
            <w:r>
              <w:rPr>
                <w:rFonts w:hint="default"/>
                <w:lang w:val="en-US" w:eastAsia="zh-CN"/>
              </w:rPr>
              <w:fldChar w:fldCharType="end"/>
            </w:r>
            <w:r>
              <w:rPr>
                <w:rFonts w:hint="default"/>
                <w:lang w:val="en-US" w:eastAsia="zh-CN"/>
              </w:rPr>
              <w:t>）</w:t>
            </w:r>
            <w:r>
              <w:rPr>
                <w:rFonts w:hint="eastAsia" w:ascii="宋体" w:hAnsi="宋体"/>
                <w:color w:val="auto"/>
                <w:kern w:val="0"/>
                <w:sz w:val="20"/>
                <w:szCs w:val="20"/>
                <w:highlight w:val="none"/>
              </w:rPr>
              <w:t>发布澄清</w:t>
            </w:r>
            <w:r>
              <w:rPr>
                <w:rFonts w:hint="eastAsia" w:ascii="宋体" w:hAnsi="宋体" w:eastAsia="宋体" w:cs="宋体"/>
                <w:color w:val="auto"/>
                <w:sz w:val="20"/>
                <w:szCs w:val="20"/>
                <w:highlight w:val="none"/>
              </w:rPr>
              <w:t xml:space="preserve">。 </w:t>
            </w:r>
          </w:p>
          <w:p>
            <w:pPr>
              <w:pStyle w:val="6"/>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522" w:type="dxa"/>
            <w:gridSpan w:val="2"/>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cs="Times New Roman"/>
                <w:color w:val="auto"/>
                <w:spacing w:val="0"/>
                <w:w w:val="100"/>
                <w:sz w:val="24"/>
                <w:szCs w:val="24"/>
                <w:vertAlign w:val="baseline"/>
              </w:rPr>
            </w:pPr>
            <w:r>
              <w:rPr>
                <w:rFonts w:hint="default" w:ascii="Times New Roman" w:hAnsi="Times New Roman" w:eastAsia="仿宋_GB2312" w:cs="Times New Roman"/>
                <w:color w:val="auto"/>
                <w:sz w:val="28"/>
                <w:szCs w:val="28"/>
                <w:lang w:val="en-US" w:eastAsia="zh-CN"/>
              </w:rPr>
              <w:t>★</w:t>
            </w:r>
            <w:r>
              <w:rPr>
                <w:rFonts w:hint="default" w:ascii="Times New Roman" w:hAnsi="Times New Roman" w:eastAsia="方正仿宋_GBK" w:cs="Times New Roman"/>
                <w:color w:val="auto"/>
                <w:sz w:val="24"/>
                <w:szCs w:val="24"/>
                <w:lang w:val="en-US" w:eastAsia="zh-CN"/>
              </w:rPr>
              <w:t>三、评选、定选方式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2" w:hRule="exact"/>
        </w:trPr>
        <w:tc>
          <w:tcPr>
            <w:tcW w:w="8522" w:type="dxa"/>
            <w:gridSpan w:val="2"/>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当众开封查验响应性文件，宣读报价书，委托代理人签字确认报价后离场，评选小组对比选文件进行评审。先对报价最低的潜在比选单位提供的比选文件进行评审，在满足比选文件邀请函要求的情况下（参考否决比选条款），则该单位为第一候选单位。若不满足比选文件邀请函要求，对排名第二的候选单位进行评审，以此类推。对未中选情况不做解释。</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方正仿宋_GBK" w:cs="Times New Roman"/>
                <w:color w:val="auto"/>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522"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default" w:ascii="Times New Roman" w:hAnsi="Times New Roman" w:eastAsia="方正仿宋_GBK" w:cs="Times New Roman"/>
                <w:color w:val="auto"/>
                <w:sz w:val="24"/>
                <w:szCs w:val="24"/>
              </w:rPr>
            </w:pPr>
            <w:r>
              <w:rPr>
                <w:rFonts w:hint="default" w:ascii="Times New Roman" w:hAnsi="Times New Roman" w:eastAsia="仿宋_GB2312" w:cs="Times New Roman"/>
                <w:color w:val="auto"/>
                <w:sz w:val="28"/>
                <w:szCs w:val="28"/>
                <w:lang w:val="en-US" w:eastAsia="zh-CN"/>
              </w:rPr>
              <w:t>★</w:t>
            </w:r>
            <w:r>
              <w:rPr>
                <w:rFonts w:hint="default" w:ascii="Times New Roman" w:hAnsi="Times New Roman" w:eastAsia="方正仿宋_GBK" w:cs="Times New Roman"/>
                <w:color w:val="auto"/>
                <w:sz w:val="24"/>
                <w:szCs w:val="24"/>
                <w:lang w:val="en-US" w:eastAsia="zh-CN"/>
              </w:rPr>
              <w:t>四、</w:t>
            </w:r>
            <w:r>
              <w:rPr>
                <w:rFonts w:hint="default" w:ascii="Times New Roman" w:hAnsi="Times New Roman" w:eastAsia="方正仿宋_GBK" w:cs="Times New Roman"/>
                <w:color w:val="auto"/>
                <w:sz w:val="24"/>
                <w:szCs w:val="24"/>
                <w:lang w:eastAsia="zh-CN"/>
              </w:rPr>
              <w:t>比选</w:t>
            </w:r>
            <w:r>
              <w:rPr>
                <w:rFonts w:hint="default" w:ascii="Times New Roman" w:hAnsi="Times New Roman" w:eastAsia="方正仿宋_GBK" w:cs="Times New Roman"/>
                <w:color w:val="auto"/>
                <w:sz w:val="24"/>
                <w:szCs w:val="24"/>
              </w:rPr>
              <w:t>文件</w:t>
            </w:r>
            <w:r>
              <w:rPr>
                <w:rFonts w:hint="default" w:ascii="Times New Roman" w:hAnsi="Times New Roman" w:eastAsia="方正仿宋_GBK" w:cs="Times New Roman"/>
                <w:color w:val="auto"/>
                <w:sz w:val="24"/>
                <w:szCs w:val="24"/>
                <w:lang w:eastAsia="zh-CN"/>
              </w:rPr>
              <w:t>组成及</w:t>
            </w:r>
            <w:r>
              <w:rPr>
                <w:rFonts w:hint="default" w:ascii="Times New Roman" w:hAnsi="Times New Roman" w:eastAsia="方正仿宋_GBK" w:cs="Times New Roman"/>
                <w:color w:val="auto"/>
                <w:sz w:val="24"/>
                <w:szCs w:val="24"/>
              </w:rPr>
              <w:t>要求</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cs="Times New Roman"/>
                <w:color w:val="auto"/>
                <w:spacing w:val="0"/>
                <w:w w:val="10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2" w:hRule="exact"/>
        </w:trPr>
        <w:tc>
          <w:tcPr>
            <w:tcW w:w="8522" w:type="dxa"/>
            <w:gridSpan w:val="2"/>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方正仿宋_GBK" w:cs="Times New Roman"/>
                <w:color w:val="auto"/>
                <w:sz w:val="24"/>
                <w:szCs w:val="24"/>
                <w:lang w:val="en-US"/>
              </w:rPr>
            </w:pPr>
            <w:r>
              <w:rPr>
                <w:rFonts w:hint="default" w:ascii="Times New Roman" w:hAnsi="Times New Roman" w:eastAsia="方正仿宋_GBK" w:cs="Times New Roman"/>
                <w:color w:val="auto"/>
                <w:sz w:val="24"/>
                <w:szCs w:val="24"/>
                <w:lang w:val="en-US" w:eastAsia="zh-CN"/>
              </w:rPr>
              <w:t xml:space="preserve">  </w:t>
            </w:r>
            <w:r>
              <w:rPr>
                <w:rFonts w:hint="default" w:ascii="Times New Roman" w:hAnsi="Times New Roman" w:eastAsia="方正仿宋_GBK" w:cs="Times New Roman"/>
                <w:color w:val="auto"/>
                <w:sz w:val="24"/>
                <w:szCs w:val="24"/>
              </w:rPr>
              <w:t>1、</w:t>
            </w:r>
            <w:r>
              <w:rPr>
                <w:rFonts w:hint="default" w:ascii="Times New Roman" w:hAnsi="Times New Roman" w:eastAsia="方正仿宋_GBK" w:cs="Times New Roman"/>
                <w:color w:val="auto"/>
                <w:sz w:val="24"/>
                <w:szCs w:val="24"/>
                <w:lang w:val="en-US" w:eastAsia="zh-CN"/>
              </w:rPr>
              <w:t>比选文件包括但不限于以下内容：</w:t>
            </w:r>
            <w:r>
              <w:rPr>
                <w:rFonts w:hint="default" w:ascii="Times New Roman" w:hAnsi="Times New Roman" w:eastAsia="仿宋_GB2312" w:cs="Times New Roman"/>
                <w:color w:val="auto"/>
                <w:sz w:val="24"/>
                <w:szCs w:val="24"/>
                <w:lang w:val="en-US" w:eastAsia="zh-CN"/>
              </w:rPr>
              <w:t>★</w:t>
            </w:r>
            <w:r>
              <w:rPr>
                <w:rFonts w:hint="default" w:ascii="Times New Roman" w:hAnsi="Times New Roman" w:eastAsia="方正仿宋_GBK" w:cs="Times New Roman"/>
                <w:color w:val="auto"/>
                <w:sz w:val="24"/>
                <w:szCs w:val="24"/>
                <w:lang w:val="en-US" w:eastAsia="zh-CN"/>
              </w:rPr>
              <w:t>（1）比选函及报价清单；</w:t>
            </w:r>
            <w:r>
              <w:rPr>
                <w:rFonts w:hint="default" w:ascii="Times New Roman" w:hAnsi="Times New Roman" w:eastAsia="仿宋_GB2312" w:cs="Times New Roman"/>
                <w:color w:val="auto"/>
                <w:sz w:val="24"/>
                <w:szCs w:val="24"/>
                <w:lang w:val="en-US" w:eastAsia="zh-CN"/>
              </w:rPr>
              <w:t>★</w:t>
            </w:r>
            <w:r>
              <w:rPr>
                <w:rFonts w:hint="default" w:ascii="Times New Roman" w:hAnsi="Times New Roman" w:eastAsia="方正仿宋_GBK" w:cs="Times New Roman"/>
                <w:color w:val="auto"/>
                <w:sz w:val="24"/>
                <w:szCs w:val="24"/>
                <w:lang w:val="en-US" w:eastAsia="zh-CN"/>
              </w:rPr>
              <w:t>（2）营业执照、企业资质证书复印件；</w:t>
            </w:r>
            <w:r>
              <w:rPr>
                <w:rFonts w:hint="default" w:ascii="Times New Roman" w:hAnsi="Times New Roman" w:eastAsia="仿宋_GB2312" w:cs="Times New Roman"/>
                <w:color w:val="auto"/>
                <w:sz w:val="24"/>
                <w:szCs w:val="24"/>
                <w:lang w:val="en-US" w:eastAsia="zh-CN"/>
              </w:rPr>
              <w:t>★</w:t>
            </w:r>
            <w:r>
              <w:rPr>
                <w:rFonts w:hint="default" w:ascii="Times New Roman" w:hAnsi="Times New Roman" w:eastAsia="方正仿宋_GBK" w:cs="Times New Roman"/>
                <w:color w:val="auto"/>
                <w:sz w:val="24"/>
                <w:szCs w:val="24"/>
                <w:lang w:val="en-US" w:eastAsia="zh-CN"/>
              </w:rPr>
              <w:t>（3）法定代表人或授权代理人身份证明及授权委托书；（4）公司业绩证明材料；（5）拟派人员</w:t>
            </w:r>
            <w:r>
              <w:rPr>
                <w:rFonts w:hint="eastAsia" w:eastAsia="方正仿宋_GBK" w:cs="Times New Roman"/>
                <w:color w:val="auto"/>
                <w:sz w:val="24"/>
                <w:szCs w:val="24"/>
                <w:lang w:val="en-US" w:eastAsia="zh-CN"/>
              </w:rPr>
              <w:t>职称</w:t>
            </w:r>
            <w:r>
              <w:rPr>
                <w:rFonts w:hint="default" w:ascii="Times New Roman" w:hAnsi="Times New Roman" w:eastAsia="方正仿宋_GBK" w:cs="Times New Roman"/>
                <w:color w:val="auto"/>
                <w:sz w:val="24"/>
                <w:szCs w:val="24"/>
                <w:lang w:val="en-US" w:eastAsia="zh-CN"/>
              </w:rPr>
              <w:t>证书</w:t>
            </w:r>
            <w:r>
              <w:rPr>
                <w:rFonts w:hint="eastAsia" w:eastAsia="方正仿宋_GBK" w:cs="Times New Roman"/>
                <w:color w:val="auto"/>
                <w:sz w:val="24"/>
                <w:szCs w:val="24"/>
                <w:lang w:val="en-US" w:eastAsia="zh-CN"/>
              </w:rPr>
              <w:t>及社保证明</w:t>
            </w:r>
            <w:r>
              <w:rPr>
                <w:rFonts w:hint="default" w:ascii="Times New Roman" w:hAnsi="Times New Roman" w:eastAsia="方正仿宋_GBK" w:cs="Times New Roman"/>
                <w:color w:val="auto"/>
                <w:sz w:val="24"/>
                <w:szCs w:val="24"/>
                <w:lang w:val="en-US" w:eastAsia="zh-CN"/>
              </w:rPr>
              <w:t>；（6）根据比选项目要求情况需要添加的其他资料，如技术文件、方案等。</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240" w:firstLineChars="100"/>
              <w:jc w:val="both"/>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w:t>
            </w:r>
            <w:r>
              <w:rPr>
                <w:rFonts w:hint="default" w:ascii="Times New Roman" w:hAnsi="Times New Roman" w:eastAsia="方正仿宋_GBK" w:cs="Times New Roman"/>
                <w:color w:val="auto"/>
                <w:sz w:val="24"/>
                <w:szCs w:val="24"/>
                <w:lang w:val="en-US" w:eastAsia="zh-CN"/>
              </w:rPr>
              <w:t>2、要求提供的资料均需加盖鲜章，所有资料密封并在密封袋上写明单位名称并加盖公章。</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cs="Times New Roman"/>
                <w:color w:val="auto"/>
                <w:spacing w:val="0"/>
                <w:w w:val="10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522" w:type="dxa"/>
            <w:gridSpan w:val="2"/>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cs="Times New Roman"/>
                <w:color w:val="auto"/>
                <w:spacing w:val="0"/>
                <w:w w:val="100"/>
                <w:sz w:val="24"/>
                <w:szCs w:val="24"/>
                <w:vertAlign w:val="baseline"/>
              </w:rPr>
            </w:pPr>
            <w:r>
              <w:rPr>
                <w:rFonts w:hint="default" w:ascii="Times New Roman" w:hAnsi="Times New Roman" w:eastAsia="仿宋_GB2312" w:cs="Times New Roman"/>
                <w:color w:val="auto"/>
                <w:sz w:val="28"/>
                <w:szCs w:val="28"/>
                <w:lang w:val="en-US" w:eastAsia="zh-CN"/>
              </w:rPr>
              <w:t>★</w:t>
            </w:r>
            <w:r>
              <w:rPr>
                <w:rFonts w:hint="default" w:ascii="Times New Roman" w:hAnsi="Times New Roman" w:eastAsia="方正仿宋_GBK" w:cs="Times New Roman"/>
                <w:color w:val="auto"/>
                <w:sz w:val="24"/>
                <w:szCs w:val="24"/>
                <w:lang w:val="en-US" w:eastAsia="zh-CN"/>
              </w:rPr>
              <w:t>五、否决比选条款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522" w:type="dxa"/>
            <w:gridSpan w:val="2"/>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440" w:lineRule="exact"/>
              <w:textAlignment w:val="auto"/>
              <w:rPr>
                <w:rFonts w:hint="default"/>
                <w:lang w:eastAsia="zh-CN"/>
              </w:rPr>
            </w:pPr>
            <w:r>
              <w:rPr>
                <w:rFonts w:hint="default"/>
                <w:lang w:eastAsia="zh-CN"/>
              </w:rPr>
              <w:t>未在规定的时间内递交比选文件。</w:t>
            </w:r>
          </w:p>
          <w:p>
            <w:pPr>
              <w:spacing w:line="440" w:lineRule="exact"/>
              <w:rPr>
                <w:rFonts w:hint="default"/>
              </w:rPr>
            </w:pPr>
            <w:r>
              <w:rPr>
                <w:rFonts w:hint="default"/>
                <w:lang w:val="en-US" w:eastAsia="zh-CN"/>
              </w:rPr>
              <w:t>2、未按要求</w:t>
            </w:r>
            <w:r>
              <w:rPr>
                <w:rFonts w:hint="default"/>
              </w:rPr>
              <w:t>报价</w:t>
            </w:r>
            <w:r>
              <w:rPr>
                <w:rFonts w:hint="default"/>
                <w:lang w:eastAsia="zh-CN"/>
              </w:rPr>
              <w:t>或</w:t>
            </w:r>
            <w:r>
              <w:rPr>
                <w:rFonts w:hint="default"/>
              </w:rPr>
              <w:t>超过最高限价</w:t>
            </w:r>
            <w:r>
              <w:rPr>
                <w:rFonts w:hint="default"/>
                <w:lang w:eastAsia="zh-CN"/>
              </w:rPr>
              <w:t>的</w:t>
            </w:r>
            <w:r>
              <w:rPr>
                <w:rFonts w:hint="default"/>
              </w:rPr>
              <w:t>。</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default"/>
                <w:lang w:eastAsia="zh-CN"/>
              </w:rPr>
            </w:pPr>
            <w:r>
              <w:rPr>
                <w:rFonts w:hint="default"/>
                <w:lang w:val="en-US" w:eastAsia="zh-CN"/>
              </w:rPr>
              <w:t>3、</w:t>
            </w:r>
            <w:r>
              <w:rPr>
                <w:rFonts w:hint="default"/>
                <w:lang w:eastAsia="zh-CN"/>
              </w:rPr>
              <w:t>法定代表人或其委托代理人的签字（或盖章）不齐全，授权代表人身份证明不相符。</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default"/>
                <w:lang w:eastAsia="zh-CN"/>
              </w:rPr>
            </w:pPr>
            <w:r>
              <w:rPr>
                <w:rFonts w:hint="default"/>
                <w:lang w:val="en-US" w:eastAsia="zh-CN"/>
              </w:rPr>
              <w:t>4、</w:t>
            </w:r>
            <w:r>
              <w:rPr>
                <w:rFonts w:hint="default"/>
                <w:lang w:eastAsia="zh-CN"/>
              </w:rPr>
              <w:t>资质</w:t>
            </w:r>
            <w:r>
              <w:rPr>
                <w:rFonts w:hint="eastAsia"/>
                <w:lang w:eastAsia="zh-CN"/>
              </w:rPr>
              <w:t>、</w:t>
            </w:r>
            <w:r>
              <w:rPr>
                <w:rFonts w:hint="default"/>
                <w:lang w:eastAsia="zh-CN"/>
              </w:rPr>
              <w:t>营业执照不符合“</w:t>
            </w:r>
            <w:r>
              <w:rPr>
                <w:rFonts w:hint="eastAsia"/>
                <w:lang w:val="en-US" w:eastAsia="zh-CN"/>
              </w:rPr>
              <w:t>竞选人</w:t>
            </w:r>
            <w:r>
              <w:rPr>
                <w:rFonts w:hint="default"/>
                <w:lang w:val="en-US" w:eastAsia="zh-CN"/>
              </w:rPr>
              <w:t>资格要求</w:t>
            </w:r>
            <w:r>
              <w:rPr>
                <w:rFonts w:hint="default"/>
                <w:lang w:eastAsia="zh-CN"/>
              </w:rPr>
              <w:t>”第</w:t>
            </w:r>
            <w:r>
              <w:rPr>
                <w:rFonts w:hint="eastAsia"/>
                <w:lang w:val="en-US" w:eastAsia="zh-CN"/>
              </w:rPr>
              <w:t>（一）</w:t>
            </w:r>
            <w:r>
              <w:rPr>
                <w:rFonts w:hint="default"/>
                <w:lang w:val="en-US" w:eastAsia="zh-CN"/>
              </w:rPr>
              <w:t>项</w:t>
            </w:r>
            <w:r>
              <w:rPr>
                <w:rFonts w:hint="eastAsia"/>
                <w:lang w:val="en-US" w:eastAsia="zh-CN"/>
              </w:rPr>
              <w:t>要求</w:t>
            </w:r>
            <w:r>
              <w:rPr>
                <w:rFonts w:hint="default"/>
                <w:lang w:eastAsia="zh-CN"/>
              </w:rPr>
              <w:t>，审查营业执照</w:t>
            </w:r>
            <w:r>
              <w:rPr>
                <w:rFonts w:hint="eastAsia"/>
                <w:lang w:val="en-US" w:eastAsia="zh-CN"/>
              </w:rPr>
              <w:t>和</w:t>
            </w:r>
            <w:r>
              <w:rPr>
                <w:rFonts w:hint="default"/>
                <w:lang w:eastAsia="zh-CN"/>
              </w:rPr>
              <w:t>资质证书。</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default"/>
                <w:lang w:eastAsia="zh-CN"/>
              </w:rPr>
            </w:pPr>
            <w:r>
              <w:rPr>
                <w:rFonts w:hint="default"/>
                <w:lang w:val="en-US" w:eastAsia="zh-CN"/>
              </w:rPr>
              <w:t>5、</w:t>
            </w:r>
            <w:r>
              <w:rPr>
                <w:rFonts w:hint="default"/>
                <w:lang w:eastAsia="zh-CN"/>
              </w:rPr>
              <w:t>业绩证明材料不符合“</w:t>
            </w:r>
            <w:r>
              <w:rPr>
                <w:rFonts w:hint="eastAsia"/>
                <w:lang w:val="en-US" w:eastAsia="zh-CN"/>
              </w:rPr>
              <w:t>竞选人</w:t>
            </w:r>
            <w:r>
              <w:rPr>
                <w:rFonts w:hint="default"/>
                <w:lang w:val="en-US" w:eastAsia="zh-CN"/>
              </w:rPr>
              <w:t>资格要求</w:t>
            </w:r>
            <w:r>
              <w:rPr>
                <w:rFonts w:hint="default"/>
                <w:lang w:eastAsia="zh-CN"/>
              </w:rPr>
              <w:t>”第</w:t>
            </w:r>
            <w:r>
              <w:rPr>
                <w:rFonts w:hint="eastAsia"/>
                <w:lang w:val="en-US" w:eastAsia="zh-CN"/>
              </w:rPr>
              <w:t>（二）</w:t>
            </w:r>
            <w:r>
              <w:rPr>
                <w:rFonts w:hint="default"/>
                <w:lang w:val="en-US" w:eastAsia="zh-CN"/>
              </w:rPr>
              <w:t>项</w:t>
            </w:r>
            <w:r>
              <w:rPr>
                <w:rFonts w:hint="eastAsia"/>
                <w:lang w:val="en-US" w:eastAsia="zh-CN"/>
              </w:rPr>
              <w:t>要求</w:t>
            </w:r>
            <w:r>
              <w:rPr>
                <w:rFonts w:hint="default"/>
                <w:lang w:eastAsia="zh-CN"/>
              </w:rPr>
              <w:t>，审查内容：合同时间、合同金额</w:t>
            </w:r>
            <w:r>
              <w:rPr>
                <w:rFonts w:hint="eastAsia"/>
                <w:lang w:eastAsia="zh-CN"/>
              </w:rPr>
              <w:t>、</w:t>
            </w:r>
            <w:r>
              <w:rPr>
                <w:rFonts w:hint="eastAsia"/>
                <w:lang w:val="en-US" w:eastAsia="zh-CN"/>
              </w:rPr>
              <w:t>业绩证明材料（须提供合同复印件）</w:t>
            </w:r>
            <w:r>
              <w:rPr>
                <w:rFonts w:hint="default"/>
                <w:lang w:eastAsia="zh-CN"/>
              </w:rPr>
              <w:t>。字迹不清晰或难以辨认视为不符合要求。</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default"/>
                <w:lang w:eastAsia="zh-CN"/>
              </w:rPr>
            </w:pPr>
            <w:r>
              <w:rPr>
                <w:rFonts w:hint="default"/>
                <w:lang w:val="en-US" w:eastAsia="zh-CN"/>
              </w:rPr>
              <w:t>6、</w:t>
            </w:r>
            <w:r>
              <w:rPr>
                <w:rFonts w:hint="default"/>
                <w:lang w:eastAsia="zh-CN"/>
              </w:rPr>
              <w:t>人员相关资格证明材料不符合“</w:t>
            </w:r>
            <w:r>
              <w:rPr>
                <w:rFonts w:hint="eastAsia"/>
                <w:lang w:val="en-US" w:eastAsia="zh-CN"/>
              </w:rPr>
              <w:t>竞选人</w:t>
            </w:r>
            <w:r>
              <w:rPr>
                <w:rFonts w:hint="default"/>
                <w:lang w:val="en-US" w:eastAsia="zh-CN"/>
              </w:rPr>
              <w:t>资格要求</w:t>
            </w:r>
            <w:r>
              <w:rPr>
                <w:rFonts w:hint="default"/>
                <w:lang w:eastAsia="zh-CN"/>
              </w:rPr>
              <w:t>”第</w:t>
            </w:r>
            <w:r>
              <w:rPr>
                <w:rFonts w:hint="eastAsia"/>
                <w:lang w:val="en-US" w:eastAsia="zh-CN"/>
              </w:rPr>
              <w:t>（三）</w:t>
            </w:r>
            <w:r>
              <w:rPr>
                <w:rFonts w:hint="default"/>
                <w:lang w:val="en-US" w:eastAsia="zh-CN"/>
              </w:rPr>
              <w:t>项</w:t>
            </w:r>
            <w:r>
              <w:rPr>
                <w:rFonts w:hint="eastAsia"/>
                <w:lang w:val="en-US" w:eastAsia="zh-CN"/>
              </w:rPr>
              <w:t>要求</w:t>
            </w:r>
            <w:r>
              <w:rPr>
                <w:rFonts w:hint="default"/>
                <w:lang w:eastAsia="zh-CN"/>
              </w:rPr>
              <w:t>，审查</w:t>
            </w:r>
            <w:r>
              <w:rPr>
                <w:rFonts w:hint="default"/>
                <w:lang w:val="en-US" w:eastAsia="zh-CN"/>
              </w:rPr>
              <w:t>内容：职称</w:t>
            </w:r>
            <w:r>
              <w:rPr>
                <w:rFonts w:hint="default"/>
                <w:lang w:eastAsia="zh-CN"/>
              </w:rPr>
              <w:t>证书、社保证明。</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default"/>
                <w:lang w:val="en-US" w:eastAsia="zh-CN"/>
              </w:rPr>
            </w:pPr>
            <w:r>
              <w:rPr>
                <w:rFonts w:hint="default"/>
                <w:lang w:val="en-US" w:eastAsia="zh-CN"/>
              </w:rPr>
              <w:t>7、比选文件未按要求加盖公章。</w:t>
            </w:r>
          </w:p>
          <w:p>
            <w:pPr>
              <w:pStyle w:val="3"/>
              <w:rPr>
                <w:rFonts w:hint="default"/>
                <w:lang w:val="en-US" w:eastAsia="zh-CN"/>
              </w:rPr>
            </w:pPr>
            <w:r>
              <w:rPr>
                <w:rFonts w:hint="eastAsia"/>
                <w:lang w:val="en-US" w:eastAsia="zh-CN"/>
              </w:rPr>
              <w:t>8、参加比选的代理商未提供电梯制造商针对本项目出具的唯一授权函，审查内容：有效的唯一授权函复印件。</w:t>
            </w:r>
          </w:p>
          <w:p>
            <w:pPr>
              <w:pStyle w:val="3"/>
              <w:numPr>
                <w:ilvl w:val="0"/>
                <w:numId w:val="0"/>
              </w:numPr>
              <w:rPr>
                <w:rFonts w:hint="eastAsia"/>
                <w:lang w:val="en-US" w:eastAsia="zh-CN"/>
              </w:rPr>
            </w:pPr>
            <w:r>
              <w:rPr>
                <w:rFonts w:hint="eastAsia"/>
                <w:lang w:val="en-US" w:eastAsia="zh-CN"/>
              </w:rPr>
              <w:t>9、未承诺所投电梯是同一品牌的，审查内容：承诺函。</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default"/>
                <w:lang w:eastAsia="zh-CN"/>
              </w:rPr>
            </w:pPr>
            <w:r>
              <w:rPr>
                <w:rFonts w:hint="eastAsia"/>
                <w:lang w:val="en-US" w:eastAsia="zh-CN"/>
              </w:rPr>
              <w:t>10</w:t>
            </w:r>
            <w:r>
              <w:rPr>
                <w:rFonts w:hint="default"/>
                <w:lang w:val="en-US" w:eastAsia="zh-CN"/>
              </w:rPr>
              <w:t>、发现</w:t>
            </w:r>
            <w:r>
              <w:rPr>
                <w:rFonts w:hint="default"/>
                <w:lang w:eastAsia="zh-CN"/>
              </w:rPr>
              <w:t>串通投标或弄虚作假或有其他违法行为的。</w:t>
            </w:r>
          </w:p>
          <w:p>
            <w:pPr>
              <w:numPr>
                <w:ilvl w:val="0"/>
                <w:numId w:val="0"/>
              </w:numPr>
              <w:rPr>
                <w:rFonts w:hint="default"/>
                <w:lang w:val="en-US" w:eastAsia="zh-CN"/>
              </w:rPr>
            </w:pPr>
          </w:p>
        </w:tc>
      </w:tr>
    </w:tbl>
    <w:p>
      <w:pPr>
        <w:keepNext w:val="0"/>
        <w:keepLines w:val="0"/>
        <w:pageBreakBefore w:val="0"/>
        <w:widowControl/>
        <w:kinsoku/>
        <w:wordWrap/>
        <w:overflowPunct/>
        <w:topLinePunct w:val="0"/>
        <w:autoSpaceDE/>
        <w:autoSpaceDN/>
        <w:bidi w:val="0"/>
        <w:adjustRightInd/>
        <w:snapToGrid/>
        <w:spacing w:before="100" w:beforeAutospacing="1" w:after="100" w:afterAutospacing="1" w:line="300" w:lineRule="exact"/>
        <w:ind w:firstLine="1680" w:firstLineChars="600"/>
        <w:jc w:val="right"/>
        <w:textAlignment w:val="auto"/>
        <w:rPr>
          <w:rFonts w:hint="default" w:ascii="Times New Roman" w:hAnsi="Times New Roman" w:eastAsia="仿宋_GB2312" w:cs="Times New Roman"/>
          <w:b w:val="0"/>
          <w:bCs/>
          <w:color w:val="auto"/>
          <w:kern w:val="0"/>
          <w:sz w:val="28"/>
          <w:szCs w:val="28"/>
          <w:lang w:val="en-US" w:eastAsia="zh-CN"/>
        </w:rPr>
      </w:pPr>
    </w:p>
    <w:p>
      <w:pPr>
        <w:keepNext w:val="0"/>
        <w:keepLines w:val="0"/>
        <w:pageBreakBefore w:val="0"/>
        <w:widowControl/>
        <w:kinsoku/>
        <w:wordWrap/>
        <w:overflowPunct/>
        <w:topLinePunct w:val="0"/>
        <w:autoSpaceDE/>
        <w:autoSpaceDN/>
        <w:bidi w:val="0"/>
        <w:adjustRightInd/>
        <w:snapToGrid/>
        <w:spacing w:before="100" w:beforeAutospacing="1" w:after="100" w:afterAutospacing="1" w:line="300" w:lineRule="exact"/>
        <w:ind w:firstLine="1680" w:firstLineChars="600"/>
        <w:jc w:val="right"/>
        <w:textAlignment w:val="auto"/>
        <w:rPr>
          <w:rFonts w:hint="default" w:ascii="Times New Roman" w:hAnsi="Times New Roman" w:eastAsia="仿宋_GB2312" w:cs="Times New Roman"/>
          <w:b w:val="0"/>
          <w:bCs/>
          <w:color w:val="auto"/>
          <w:kern w:val="0"/>
          <w:sz w:val="28"/>
          <w:szCs w:val="28"/>
          <w:lang w:val="en-US" w:eastAsia="zh-CN"/>
        </w:rPr>
      </w:pPr>
      <w:r>
        <w:rPr>
          <w:rFonts w:hint="default" w:ascii="Times New Roman" w:hAnsi="Times New Roman" w:eastAsia="仿宋_GB2312" w:cs="Times New Roman"/>
          <w:b w:val="0"/>
          <w:bCs/>
          <w:color w:val="auto"/>
          <w:kern w:val="0"/>
          <w:sz w:val="28"/>
          <w:szCs w:val="28"/>
          <w:lang w:val="en-US" w:eastAsia="zh-CN"/>
        </w:rPr>
        <w:t>重庆城市综合交通枢纽（集团）有限公司</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ascii="Times New Roman" w:hAnsi="Times New Roman" w:eastAsia="方正仿宋_GBK" w:cs="Times New Roman"/>
          <w:color w:val="auto"/>
          <w:sz w:val="28"/>
          <w:szCs w:val="28"/>
          <w:lang w:val="en-US" w:eastAsia="zh-CN"/>
        </w:rPr>
      </w:pPr>
      <w:r>
        <w:rPr>
          <w:rFonts w:hint="default" w:ascii="Times New Roman" w:hAnsi="Times New Roman" w:eastAsia="仿宋_GB2312" w:cs="Times New Roman"/>
          <w:b w:val="0"/>
          <w:bCs/>
          <w:color w:val="auto"/>
          <w:kern w:val="0"/>
          <w:sz w:val="28"/>
          <w:szCs w:val="28"/>
          <w:lang w:val="en-US" w:eastAsia="zh-CN"/>
        </w:rPr>
        <w:t xml:space="preserve">                     年    月    日</w:t>
      </w:r>
    </w:p>
    <w:p>
      <w:pPr>
        <w:jc w:val="both"/>
        <w:rPr>
          <w:rFonts w:hint="default" w:ascii="Times New Roman" w:hAnsi="Times New Roman" w:eastAsia="方正仿宋_GBK" w:cs="Times New Roman"/>
          <w:color w:val="auto"/>
          <w:sz w:val="28"/>
          <w:szCs w:val="28"/>
          <w:lang w:val="en-US" w:eastAsia="zh-CN"/>
        </w:rPr>
      </w:pPr>
    </w:p>
    <w:p>
      <w:pPr>
        <w:jc w:val="both"/>
        <w:rPr>
          <w:rFonts w:hint="default" w:ascii="Times New Roman" w:hAnsi="Times New Roman" w:eastAsia="方正仿宋_GBK" w:cs="Times New Roman"/>
          <w:color w:val="auto"/>
          <w:sz w:val="28"/>
          <w:szCs w:val="28"/>
          <w:lang w:val="en-US" w:eastAsia="zh-CN"/>
        </w:rPr>
      </w:pPr>
    </w:p>
    <w:p>
      <w:pPr>
        <w:jc w:val="both"/>
        <w:rPr>
          <w:rFonts w:hint="default" w:ascii="Times New Roman" w:hAnsi="Times New Roman" w:eastAsia="方正仿宋_GBK" w:cs="Times New Roman"/>
          <w:color w:val="auto"/>
          <w:sz w:val="28"/>
          <w:szCs w:val="28"/>
          <w:lang w:val="en-US" w:eastAsia="zh-CN"/>
        </w:rPr>
      </w:pPr>
    </w:p>
    <w:p>
      <w:pPr>
        <w:jc w:val="both"/>
        <w:rPr>
          <w:rFonts w:hint="default" w:ascii="Times New Roman" w:hAnsi="Times New Roman" w:eastAsia="方正仿宋_GBK" w:cs="Times New Roman"/>
          <w:color w:val="auto"/>
          <w:sz w:val="28"/>
          <w:szCs w:val="28"/>
          <w:lang w:val="en-US" w:eastAsia="zh-CN"/>
        </w:rPr>
      </w:pPr>
    </w:p>
    <w:p>
      <w:pPr>
        <w:pStyle w:val="3"/>
        <w:rPr>
          <w:rFonts w:hint="default" w:ascii="Times New Roman" w:hAnsi="Times New Roman" w:eastAsia="方正仿宋_GBK" w:cs="Times New Roman"/>
          <w:color w:val="auto"/>
          <w:sz w:val="28"/>
          <w:szCs w:val="28"/>
          <w:lang w:val="en-US" w:eastAsia="zh-CN"/>
        </w:rPr>
      </w:pPr>
    </w:p>
    <w:p>
      <w:pPr>
        <w:rPr>
          <w:rFonts w:hint="default"/>
          <w:lang w:val="en-US" w:eastAsia="zh-CN"/>
        </w:rPr>
      </w:pPr>
    </w:p>
    <w:p>
      <w:pPr>
        <w:jc w:val="both"/>
        <w:rPr>
          <w:rFonts w:hint="default" w:ascii="Times New Roman" w:hAnsi="Times New Roman" w:eastAsia="方正仿宋_GBK" w:cs="Times New Roman"/>
          <w:color w:val="auto"/>
          <w:sz w:val="28"/>
          <w:szCs w:val="28"/>
          <w:lang w:val="en-US" w:eastAsia="zh-CN"/>
        </w:rPr>
      </w:pPr>
    </w:p>
    <w:p>
      <w:pPr>
        <w:jc w:val="both"/>
        <w:rPr>
          <w:rFonts w:hint="default" w:ascii="Times New Roman" w:hAnsi="Times New Roman" w:eastAsia="方正仿宋_GBK" w:cs="Times New Roman"/>
          <w:color w:val="auto"/>
          <w:sz w:val="28"/>
          <w:szCs w:val="28"/>
          <w:lang w:val="en-US" w:eastAsia="zh-CN"/>
        </w:rPr>
      </w:pPr>
    </w:p>
    <w:p>
      <w:pPr>
        <w:jc w:val="both"/>
        <w:rPr>
          <w:rFonts w:hint="default" w:ascii="Times New Roman" w:hAnsi="Times New Roman" w:eastAsia="方正仿宋_GBK" w:cs="Times New Roman"/>
          <w:color w:val="auto"/>
          <w:sz w:val="28"/>
          <w:szCs w:val="28"/>
          <w:lang w:val="en-US" w:eastAsia="zh-CN"/>
        </w:rPr>
      </w:pPr>
    </w:p>
    <w:p>
      <w:pPr>
        <w:jc w:val="both"/>
        <w:rPr>
          <w:rFonts w:hint="default" w:ascii="Times New Roman" w:hAnsi="Times New Roman" w:eastAsia="方正仿宋_GBK" w:cs="Times New Roman"/>
          <w:color w:val="auto"/>
          <w:sz w:val="28"/>
          <w:szCs w:val="28"/>
          <w:lang w:val="en-US" w:eastAsia="zh-CN"/>
        </w:rPr>
      </w:pPr>
    </w:p>
    <w:p>
      <w:pPr>
        <w:jc w:val="both"/>
        <w:rPr>
          <w:rFonts w:hint="default" w:ascii="Times New Roman" w:hAnsi="Times New Roman" w:eastAsia="方正仿宋_GBK" w:cs="Times New Roman"/>
          <w:color w:val="auto"/>
          <w:sz w:val="28"/>
          <w:szCs w:val="28"/>
          <w:lang w:val="en-US" w:eastAsia="zh-CN"/>
        </w:rPr>
      </w:pPr>
    </w:p>
    <w:p>
      <w:pPr>
        <w:jc w:val="both"/>
        <w:rPr>
          <w:rFonts w:hint="default" w:ascii="Times New Roman" w:hAnsi="Times New Roman" w:eastAsia="方正仿宋_GBK" w:cs="Times New Roman"/>
          <w:color w:val="auto"/>
          <w:sz w:val="28"/>
          <w:szCs w:val="28"/>
          <w:lang w:val="en-US" w:eastAsia="zh-CN"/>
        </w:rPr>
      </w:pPr>
    </w:p>
    <w:p>
      <w:pPr>
        <w:jc w:val="both"/>
        <w:rPr>
          <w:rFonts w:hint="default" w:ascii="Times New Roman" w:hAnsi="Times New Roman" w:eastAsia="方正仿宋_GBK" w:cs="Times New Roman"/>
          <w:color w:val="auto"/>
          <w:sz w:val="28"/>
          <w:szCs w:val="28"/>
          <w:lang w:val="en-US" w:eastAsia="zh-CN"/>
        </w:rPr>
      </w:pPr>
    </w:p>
    <w:p>
      <w:pPr>
        <w:jc w:val="both"/>
        <w:rPr>
          <w:rFonts w:hint="default" w:ascii="Times New Roman" w:hAnsi="Times New Roman" w:eastAsia="方正仿宋_GBK" w:cs="Times New Roman"/>
          <w:color w:val="auto"/>
          <w:sz w:val="28"/>
          <w:szCs w:val="28"/>
          <w:lang w:val="en-US" w:eastAsia="zh-CN"/>
        </w:rPr>
      </w:pPr>
    </w:p>
    <w:p>
      <w:pPr>
        <w:jc w:val="both"/>
        <w:rPr>
          <w:rFonts w:hint="default" w:ascii="Times New Roman" w:hAnsi="Times New Roman" w:eastAsia="方正仿宋_GBK" w:cs="Times New Roman"/>
          <w:color w:val="auto"/>
          <w:sz w:val="28"/>
          <w:szCs w:val="28"/>
          <w:lang w:val="en-US" w:eastAsia="zh-CN"/>
        </w:rPr>
      </w:pPr>
    </w:p>
    <w:p>
      <w:pPr>
        <w:jc w:val="both"/>
        <w:rPr>
          <w:rFonts w:hint="default" w:ascii="Times New Roman" w:hAnsi="Times New Roman" w:eastAsia="方正仿宋_GBK" w:cs="Times New Roman"/>
          <w:color w:val="auto"/>
          <w:sz w:val="28"/>
          <w:szCs w:val="28"/>
          <w:lang w:val="en-US" w:eastAsia="zh-CN"/>
        </w:rPr>
      </w:pPr>
    </w:p>
    <w:p>
      <w:pPr>
        <w:jc w:val="both"/>
        <w:rPr>
          <w:rFonts w:hint="default" w:ascii="Times New Roman" w:hAnsi="Times New Roman" w:eastAsia="方正仿宋_GBK" w:cs="Times New Roman"/>
          <w:color w:val="auto"/>
          <w:sz w:val="28"/>
          <w:szCs w:val="28"/>
          <w:lang w:val="en-US" w:eastAsia="zh-CN"/>
        </w:rPr>
      </w:pPr>
    </w:p>
    <w:p>
      <w:pPr>
        <w:jc w:val="both"/>
        <w:rPr>
          <w:rFonts w:hint="default" w:ascii="Times New Roman" w:hAnsi="Times New Roman" w:eastAsia="方正仿宋_GBK" w:cs="Times New Roman"/>
          <w:color w:val="auto"/>
          <w:sz w:val="28"/>
          <w:szCs w:val="28"/>
          <w:lang w:val="en-US" w:eastAsia="zh-CN"/>
        </w:rPr>
      </w:pPr>
    </w:p>
    <w:p>
      <w:pPr>
        <w:jc w:val="both"/>
        <w:rPr>
          <w:rFonts w:hint="default" w:ascii="Times New Roman" w:hAnsi="Times New Roman" w:eastAsia="方正仿宋_GBK" w:cs="Times New Roman"/>
          <w:color w:val="auto"/>
          <w:sz w:val="28"/>
          <w:szCs w:val="28"/>
          <w:lang w:val="en-US" w:eastAsia="zh-CN"/>
        </w:rPr>
      </w:pPr>
    </w:p>
    <w:p>
      <w:pPr>
        <w:jc w:val="both"/>
        <w:rPr>
          <w:rFonts w:hint="default" w:ascii="Times New Roman" w:hAnsi="Times New Roman" w:eastAsia="方正仿宋_GBK" w:cs="Times New Roman"/>
          <w:color w:val="auto"/>
          <w:sz w:val="28"/>
          <w:szCs w:val="28"/>
          <w:lang w:val="en-US" w:eastAsia="zh-CN"/>
        </w:rPr>
      </w:pPr>
    </w:p>
    <w:p>
      <w:pPr>
        <w:jc w:val="both"/>
        <w:rPr>
          <w:rFonts w:hint="default" w:ascii="Times New Roman" w:hAnsi="Times New Roman" w:eastAsia="方正仿宋_GBK" w:cs="Times New Roman"/>
          <w:color w:val="auto"/>
          <w:sz w:val="28"/>
          <w:szCs w:val="28"/>
          <w:lang w:val="en-US" w:eastAsia="zh-CN"/>
        </w:rPr>
      </w:pPr>
    </w:p>
    <w:p>
      <w:pPr>
        <w:jc w:val="both"/>
        <w:rPr>
          <w:rFonts w:hint="default" w:ascii="Times New Roman" w:hAnsi="Times New Roman" w:eastAsia="方正仿宋_GBK" w:cs="Times New Roman"/>
          <w:color w:val="auto"/>
          <w:sz w:val="28"/>
          <w:szCs w:val="28"/>
          <w:lang w:val="en-US" w:eastAsia="zh-CN"/>
        </w:rPr>
      </w:pPr>
    </w:p>
    <w:p>
      <w:pPr>
        <w:jc w:val="both"/>
        <w:rPr>
          <w:rFonts w:hint="default" w:ascii="Times New Roman" w:hAnsi="Times New Roman" w:eastAsia="方正仿宋_GBK" w:cs="Times New Roman"/>
          <w:color w:val="auto"/>
          <w:sz w:val="28"/>
          <w:szCs w:val="28"/>
          <w:lang w:val="en-US" w:eastAsia="zh-CN"/>
        </w:rPr>
      </w:pPr>
    </w:p>
    <w:p>
      <w:pPr>
        <w:pStyle w:val="2"/>
        <w:rPr>
          <w:rFonts w:hint="default" w:ascii="Times New Roman" w:hAnsi="Times New Roman" w:eastAsia="方正仿宋_GBK" w:cs="Times New Roman"/>
          <w:color w:val="auto"/>
          <w:sz w:val="28"/>
          <w:szCs w:val="28"/>
          <w:lang w:val="en-US" w:eastAsia="zh-CN"/>
        </w:rPr>
      </w:pPr>
    </w:p>
    <w:p>
      <w:pPr>
        <w:pStyle w:val="2"/>
        <w:rPr>
          <w:rFonts w:hint="default" w:ascii="Times New Roman" w:hAnsi="Times New Roman" w:eastAsia="方正仿宋_GBK" w:cs="Times New Roman"/>
          <w:color w:val="auto"/>
          <w:sz w:val="28"/>
          <w:szCs w:val="28"/>
          <w:lang w:val="en-US" w:eastAsia="zh-CN"/>
        </w:rPr>
      </w:pPr>
    </w:p>
    <w:p>
      <w:pPr>
        <w:pStyle w:val="2"/>
        <w:rPr>
          <w:rFonts w:hint="default" w:ascii="Times New Roman" w:hAnsi="Times New Roman" w:eastAsia="方正仿宋_GBK" w:cs="Times New Roman"/>
          <w:color w:val="auto"/>
          <w:sz w:val="28"/>
          <w:szCs w:val="28"/>
          <w:lang w:val="en-US" w:eastAsia="zh-CN"/>
        </w:rPr>
      </w:pPr>
    </w:p>
    <w:p>
      <w:pPr>
        <w:pStyle w:val="2"/>
        <w:rPr>
          <w:rFonts w:hint="default" w:ascii="Times New Roman" w:hAnsi="Times New Roman" w:eastAsia="方正仿宋_GBK" w:cs="Times New Roman"/>
          <w:color w:val="auto"/>
          <w:sz w:val="28"/>
          <w:szCs w:val="28"/>
          <w:lang w:val="en-US" w:eastAsia="zh-CN"/>
        </w:rPr>
      </w:pPr>
    </w:p>
    <w:p>
      <w:pPr>
        <w:pStyle w:val="2"/>
        <w:rPr>
          <w:rFonts w:hint="default" w:ascii="Times New Roman" w:hAnsi="Times New Roman" w:eastAsia="方正仿宋_GBK" w:cs="Times New Roman"/>
          <w:color w:val="auto"/>
          <w:sz w:val="28"/>
          <w:szCs w:val="28"/>
          <w:lang w:val="en-US" w:eastAsia="zh-CN"/>
        </w:rPr>
      </w:pPr>
    </w:p>
    <w:p>
      <w:pPr>
        <w:jc w:val="both"/>
        <w:rPr>
          <w:rFonts w:hint="default" w:ascii="Times New Roman" w:hAnsi="Times New Roman" w:eastAsia="方正仿宋_GBK" w:cs="Times New Roman"/>
          <w:color w:val="auto"/>
          <w:sz w:val="28"/>
          <w:szCs w:val="28"/>
          <w:lang w:val="en-US" w:eastAsia="zh-CN"/>
        </w:rPr>
      </w:pPr>
    </w:p>
    <w:p>
      <w:pPr>
        <w:jc w:val="both"/>
        <w:rPr>
          <w:rFonts w:hint="default" w:ascii="Times New Roman" w:hAnsi="Times New Roman" w:eastAsia="方正仿宋_GBK" w:cs="Times New Roman"/>
          <w:color w:val="auto"/>
          <w:sz w:val="28"/>
          <w:szCs w:val="28"/>
          <w:lang w:val="en-US" w:eastAsia="zh-CN"/>
        </w:rPr>
      </w:pPr>
    </w:p>
    <w:p>
      <w:pPr>
        <w:jc w:val="both"/>
        <w:rPr>
          <w:rFonts w:hint="default" w:ascii="Times New Roman" w:hAnsi="Times New Roman" w:eastAsia="方正仿宋_GBK" w:cs="Times New Roman"/>
          <w:color w:val="auto"/>
          <w:sz w:val="28"/>
          <w:szCs w:val="28"/>
          <w:lang w:val="en-US" w:eastAsia="zh-CN"/>
        </w:rPr>
      </w:pPr>
    </w:p>
    <w:p>
      <w:pPr>
        <w:jc w:val="both"/>
        <w:rPr>
          <w:rFonts w:hint="default" w:ascii="Times New Roman" w:hAnsi="Times New Roman" w:eastAsia="方正仿宋_GBK" w:cs="Times New Roman"/>
          <w:color w:val="auto"/>
          <w:sz w:val="28"/>
          <w:szCs w:val="28"/>
          <w:lang w:val="en-US" w:eastAsia="zh-CN"/>
        </w:rPr>
      </w:pPr>
    </w:p>
    <w:p>
      <w:pPr>
        <w:jc w:val="both"/>
        <w:rPr>
          <w:rFonts w:hint="default" w:ascii="Times New Roman" w:hAnsi="Times New Roman" w:eastAsia="方正仿宋_GBK" w:cs="Times New Roman"/>
          <w:color w:val="auto"/>
          <w:sz w:val="28"/>
          <w:szCs w:val="28"/>
          <w:lang w:val="en-US" w:eastAsia="zh-CN"/>
        </w:rPr>
      </w:pPr>
    </w:p>
    <w:p>
      <w:pPr>
        <w:jc w:val="both"/>
        <w:rPr>
          <w:rFonts w:hint="default" w:ascii="Times New Roman" w:hAnsi="Times New Roman" w:eastAsia="方正仿宋_GBK" w:cs="Times New Roman"/>
          <w:color w:val="auto"/>
          <w:sz w:val="28"/>
          <w:szCs w:val="28"/>
          <w:lang w:val="en-US" w:eastAsia="zh-CN"/>
        </w:rPr>
      </w:pPr>
    </w:p>
    <w:p>
      <w:pPr>
        <w:jc w:val="both"/>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比选文件格式</w:t>
      </w:r>
    </w:p>
    <w:p>
      <w:pPr>
        <w:jc w:val="center"/>
        <w:rPr>
          <w:rFonts w:hint="default" w:ascii="Times New Roman" w:hAnsi="Times New Roman" w:eastAsia="方正仿宋_GBK" w:cs="Times New Roman"/>
          <w:color w:val="auto"/>
          <w:sz w:val="28"/>
          <w:szCs w:val="28"/>
        </w:rPr>
      </w:pPr>
      <w:r>
        <w:rPr>
          <w:rFonts w:hint="default" w:ascii="Times New Roman" w:hAnsi="Times New Roman" w:eastAsia="仿宋_GB2312" w:cs="Times New Roman"/>
          <w:color w:val="auto"/>
          <w:sz w:val="28"/>
          <w:szCs w:val="28"/>
          <w:lang w:val="en-US" w:eastAsia="zh-CN"/>
        </w:rPr>
        <w:t>★</w:t>
      </w:r>
      <w:r>
        <w:rPr>
          <w:rFonts w:hint="default" w:ascii="Times New Roman" w:hAnsi="Times New Roman" w:eastAsia="方正仿宋_GBK" w:cs="Times New Roman"/>
          <w:color w:val="auto"/>
          <w:sz w:val="28"/>
          <w:szCs w:val="28"/>
        </w:rPr>
        <w:t>格式一</w:t>
      </w:r>
      <w:r>
        <w:rPr>
          <w:rFonts w:hint="default" w:ascii="Times New Roman" w:hAnsi="Times New Roman" w:eastAsia="方正仿宋_GBK" w:cs="Times New Roman"/>
          <w:color w:val="auto"/>
          <w:sz w:val="28"/>
          <w:szCs w:val="28"/>
          <w:lang w:val="en-US" w:eastAsia="zh-CN"/>
        </w:rPr>
        <w:t xml:space="preserve">  </w:t>
      </w:r>
      <w:r>
        <w:rPr>
          <w:rFonts w:hint="default" w:ascii="Times New Roman" w:hAnsi="Times New Roman" w:eastAsia="方正仿宋_GBK" w:cs="Times New Roman"/>
          <w:color w:val="auto"/>
          <w:sz w:val="28"/>
          <w:szCs w:val="28"/>
        </w:rPr>
        <w:t xml:space="preserve"> </w:t>
      </w:r>
      <w:r>
        <w:rPr>
          <w:rFonts w:hint="default" w:ascii="Times New Roman" w:hAnsi="Times New Roman" w:eastAsia="方正仿宋_GBK" w:cs="Times New Roman"/>
          <w:color w:val="auto"/>
          <w:sz w:val="28"/>
          <w:szCs w:val="28"/>
          <w:lang w:eastAsia="zh-CN"/>
        </w:rPr>
        <w:t>比</w:t>
      </w:r>
      <w:r>
        <w:rPr>
          <w:rFonts w:hint="default" w:ascii="Times New Roman" w:hAnsi="Times New Roman" w:eastAsia="方正仿宋_GBK" w:cs="Times New Roman"/>
          <w:color w:val="auto"/>
          <w:sz w:val="28"/>
          <w:szCs w:val="28"/>
          <w:lang w:val="en-US" w:eastAsia="zh-CN"/>
        </w:rPr>
        <w:t xml:space="preserve"> </w:t>
      </w:r>
      <w:r>
        <w:rPr>
          <w:rFonts w:hint="default" w:ascii="Times New Roman" w:hAnsi="Times New Roman" w:eastAsia="方正仿宋_GBK" w:cs="Times New Roman"/>
          <w:color w:val="auto"/>
          <w:sz w:val="28"/>
          <w:szCs w:val="28"/>
          <w:lang w:eastAsia="zh-CN"/>
        </w:rPr>
        <w:t>选</w:t>
      </w:r>
      <w:r>
        <w:rPr>
          <w:rFonts w:hint="default" w:ascii="Times New Roman" w:hAnsi="Times New Roman" w:eastAsia="方正仿宋_GBK" w:cs="Times New Roman"/>
          <w:color w:val="auto"/>
          <w:sz w:val="28"/>
          <w:szCs w:val="28"/>
        </w:rPr>
        <w:t xml:space="preserve"> 函</w:t>
      </w:r>
    </w:p>
    <w:p>
      <w:pPr>
        <w:rPr>
          <w:rFonts w:hint="default" w:ascii="Times New Roman" w:hAnsi="Times New Roman" w:eastAsia="方正仿宋_GBK" w:cs="Times New Roman"/>
          <w:color w:val="auto"/>
          <w:sz w:val="28"/>
          <w:szCs w:val="28"/>
          <w:u w:val="single"/>
        </w:rPr>
      </w:pPr>
      <w:r>
        <w:rPr>
          <w:rFonts w:hint="default" w:ascii="Times New Roman" w:hAnsi="Times New Roman" w:eastAsia="方正仿宋_GBK" w:cs="Times New Roman"/>
          <w:color w:val="auto"/>
          <w:sz w:val="28"/>
          <w:szCs w:val="28"/>
          <w:u w:val="single"/>
        </w:rPr>
        <w:t xml:space="preserve">                           ：</w:t>
      </w:r>
    </w:p>
    <w:p>
      <w:pP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 xml:space="preserve">     根据贵方</w:t>
      </w:r>
      <w:r>
        <w:rPr>
          <w:rFonts w:hint="default" w:ascii="Times New Roman" w:hAnsi="Times New Roman" w:eastAsia="方正仿宋_GBK" w:cs="Times New Roman"/>
          <w:color w:val="auto"/>
          <w:sz w:val="28"/>
          <w:szCs w:val="28"/>
          <w:u w:val="single"/>
        </w:rPr>
        <w:t xml:space="preserve"> </w:t>
      </w:r>
      <w:r>
        <w:rPr>
          <w:rFonts w:hint="default" w:ascii="Times New Roman" w:hAnsi="Times New Roman" w:eastAsia="方正仿宋_GBK" w:cs="Times New Roman"/>
          <w:color w:val="auto"/>
          <w:sz w:val="28"/>
          <w:szCs w:val="28"/>
          <w:u w:val="single"/>
          <w:lang w:val="en-US" w:eastAsia="zh-CN"/>
        </w:rPr>
        <w:t>陈庹路公交站场电梯采购工程</w:t>
      </w:r>
      <w:r>
        <w:rPr>
          <w:rFonts w:hint="default" w:ascii="Times New Roman" w:hAnsi="Times New Roman" w:eastAsia="方正仿宋_GBK" w:cs="Times New Roman"/>
          <w:color w:val="auto"/>
          <w:sz w:val="28"/>
          <w:szCs w:val="28"/>
          <w:u w:val="single"/>
        </w:rPr>
        <w:t xml:space="preserve">  </w:t>
      </w:r>
      <w:r>
        <w:rPr>
          <w:rFonts w:hint="default" w:ascii="Times New Roman" w:hAnsi="Times New Roman" w:eastAsia="方正仿宋_GBK" w:cs="Times New Roman"/>
          <w:color w:val="auto"/>
          <w:sz w:val="28"/>
          <w:szCs w:val="28"/>
        </w:rPr>
        <w:t>项目的</w:t>
      </w:r>
      <w:r>
        <w:rPr>
          <w:rFonts w:hint="default" w:ascii="Times New Roman" w:hAnsi="Times New Roman" w:eastAsia="方正仿宋_GBK" w:cs="Times New Roman"/>
          <w:color w:val="auto"/>
          <w:sz w:val="28"/>
          <w:szCs w:val="28"/>
          <w:lang w:eastAsia="zh-CN"/>
        </w:rPr>
        <w:t>比选</w:t>
      </w:r>
      <w:r>
        <w:rPr>
          <w:rFonts w:hint="eastAsia" w:ascii="Times New Roman" w:hAnsi="Times New Roman" w:eastAsia="方正仿宋_GBK" w:cs="Times New Roman"/>
          <w:color w:val="auto"/>
          <w:sz w:val="28"/>
          <w:szCs w:val="28"/>
          <w:lang w:val="en-US" w:eastAsia="zh-CN"/>
        </w:rPr>
        <w:t>邀请</w:t>
      </w:r>
      <w:r>
        <w:rPr>
          <w:rFonts w:hint="default" w:ascii="Times New Roman" w:hAnsi="Times New Roman" w:eastAsia="方正仿宋_GBK" w:cs="Times New Roman"/>
          <w:color w:val="auto"/>
          <w:sz w:val="28"/>
          <w:szCs w:val="28"/>
        </w:rPr>
        <w:t>函文件，本公司正式授权的下述签字人</w:t>
      </w:r>
      <w:r>
        <w:rPr>
          <w:rFonts w:hint="default" w:ascii="Times New Roman" w:hAnsi="Times New Roman" w:eastAsia="方正仿宋_GBK" w:cs="Times New Roman"/>
          <w:color w:val="auto"/>
          <w:sz w:val="28"/>
          <w:szCs w:val="28"/>
          <w:u w:val="single"/>
        </w:rPr>
        <w:t xml:space="preserve">          </w:t>
      </w:r>
      <w:r>
        <w:rPr>
          <w:rFonts w:hint="default" w:ascii="Times New Roman" w:hAnsi="Times New Roman" w:eastAsia="方正仿宋_GBK" w:cs="Times New Roman"/>
          <w:color w:val="auto"/>
          <w:sz w:val="28"/>
          <w:szCs w:val="28"/>
        </w:rPr>
        <w:t>（姓名和职务）代表本公司</w:t>
      </w:r>
      <w:r>
        <w:rPr>
          <w:rFonts w:hint="default" w:ascii="Times New Roman" w:hAnsi="Times New Roman" w:eastAsia="方正仿宋_GBK" w:cs="Times New Roman"/>
          <w:color w:val="auto"/>
          <w:sz w:val="28"/>
          <w:szCs w:val="28"/>
          <w:u w:val="single"/>
        </w:rPr>
        <w:t xml:space="preserve">        </w:t>
      </w:r>
      <w:r>
        <w:rPr>
          <w:rFonts w:hint="default" w:ascii="Times New Roman" w:hAnsi="Times New Roman" w:eastAsia="方正仿宋_GBK" w:cs="Times New Roman"/>
          <w:color w:val="auto"/>
          <w:sz w:val="28"/>
          <w:szCs w:val="28"/>
        </w:rPr>
        <w:t>（</w:t>
      </w:r>
      <w:r>
        <w:rPr>
          <w:rFonts w:hint="eastAsia" w:eastAsia="方正仿宋_GBK" w:cs="Times New Roman"/>
          <w:color w:val="auto"/>
          <w:sz w:val="28"/>
          <w:szCs w:val="28"/>
          <w:lang w:eastAsia="zh-CN"/>
        </w:rPr>
        <w:t>竞选人</w:t>
      </w:r>
      <w:r>
        <w:rPr>
          <w:rFonts w:hint="default" w:ascii="Times New Roman" w:hAnsi="Times New Roman" w:eastAsia="方正仿宋_GBK" w:cs="Times New Roman"/>
          <w:color w:val="auto"/>
          <w:sz w:val="28"/>
          <w:szCs w:val="28"/>
        </w:rPr>
        <w:t>名称），提交本</w:t>
      </w:r>
      <w:r>
        <w:rPr>
          <w:rFonts w:hint="default" w:ascii="Times New Roman" w:hAnsi="Times New Roman" w:eastAsia="方正仿宋_GBK" w:cs="Times New Roman"/>
          <w:color w:val="auto"/>
          <w:sz w:val="28"/>
          <w:szCs w:val="28"/>
          <w:lang w:eastAsia="zh-CN"/>
        </w:rPr>
        <w:t>比选</w:t>
      </w:r>
      <w:r>
        <w:rPr>
          <w:rFonts w:hint="default" w:ascii="Times New Roman" w:hAnsi="Times New Roman" w:eastAsia="方正仿宋_GBK" w:cs="Times New Roman"/>
          <w:color w:val="auto"/>
          <w:sz w:val="28"/>
          <w:szCs w:val="28"/>
        </w:rPr>
        <w:t>函。</w:t>
      </w:r>
    </w:p>
    <w:p>
      <w:pP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据此函，签字人兹宣布同意如下：</w:t>
      </w:r>
    </w:p>
    <w:p>
      <w:pPr>
        <w:rPr>
          <w:rFonts w:hint="default" w:ascii="Times New Roman" w:hAnsi="Times New Roman" w:eastAsia="方正仿宋_GBK" w:cs="Times New Roman"/>
          <w:b w:val="0"/>
          <w:bCs w:val="0"/>
          <w:color w:val="auto"/>
          <w:sz w:val="28"/>
          <w:szCs w:val="28"/>
          <w:lang w:val="en-US" w:eastAsia="zh-CN"/>
        </w:rPr>
      </w:pPr>
      <w:r>
        <w:rPr>
          <w:rFonts w:hint="default" w:ascii="Times New Roman" w:hAnsi="Times New Roman" w:eastAsia="方正仿宋_GBK" w:cs="Times New Roman"/>
          <w:color w:val="auto"/>
          <w:sz w:val="28"/>
          <w:szCs w:val="28"/>
          <w:lang w:val="en-US" w:eastAsia="zh-CN"/>
        </w:rPr>
        <w:t xml:space="preserve">    </w:t>
      </w:r>
      <w:r>
        <w:rPr>
          <w:rFonts w:hint="default" w:ascii="Times New Roman" w:hAnsi="Times New Roman" w:eastAsia="方正仿宋_GBK" w:cs="Times New Roman"/>
          <w:color w:val="auto"/>
          <w:sz w:val="28"/>
          <w:szCs w:val="28"/>
        </w:rPr>
        <w:t>(1) 愿意接受</w:t>
      </w:r>
      <w:r>
        <w:rPr>
          <w:rFonts w:hint="default" w:ascii="Times New Roman" w:hAnsi="Times New Roman" w:eastAsia="方正仿宋_GBK" w:cs="Times New Roman"/>
          <w:color w:val="auto"/>
          <w:sz w:val="28"/>
          <w:szCs w:val="28"/>
          <w:lang w:eastAsia="zh-CN"/>
        </w:rPr>
        <w:t>比选</w:t>
      </w:r>
      <w:r>
        <w:rPr>
          <w:rFonts w:hint="eastAsia" w:ascii="Times New Roman" w:hAnsi="Times New Roman" w:eastAsia="方正仿宋_GBK" w:cs="Times New Roman"/>
          <w:color w:val="auto"/>
          <w:sz w:val="28"/>
          <w:szCs w:val="28"/>
          <w:lang w:val="en-US" w:eastAsia="zh-CN"/>
        </w:rPr>
        <w:t>邀请</w:t>
      </w:r>
      <w:r>
        <w:rPr>
          <w:rFonts w:hint="default" w:ascii="Times New Roman" w:hAnsi="Times New Roman" w:eastAsia="方正仿宋_GBK" w:cs="Times New Roman"/>
          <w:color w:val="auto"/>
          <w:sz w:val="28"/>
          <w:szCs w:val="28"/>
        </w:rPr>
        <w:t>函中提出的酬金支付方式与合同条款并按照</w:t>
      </w:r>
      <w:r>
        <w:rPr>
          <w:rFonts w:hint="default" w:ascii="Times New Roman" w:hAnsi="Times New Roman" w:eastAsia="方正仿宋_GBK" w:cs="Times New Roman"/>
          <w:color w:val="auto"/>
          <w:sz w:val="28"/>
          <w:szCs w:val="28"/>
          <w:u w:val="none"/>
          <w:lang w:eastAsia="zh-CN"/>
        </w:rPr>
        <w:t>金额</w:t>
      </w:r>
      <w:r>
        <w:rPr>
          <w:rFonts w:hint="default" w:ascii="Times New Roman" w:hAnsi="Times New Roman" w:eastAsia="方正仿宋_GBK" w:cs="Times New Roman"/>
          <w:color w:val="auto"/>
          <w:sz w:val="28"/>
          <w:szCs w:val="28"/>
          <w:u w:val="single"/>
          <w:lang w:val="en-US" w:eastAsia="zh-CN"/>
        </w:rPr>
        <w:t xml:space="preserve">    </w:t>
      </w:r>
      <w:r>
        <w:rPr>
          <w:rFonts w:hint="eastAsia" w:eastAsia="方正仿宋_GBK" w:cs="Times New Roman"/>
          <w:color w:val="auto"/>
          <w:sz w:val="28"/>
          <w:szCs w:val="28"/>
          <w:u w:val="single"/>
          <w:lang w:val="en-US" w:eastAsia="zh-CN"/>
        </w:rPr>
        <w:t xml:space="preserve"> </w:t>
      </w:r>
      <w:r>
        <w:rPr>
          <w:rFonts w:hint="eastAsia" w:ascii="Times New Roman" w:hAnsi="Times New Roman" w:eastAsia="方正仿宋_GBK" w:cs="Times New Roman"/>
          <w:color w:val="auto"/>
          <w:sz w:val="28"/>
          <w:szCs w:val="28"/>
          <w:u w:val="single"/>
          <w:lang w:val="en-US" w:eastAsia="zh-CN"/>
        </w:rPr>
        <w:t xml:space="preserve"> </w:t>
      </w:r>
      <w:r>
        <w:rPr>
          <w:rFonts w:hint="default" w:ascii="Times New Roman" w:hAnsi="Times New Roman" w:eastAsia="方正仿宋_GBK" w:cs="Times New Roman"/>
          <w:color w:val="auto"/>
          <w:sz w:val="28"/>
          <w:szCs w:val="28"/>
          <w:u w:val="none"/>
          <w:lang w:val="en-US" w:eastAsia="zh-CN"/>
        </w:rPr>
        <w:t>元</w:t>
      </w:r>
      <w:r>
        <w:rPr>
          <w:rFonts w:hint="eastAsia" w:eastAsia="方正仿宋_GBK" w:cs="Times New Roman"/>
          <w:color w:val="auto"/>
          <w:sz w:val="28"/>
          <w:szCs w:val="28"/>
          <w:u w:val="none"/>
          <w:lang w:val="en-US" w:eastAsia="zh-CN"/>
        </w:rPr>
        <w:t>（大写：</w:t>
      </w:r>
      <w:r>
        <w:rPr>
          <w:rFonts w:hint="eastAsia" w:eastAsia="方正仿宋_GBK" w:cs="Times New Roman"/>
          <w:color w:val="auto"/>
          <w:sz w:val="28"/>
          <w:szCs w:val="28"/>
          <w:u w:val="single"/>
          <w:lang w:val="en-US" w:eastAsia="zh-CN"/>
        </w:rPr>
        <w:t xml:space="preserve">     </w:t>
      </w:r>
      <w:r>
        <w:rPr>
          <w:rFonts w:hint="eastAsia" w:eastAsia="方正仿宋_GBK" w:cs="Times New Roman"/>
          <w:color w:val="auto"/>
          <w:sz w:val="28"/>
          <w:szCs w:val="28"/>
          <w:u w:val="none"/>
          <w:lang w:val="en-US" w:eastAsia="zh-CN"/>
        </w:rPr>
        <w:t>）</w:t>
      </w:r>
      <w:r>
        <w:rPr>
          <w:rFonts w:hint="default" w:ascii="Times New Roman" w:hAnsi="Times New Roman" w:eastAsia="方正仿宋_GBK" w:cs="Times New Roman"/>
          <w:color w:val="auto"/>
          <w:sz w:val="28"/>
          <w:szCs w:val="28"/>
        </w:rPr>
        <w:t>作为本项目报价</w:t>
      </w:r>
      <w:r>
        <w:rPr>
          <w:rFonts w:hint="default" w:ascii="Times New Roman" w:hAnsi="Times New Roman" w:eastAsia="方正仿宋_GBK" w:cs="Times New Roman"/>
          <w:b w:val="0"/>
          <w:bCs w:val="0"/>
          <w:color w:val="auto"/>
          <w:sz w:val="28"/>
          <w:szCs w:val="28"/>
        </w:rPr>
        <w:t>（所填报数字必须保留至小数点后</w:t>
      </w:r>
      <w:r>
        <w:rPr>
          <w:rFonts w:hint="default" w:ascii="Times New Roman" w:hAnsi="Times New Roman" w:eastAsia="方正仿宋_GBK" w:cs="Times New Roman"/>
          <w:b w:val="0"/>
          <w:bCs w:val="0"/>
          <w:color w:val="auto"/>
          <w:sz w:val="28"/>
          <w:szCs w:val="28"/>
          <w:lang w:val="en-US" w:eastAsia="zh-CN"/>
        </w:rPr>
        <w:t>2</w:t>
      </w:r>
      <w:r>
        <w:rPr>
          <w:rFonts w:hint="default" w:ascii="Times New Roman" w:hAnsi="Times New Roman" w:eastAsia="方正仿宋_GBK" w:cs="Times New Roman"/>
          <w:b w:val="0"/>
          <w:bCs w:val="0"/>
          <w:color w:val="auto"/>
          <w:sz w:val="28"/>
          <w:szCs w:val="28"/>
        </w:rPr>
        <w:t>位）。</w:t>
      </w:r>
    </w:p>
    <w:p>
      <w:pPr>
        <w:numPr>
          <w:ilvl w:val="-1"/>
          <w:numId w:val="0"/>
        </w:numPr>
        <w:ind w:left="0" w:firstLine="560" w:firstLineChars="200"/>
        <w:rPr>
          <w:rFonts w:hint="default" w:ascii="Times New Roman" w:hAnsi="Times New Roman" w:eastAsia="方正仿宋_GBK" w:cs="Times New Roman"/>
          <w:b w:val="0"/>
          <w:bCs w:val="0"/>
          <w:color w:val="auto"/>
          <w:sz w:val="28"/>
          <w:szCs w:val="28"/>
        </w:rPr>
      </w:pPr>
      <w:r>
        <w:rPr>
          <w:rFonts w:hint="default" w:ascii="Times New Roman" w:hAnsi="Times New Roman" w:eastAsia="方正仿宋_GBK" w:cs="Times New Roman"/>
          <w:color w:val="auto"/>
          <w:sz w:val="28"/>
          <w:szCs w:val="28"/>
        </w:rPr>
        <w:t>(2)</w:t>
      </w:r>
      <w:r>
        <w:rPr>
          <w:rFonts w:hint="default" w:ascii="Times New Roman" w:hAnsi="Times New Roman" w:eastAsia="方正仿宋_GBK" w:cs="Times New Roman"/>
          <w:color w:val="auto"/>
          <w:sz w:val="28"/>
          <w:szCs w:val="28"/>
          <w:lang w:eastAsia="zh-CN"/>
        </w:rPr>
        <w:t>我司承诺满足贵单位比选邀请函中的“</w:t>
      </w:r>
      <w:r>
        <w:rPr>
          <w:rFonts w:hint="eastAsia" w:eastAsia="方正仿宋_GBK" w:cs="Times New Roman"/>
          <w:color w:val="auto"/>
          <w:spacing w:val="0"/>
          <w:w w:val="100"/>
          <w:sz w:val="28"/>
          <w:szCs w:val="28"/>
          <w:lang w:val="en-US" w:eastAsia="zh-CN"/>
        </w:rPr>
        <w:t>竞选人</w:t>
      </w:r>
      <w:r>
        <w:rPr>
          <w:rFonts w:hint="default" w:ascii="Times New Roman" w:hAnsi="Times New Roman" w:eastAsia="方正仿宋_GBK" w:cs="Times New Roman"/>
          <w:color w:val="auto"/>
          <w:spacing w:val="0"/>
          <w:w w:val="100"/>
          <w:sz w:val="28"/>
          <w:szCs w:val="28"/>
          <w:lang w:val="en-US" w:eastAsia="zh-CN"/>
        </w:rPr>
        <w:t>资格要求</w:t>
      </w:r>
      <w:r>
        <w:rPr>
          <w:rFonts w:hint="default" w:ascii="Times New Roman" w:hAnsi="Times New Roman" w:eastAsia="方正仿宋_GBK" w:cs="Times New Roman"/>
          <w:color w:val="auto"/>
          <w:sz w:val="28"/>
          <w:szCs w:val="28"/>
          <w:lang w:eastAsia="zh-CN"/>
        </w:rPr>
        <w:t>”</w:t>
      </w:r>
      <w:r>
        <w:rPr>
          <w:rFonts w:hint="default" w:ascii="Times New Roman" w:hAnsi="Times New Roman" w:eastAsia="方正仿宋_GBK" w:cs="Times New Roman"/>
          <w:color w:val="auto"/>
          <w:sz w:val="28"/>
          <w:szCs w:val="28"/>
          <w:lang w:eastAsia="zh-CN"/>
        </w:rPr>
        <w:sym w:font="Wingdings" w:char="00A8"/>
      </w:r>
      <w:r>
        <w:rPr>
          <w:rFonts w:hint="default" w:ascii="Times New Roman" w:hAnsi="Times New Roman" w:eastAsia="方正仿宋_GBK" w:cs="Times New Roman"/>
          <w:color w:val="auto"/>
          <w:sz w:val="28"/>
          <w:szCs w:val="28"/>
          <w:lang w:eastAsia="zh-CN"/>
        </w:rPr>
        <w:t>资质要求</w:t>
      </w:r>
      <w:r>
        <w:rPr>
          <w:rFonts w:hint="default" w:ascii="Times New Roman" w:hAnsi="Times New Roman" w:eastAsia="方正仿宋_GBK" w:cs="Times New Roman"/>
          <w:color w:val="auto"/>
          <w:sz w:val="28"/>
          <w:szCs w:val="28"/>
          <w:lang w:val="en-US" w:eastAsia="zh-CN"/>
        </w:rPr>
        <w:t xml:space="preserve">  </w:t>
      </w:r>
      <w:r>
        <w:rPr>
          <w:rFonts w:hint="default" w:ascii="Times New Roman" w:hAnsi="Times New Roman" w:eastAsia="方正仿宋_GBK" w:cs="Times New Roman"/>
          <w:color w:val="auto"/>
          <w:sz w:val="28"/>
          <w:szCs w:val="28"/>
          <w:lang w:eastAsia="zh-CN"/>
        </w:rPr>
        <w:sym w:font="Wingdings" w:char="00A8"/>
      </w:r>
      <w:r>
        <w:rPr>
          <w:rFonts w:hint="default" w:ascii="Times New Roman" w:hAnsi="Times New Roman" w:eastAsia="方正仿宋_GBK" w:cs="Times New Roman"/>
          <w:color w:val="auto"/>
          <w:sz w:val="28"/>
          <w:szCs w:val="28"/>
          <w:lang w:eastAsia="zh-CN"/>
        </w:rPr>
        <w:t>业绩要求</w:t>
      </w:r>
      <w:r>
        <w:rPr>
          <w:rFonts w:hint="default" w:ascii="Times New Roman" w:hAnsi="Times New Roman" w:eastAsia="方正仿宋_GBK" w:cs="Times New Roman"/>
          <w:color w:val="auto"/>
          <w:sz w:val="28"/>
          <w:szCs w:val="28"/>
          <w:lang w:val="en-US" w:eastAsia="zh-CN"/>
        </w:rPr>
        <w:t xml:space="preserve">  </w:t>
      </w:r>
      <w:r>
        <w:rPr>
          <w:rFonts w:hint="default" w:ascii="Times New Roman" w:hAnsi="Times New Roman" w:eastAsia="方正仿宋_GBK" w:cs="Times New Roman"/>
          <w:color w:val="auto"/>
          <w:sz w:val="28"/>
          <w:szCs w:val="28"/>
          <w:lang w:eastAsia="zh-CN"/>
        </w:rPr>
        <w:sym w:font="Wingdings" w:char="00A8"/>
      </w:r>
      <w:r>
        <w:rPr>
          <w:rFonts w:hint="default" w:ascii="Times New Roman" w:hAnsi="Times New Roman" w:eastAsia="方正仿宋_GBK" w:cs="Times New Roman"/>
          <w:color w:val="auto"/>
          <w:sz w:val="28"/>
          <w:szCs w:val="28"/>
          <w:lang w:eastAsia="zh-CN"/>
        </w:rPr>
        <w:t>人员要求的指标（勾选）。</w:t>
      </w:r>
    </w:p>
    <w:p>
      <w:pP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lang w:val="en-US" w:eastAsia="zh-CN"/>
        </w:rPr>
        <w:t xml:space="preserve">    </w:t>
      </w:r>
      <w:r>
        <w:rPr>
          <w:rFonts w:hint="default" w:ascii="Times New Roman" w:hAnsi="Times New Roman" w:eastAsia="方正仿宋_GBK" w:cs="Times New Roman"/>
          <w:color w:val="auto"/>
          <w:sz w:val="28"/>
          <w:szCs w:val="28"/>
        </w:rPr>
        <w:t>(</w:t>
      </w:r>
      <w:r>
        <w:rPr>
          <w:rFonts w:hint="default" w:ascii="Times New Roman" w:hAnsi="Times New Roman" w:eastAsia="方正仿宋_GBK" w:cs="Times New Roman"/>
          <w:color w:val="auto"/>
          <w:sz w:val="28"/>
          <w:szCs w:val="28"/>
          <w:lang w:val="en-US" w:eastAsia="zh-CN"/>
        </w:rPr>
        <w:t>3</w:t>
      </w:r>
      <w:r>
        <w:rPr>
          <w:rFonts w:hint="default" w:ascii="Times New Roman" w:hAnsi="Times New Roman" w:eastAsia="方正仿宋_GBK" w:cs="Times New Roman"/>
          <w:color w:val="auto"/>
          <w:sz w:val="28"/>
          <w:szCs w:val="28"/>
        </w:rPr>
        <w:t>)我们已详细阅读了</w:t>
      </w:r>
      <w:r>
        <w:rPr>
          <w:rFonts w:hint="default" w:ascii="Times New Roman" w:hAnsi="Times New Roman" w:eastAsia="方正仿宋_GBK" w:cs="Times New Roman"/>
          <w:color w:val="auto"/>
          <w:sz w:val="28"/>
          <w:szCs w:val="28"/>
          <w:lang w:eastAsia="zh-CN"/>
        </w:rPr>
        <w:t>比选</w:t>
      </w:r>
      <w:r>
        <w:rPr>
          <w:rFonts w:hint="default" w:ascii="Times New Roman" w:hAnsi="Times New Roman" w:eastAsia="方正仿宋_GBK" w:cs="Times New Roman"/>
          <w:color w:val="auto"/>
          <w:sz w:val="28"/>
          <w:szCs w:val="28"/>
        </w:rPr>
        <w:t>函全部内容，我们知道必须放弃提出含糊不清或误解的问题的权利。</w:t>
      </w:r>
    </w:p>
    <w:p>
      <w:pP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lang w:val="en-US" w:eastAsia="zh-CN"/>
        </w:rPr>
        <w:t xml:space="preserve">    </w:t>
      </w:r>
      <w:r>
        <w:rPr>
          <w:rFonts w:hint="default" w:ascii="Times New Roman" w:hAnsi="Times New Roman" w:eastAsia="方正仿宋_GBK" w:cs="Times New Roman"/>
          <w:color w:val="auto"/>
          <w:sz w:val="28"/>
          <w:szCs w:val="28"/>
        </w:rPr>
        <w:t>(</w:t>
      </w:r>
      <w:r>
        <w:rPr>
          <w:rFonts w:hint="default" w:ascii="Times New Roman" w:hAnsi="Times New Roman" w:eastAsia="方正仿宋_GBK" w:cs="Times New Roman"/>
          <w:color w:val="auto"/>
          <w:sz w:val="28"/>
          <w:szCs w:val="28"/>
          <w:lang w:val="en-US" w:eastAsia="zh-CN"/>
        </w:rPr>
        <w:t>4</w:t>
      </w:r>
      <w:r>
        <w:rPr>
          <w:rFonts w:hint="default" w:ascii="Times New Roman" w:hAnsi="Times New Roman" w:eastAsia="方正仿宋_GBK" w:cs="Times New Roman"/>
          <w:color w:val="auto"/>
          <w:sz w:val="28"/>
          <w:szCs w:val="28"/>
        </w:rPr>
        <w:t>)我们保证根据规定履行合同责任和义务，不得要求变更我司所报下浮比例。</w:t>
      </w:r>
    </w:p>
    <w:p>
      <w:pP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lang w:val="en-US" w:eastAsia="zh-CN"/>
        </w:rPr>
        <w:t xml:space="preserve">    </w:t>
      </w:r>
      <w:r>
        <w:rPr>
          <w:rFonts w:hint="default" w:ascii="Times New Roman" w:hAnsi="Times New Roman" w:eastAsia="方正仿宋_GBK" w:cs="Times New Roman"/>
          <w:color w:val="auto"/>
          <w:sz w:val="28"/>
          <w:szCs w:val="28"/>
        </w:rPr>
        <w:t>(</w:t>
      </w:r>
      <w:r>
        <w:rPr>
          <w:rFonts w:hint="default" w:ascii="Times New Roman" w:hAnsi="Times New Roman" w:eastAsia="方正仿宋_GBK" w:cs="Times New Roman"/>
          <w:color w:val="auto"/>
          <w:sz w:val="28"/>
          <w:szCs w:val="28"/>
          <w:lang w:val="en-US" w:eastAsia="zh-CN"/>
        </w:rPr>
        <w:t>5</w:t>
      </w:r>
      <w:r>
        <w:rPr>
          <w:rFonts w:hint="default" w:ascii="Times New Roman" w:hAnsi="Times New Roman" w:eastAsia="方正仿宋_GBK" w:cs="Times New Roman"/>
          <w:color w:val="auto"/>
          <w:sz w:val="28"/>
          <w:szCs w:val="28"/>
        </w:rPr>
        <w:t>)本</w:t>
      </w:r>
      <w:r>
        <w:rPr>
          <w:rFonts w:hint="default" w:ascii="Times New Roman" w:hAnsi="Times New Roman" w:eastAsia="方正仿宋_GBK" w:cs="Times New Roman"/>
          <w:color w:val="auto"/>
          <w:sz w:val="28"/>
          <w:szCs w:val="28"/>
          <w:lang w:eastAsia="zh-CN"/>
        </w:rPr>
        <w:t>比选</w:t>
      </w:r>
      <w:r>
        <w:rPr>
          <w:rFonts w:hint="default" w:ascii="Times New Roman" w:hAnsi="Times New Roman" w:eastAsia="方正仿宋_GBK" w:cs="Times New Roman"/>
          <w:color w:val="auto"/>
          <w:sz w:val="28"/>
          <w:szCs w:val="28"/>
        </w:rPr>
        <w:t>函自开启之日起至项目全部完成之内有效。</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 xml:space="preserve">报价人全称（公章）： </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 xml:space="preserve">通信地址：                              </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电话、传真：</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 xml:space="preserve">报价人法定代表人或授权代理人签字 </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 xml:space="preserve">日期： </w:t>
      </w:r>
    </w:p>
    <w:p>
      <w:pPr>
        <w:rPr>
          <w:rFonts w:hint="default" w:ascii="Times New Roman" w:hAnsi="Times New Roman" w:eastAsia="方正仿宋_GBK" w:cs="Times New Roman"/>
          <w:color w:val="auto"/>
          <w:sz w:val="28"/>
          <w:szCs w:val="28"/>
        </w:rPr>
      </w:pPr>
    </w:p>
    <w:p>
      <w:pPr>
        <w:jc w:val="cente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br w:type="page"/>
      </w:r>
    </w:p>
    <w:p>
      <w:pPr>
        <w:jc w:val="center"/>
        <w:rPr>
          <w:rFonts w:hint="default" w:ascii="Times New Roman" w:hAnsi="Times New Roman" w:eastAsia="方正仿宋_GBK" w:cs="Times New Roman"/>
          <w:color w:val="auto"/>
          <w:sz w:val="28"/>
          <w:szCs w:val="28"/>
          <w:lang w:eastAsia="zh-CN"/>
        </w:rPr>
      </w:pPr>
      <w:r>
        <w:rPr>
          <w:rFonts w:hint="default" w:ascii="Times New Roman" w:hAnsi="Times New Roman" w:eastAsia="方正仿宋_GBK" w:cs="Times New Roman"/>
          <w:color w:val="auto"/>
          <w:sz w:val="28"/>
          <w:szCs w:val="28"/>
        </w:rPr>
        <w:t xml:space="preserve">格式二  </w:t>
      </w:r>
      <w:r>
        <w:rPr>
          <w:rFonts w:hint="default" w:ascii="Times New Roman" w:hAnsi="Times New Roman" w:eastAsia="方正仿宋_GBK" w:cs="Times New Roman"/>
          <w:color w:val="auto"/>
          <w:sz w:val="28"/>
          <w:szCs w:val="28"/>
          <w:lang w:eastAsia="zh-CN"/>
        </w:rPr>
        <w:t>报价清单</w:t>
      </w:r>
    </w:p>
    <w:p>
      <w:pPr>
        <w:spacing w:line="500" w:lineRule="exact"/>
        <w:rPr>
          <w:rFonts w:hint="eastAsia" w:ascii="方正仿宋_GBK" w:hAnsi="仿宋" w:eastAsia="方正仿宋_GBK"/>
          <w:sz w:val="24"/>
          <w:szCs w:val="28"/>
        </w:rPr>
      </w:pPr>
      <w:r>
        <w:rPr>
          <w:rFonts w:hint="eastAsia" w:ascii="方正仿宋_GBK" w:hAnsi="仿宋" w:eastAsia="方正仿宋_GBK"/>
          <w:sz w:val="24"/>
          <w:szCs w:val="28"/>
        </w:rPr>
        <w:t xml:space="preserve">                                                        单位：元</w:t>
      </w:r>
    </w:p>
    <w:tbl>
      <w:tblPr>
        <w:tblStyle w:val="11"/>
        <w:tblW w:w="9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1"/>
        <w:gridCol w:w="955"/>
        <w:gridCol w:w="1134"/>
        <w:gridCol w:w="2551"/>
        <w:gridCol w:w="808"/>
        <w:gridCol w:w="1199"/>
        <w:gridCol w:w="1312"/>
        <w:gridCol w:w="12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exact"/>
          <w:jc w:val="center"/>
        </w:trPr>
        <w:tc>
          <w:tcPr>
            <w:tcW w:w="571" w:type="dxa"/>
            <w:noWrap w:val="0"/>
            <w:vAlign w:val="center"/>
          </w:tcPr>
          <w:p>
            <w:pPr>
              <w:jc w:val="center"/>
              <w:rPr>
                <w:rFonts w:hint="eastAsia" w:ascii="方正仿宋_GBK" w:hAnsi="仿宋" w:eastAsia="方正仿宋_GBK"/>
                <w:b/>
                <w:sz w:val="21"/>
                <w:szCs w:val="21"/>
              </w:rPr>
            </w:pPr>
            <w:r>
              <w:rPr>
                <w:rFonts w:hint="eastAsia" w:ascii="方正仿宋_GBK" w:hAnsi="仿宋" w:eastAsia="方正仿宋_GBK"/>
                <w:b/>
                <w:sz w:val="21"/>
                <w:szCs w:val="21"/>
              </w:rPr>
              <w:t>序号</w:t>
            </w:r>
          </w:p>
        </w:tc>
        <w:tc>
          <w:tcPr>
            <w:tcW w:w="955" w:type="dxa"/>
            <w:noWrap w:val="0"/>
            <w:vAlign w:val="center"/>
          </w:tcPr>
          <w:p>
            <w:pPr>
              <w:jc w:val="center"/>
              <w:rPr>
                <w:rFonts w:hint="eastAsia" w:ascii="方正仿宋_GBK" w:hAnsi="仿宋" w:eastAsia="方正仿宋_GBK"/>
                <w:b/>
                <w:sz w:val="21"/>
                <w:szCs w:val="21"/>
              </w:rPr>
            </w:pPr>
            <w:r>
              <w:rPr>
                <w:rFonts w:hint="eastAsia" w:ascii="方正仿宋_GBK" w:hAnsi="仿宋" w:eastAsia="方正仿宋_GBK"/>
                <w:b/>
                <w:sz w:val="21"/>
                <w:szCs w:val="21"/>
              </w:rPr>
              <w:t>品牌/制造商</w:t>
            </w:r>
          </w:p>
        </w:tc>
        <w:tc>
          <w:tcPr>
            <w:tcW w:w="1134" w:type="dxa"/>
            <w:noWrap w:val="0"/>
            <w:vAlign w:val="center"/>
          </w:tcPr>
          <w:p>
            <w:pPr>
              <w:jc w:val="center"/>
              <w:rPr>
                <w:rFonts w:hint="eastAsia" w:ascii="方正仿宋_GBK" w:hAnsi="仿宋" w:eastAsia="方正仿宋_GBK"/>
                <w:b/>
                <w:sz w:val="21"/>
                <w:szCs w:val="21"/>
              </w:rPr>
            </w:pPr>
            <w:r>
              <w:rPr>
                <w:rFonts w:hint="eastAsia" w:ascii="方正仿宋_GBK" w:hAnsi="仿宋" w:eastAsia="方正仿宋_GBK"/>
                <w:b/>
                <w:sz w:val="21"/>
                <w:szCs w:val="21"/>
              </w:rPr>
              <w:t>规格型号</w:t>
            </w:r>
          </w:p>
        </w:tc>
        <w:tc>
          <w:tcPr>
            <w:tcW w:w="2551" w:type="dxa"/>
            <w:noWrap w:val="0"/>
            <w:vAlign w:val="center"/>
          </w:tcPr>
          <w:p>
            <w:pPr>
              <w:jc w:val="center"/>
              <w:rPr>
                <w:rFonts w:hint="eastAsia" w:ascii="方正仿宋_GBK" w:hAnsi="仿宋" w:eastAsia="方正仿宋_GBK"/>
                <w:b/>
                <w:sz w:val="21"/>
                <w:szCs w:val="21"/>
                <w:lang w:eastAsia="zh-CN"/>
              </w:rPr>
            </w:pPr>
            <w:r>
              <w:rPr>
                <w:rFonts w:hint="eastAsia" w:ascii="方正仿宋_GBK" w:hAnsi="仿宋" w:eastAsia="方正仿宋_GBK"/>
                <w:b/>
                <w:sz w:val="21"/>
                <w:szCs w:val="21"/>
                <w:lang w:val="en-US" w:eastAsia="zh-CN"/>
              </w:rPr>
              <w:t>电梯参数</w:t>
            </w:r>
          </w:p>
        </w:tc>
        <w:tc>
          <w:tcPr>
            <w:tcW w:w="808" w:type="dxa"/>
            <w:noWrap w:val="0"/>
            <w:vAlign w:val="center"/>
          </w:tcPr>
          <w:p>
            <w:pPr>
              <w:jc w:val="center"/>
              <w:rPr>
                <w:rFonts w:hint="eastAsia" w:ascii="方正仿宋_GBK" w:hAnsi="仿宋" w:eastAsia="方正仿宋_GBK"/>
                <w:b/>
                <w:sz w:val="21"/>
                <w:szCs w:val="21"/>
              </w:rPr>
            </w:pPr>
            <w:r>
              <w:rPr>
                <w:rFonts w:hint="eastAsia" w:ascii="方正仿宋_GBK" w:hAnsi="仿宋" w:eastAsia="方正仿宋_GBK"/>
                <w:b/>
                <w:sz w:val="21"/>
                <w:szCs w:val="21"/>
              </w:rPr>
              <w:t>数量（台</w:t>
            </w:r>
            <w:r>
              <w:rPr>
                <w:rFonts w:ascii="方正仿宋_GBK" w:hAnsi="仿宋" w:eastAsia="方正仿宋_GBK"/>
                <w:b/>
                <w:sz w:val="21"/>
                <w:szCs w:val="21"/>
              </w:rPr>
              <w:t>）</w:t>
            </w:r>
          </w:p>
        </w:tc>
        <w:tc>
          <w:tcPr>
            <w:tcW w:w="1199" w:type="dxa"/>
            <w:noWrap w:val="0"/>
            <w:vAlign w:val="center"/>
          </w:tcPr>
          <w:p>
            <w:pPr>
              <w:jc w:val="center"/>
              <w:rPr>
                <w:rFonts w:hint="eastAsia" w:ascii="方正仿宋_GBK" w:hAnsi="仿宋" w:eastAsia="方正仿宋_GBK"/>
                <w:b/>
                <w:sz w:val="21"/>
                <w:szCs w:val="21"/>
                <w:lang w:eastAsia="zh-CN"/>
              </w:rPr>
            </w:pPr>
            <w:r>
              <w:rPr>
                <w:rFonts w:hint="eastAsia" w:ascii="方正仿宋_GBK" w:hAnsi="仿宋" w:eastAsia="方正仿宋_GBK"/>
                <w:b/>
                <w:sz w:val="21"/>
                <w:szCs w:val="21"/>
              </w:rPr>
              <w:t>设备单</w:t>
            </w:r>
            <w:r>
              <w:rPr>
                <w:rFonts w:ascii="方正仿宋_GBK" w:hAnsi="仿宋" w:eastAsia="方正仿宋_GBK"/>
                <w:b/>
                <w:sz w:val="21"/>
                <w:szCs w:val="21"/>
              </w:rPr>
              <w:t>价</w:t>
            </w:r>
            <w:r>
              <w:rPr>
                <w:rFonts w:hint="eastAsia" w:ascii="方正仿宋_GBK" w:hAnsi="仿宋" w:eastAsia="方正仿宋_GBK"/>
                <w:b/>
                <w:sz w:val="21"/>
                <w:szCs w:val="21"/>
                <w:lang w:eastAsia="zh-CN"/>
              </w:rPr>
              <w:t>（</w:t>
            </w:r>
            <w:r>
              <w:rPr>
                <w:rFonts w:hint="eastAsia" w:ascii="方正仿宋_GBK" w:hAnsi="仿宋" w:eastAsia="方正仿宋_GBK"/>
                <w:b/>
                <w:sz w:val="21"/>
                <w:szCs w:val="21"/>
                <w:lang w:val="en-US" w:eastAsia="zh-CN"/>
              </w:rPr>
              <w:t>元/台</w:t>
            </w:r>
            <w:r>
              <w:rPr>
                <w:rFonts w:hint="eastAsia" w:ascii="方正仿宋_GBK" w:hAnsi="仿宋" w:eastAsia="方正仿宋_GBK"/>
                <w:b/>
                <w:sz w:val="21"/>
                <w:szCs w:val="21"/>
                <w:lang w:eastAsia="zh-CN"/>
              </w:rPr>
              <w:t>）</w:t>
            </w:r>
          </w:p>
        </w:tc>
        <w:tc>
          <w:tcPr>
            <w:tcW w:w="1312" w:type="dxa"/>
            <w:noWrap w:val="0"/>
            <w:vAlign w:val="center"/>
          </w:tcPr>
          <w:p>
            <w:pPr>
              <w:jc w:val="center"/>
              <w:rPr>
                <w:rFonts w:ascii="方正仿宋_GBK" w:hAnsi="仿宋" w:eastAsia="方正仿宋_GBK"/>
                <w:b/>
                <w:sz w:val="21"/>
                <w:szCs w:val="21"/>
              </w:rPr>
            </w:pPr>
            <w:r>
              <w:rPr>
                <w:rFonts w:hint="eastAsia" w:ascii="方正仿宋_GBK" w:hAnsi="仿宋" w:eastAsia="方正仿宋_GBK"/>
                <w:b/>
                <w:sz w:val="21"/>
                <w:szCs w:val="21"/>
              </w:rPr>
              <w:t>安装</w:t>
            </w:r>
            <w:r>
              <w:rPr>
                <w:rFonts w:ascii="方正仿宋_GBK" w:hAnsi="仿宋" w:eastAsia="方正仿宋_GBK"/>
                <w:b/>
                <w:sz w:val="21"/>
                <w:szCs w:val="21"/>
              </w:rPr>
              <w:t>单价</w:t>
            </w:r>
          </w:p>
          <w:p>
            <w:pPr>
              <w:jc w:val="center"/>
              <w:rPr>
                <w:rFonts w:hint="eastAsia" w:ascii="方正仿宋_GBK" w:hAnsi="仿宋" w:eastAsia="方正仿宋_GBK"/>
                <w:b/>
                <w:sz w:val="21"/>
                <w:szCs w:val="21"/>
              </w:rPr>
            </w:pPr>
            <w:r>
              <w:rPr>
                <w:rFonts w:hint="eastAsia" w:ascii="方正仿宋_GBK" w:hAnsi="仿宋" w:eastAsia="方正仿宋_GBK"/>
                <w:b/>
                <w:sz w:val="21"/>
                <w:szCs w:val="21"/>
                <w:lang w:eastAsia="zh-CN"/>
              </w:rPr>
              <w:t>（</w:t>
            </w:r>
            <w:r>
              <w:rPr>
                <w:rFonts w:hint="eastAsia" w:ascii="方正仿宋_GBK" w:hAnsi="仿宋" w:eastAsia="方正仿宋_GBK"/>
                <w:b/>
                <w:sz w:val="21"/>
                <w:szCs w:val="21"/>
                <w:lang w:val="en-US" w:eastAsia="zh-CN"/>
              </w:rPr>
              <w:t>元/台</w:t>
            </w:r>
            <w:r>
              <w:rPr>
                <w:rFonts w:hint="eastAsia" w:ascii="方正仿宋_GBK" w:hAnsi="仿宋" w:eastAsia="方正仿宋_GBK"/>
                <w:b/>
                <w:sz w:val="21"/>
                <w:szCs w:val="21"/>
                <w:lang w:eastAsia="zh-CN"/>
              </w:rPr>
              <w:t>）</w:t>
            </w:r>
          </w:p>
        </w:tc>
        <w:tc>
          <w:tcPr>
            <w:tcW w:w="1259" w:type="dxa"/>
            <w:noWrap w:val="0"/>
            <w:vAlign w:val="center"/>
          </w:tcPr>
          <w:p>
            <w:pPr>
              <w:jc w:val="center"/>
              <w:rPr>
                <w:rFonts w:hint="eastAsia" w:ascii="方正仿宋_GBK" w:hAnsi="仿宋" w:eastAsia="方正仿宋_GBK"/>
                <w:b/>
                <w:sz w:val="21"/>
                <w:szCs w:val="21"/>
                <w:lang w:eastAsia="zh-CN"/>
              </w:rPr>
            </w:pPr>
            <w:r>
              <w:rPr>
                <w:rFonts w:hint="eastAsia" w:ascii="方正仿宋_GBK" w:hAnsi="仿宋" w:eastAsia="方正仿宋_GBK"/>
                <w:b/>
                <w:sz w:val="21"/>
                <w:szCs w:val="21"/>
              </w:rPr>
              <w:t>合</w:t>
            </w:r>
            <w:r>
              <w:rPr>
                <w:rFonts w:hint="eastAsia" w:ascii="方正仿宋_GBK" w:hAnsi="仿宋" w:eastAsia="方正仿宋_GBK"/>
                <w:b/>
                <w:sz w:val="21"/>
                <w:szCs w:val="21"/>
                <w:lang w:val="en-US" w:eastAsia="zh-CN"/>
              </w:rPr>
              <w:t>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0" w:hRule="exact"/>
          <w:jc w:val="center"/>
        </w:trPr>
        <w:tc>
          <w:tcPr>
            <w:tcW w:w="571" w:type="dxa"/>
            <w:noWrap w:val="0"/>
            <w:vAlign w:val="center"/>
          </w:tcPr>
          <w:p>
            <w:pPr>
              <w:pStyle w:val="7"/>
              <w:spacing w:line="240" w:lineRule="atLeast"/>
              <w:ind w:left="0"/>
              <w:jc w:val="center"/>
              <w:outlineLvl w:val="0"/>
              <w:rPr>
                <w:rFonts w:hint="eastAsia" w:ascii="方正仿宋_GBK" w:hAnsi="仿宋" w:eastAsia="方正仿宋_GBK"/>
                <w:sz w:val="21"/>
                <w:szCs w:val="21"/>
              </w:rPr>
            </w:pPr>
            <w:r>
              <w:rPr>
                <w:rFonts w:hint="eastAsia" w:ascii="方正仿宋_GBK" w:hAnsi="仿宋" w:eastAsia="方正仿宋_GBK"/>
                <w:sz w:val="21"/>
                <w:szCs w:val="21"/>
              </w:rPr>
              <w:t>1</w:t>
            </w:r>
          </w:p>
        </w:tc>
        <w:tc>
          <w:tcPr>
            <w:tcW w:w="955" w:type="dxa"/>
            <w:noWrap w:val="0"/>
            <w:vAlign w:val="center"/>
          </w:tcPr>
          <w:p>
            <w:pPr>
              <w:jc w:val="center"/>
              <w:rPr>
                <w:rFonts w:hint="eastAsia" w:ascii="方正仿宋_GBK" w:hAnsi="仿宋" w:eastAsia="方正仿宋_GBK"/>
                <w:sz w:val="21"/>
                <w:szCs w:val="21"/>
              </w:rPr>
            </w:pPr>
          </w:p>
        </w:tc>
        <w:tc>
          <w:tcPr>
            <w:tcW w:w="1134" w:type="dxa"/>
            <w:noWrap w:val="0"/>
            <w:vAlign w:val="top"/>
          </w:tcPr>
          <w:p>
            <w:pPr>
              <w:jc w:val="center"/>
              <w:rPr>
                <w:rFonts w:hint="eastAsia" w:ascii="方正仿宋_GBK" w:hAnsi="仿宋" w:eastAsia="方正仿宋_GBK"/>
                <w:sz w:val="21"/>
                <w:szCs w:val="21"/>
              </w:rPr>
            </w:pPr>
          </w:p>
        </w:tc>
        <w:tc>
          <w:tcPr>
            <w:tcW w:w="2551" w:type="dxa"/>
            <w:noWrap w:val="0"/>
            <w:vAlign w:val="top"/>
          </w:tcPr>
          <w:p>
            <w:pPr>
              <w:jc w:val="left"/>
              <w:rPr>
                <w:rFonts w:hint="eastAsia" w:ascii="方正仿宋_GBK" w:hAnsi="仿宋" w:eastAsia="方正仿宋_GBK"/>
                <w:sz w:val="21"/>
                <w:szCs w:val="21"/>
              </w:rPr>
            </w:pPr>
            <w:r>
              <w:rPr>
                <w:rFonts w:hint="eastAsia" w:ascii="方正仿宋_GBK" w:hAnsi="仿宋" w:eastAsia="方正仿宋_GBK"/>
                <w:sz w:val="21"/>
                <w:szCs w:val="21"/>
                <w:lang w:val="en-US" w:eastAsia="zh-CN"/>
              </w:rPr>
              <w:t>消防电梯/兼货梯/兼无障碍电梯、10（层/站/门）、提升高度44米、载重（1000KG)、速度(1.5m/s)</w:t>
            </w:r>
          </w:p>
        </w:tc>
        <w:tc>
          <w:tcPr>
            <w:tcW w:w="808" w:type="dxa"/>
            <w:noWrap w:val="0"/>
            <w:vAlign w:val="top"/>
          </w:tcPr>
          <w:p>
            <w:pPr>
              <w:jc w:val="center"/>
              <w:rPr>
                <w:rFonts w:hint="default" w:ascii="Times New Roman" w:hAnsi="Times New Roman" w:cs="Times New Roman"/>
                <w:b w:val="0"/>
                <w:bCs w:val="0"/>
              </w:rPr>
            </w:pPr>
          </w:p>
          <w:p>
            <w:pPr>
              <w:pStyle w:val="6"/>
              <w:jc w:val="center"/>
              <w:rPr>
                <w:rFonts w:hint="default" w:ascii="Times New Roman" w:hAnsi="Times New Roman" w:cs="Times New Roman"/>
                <w:b w:val="0"/>
                <w:bCs w:val="0"/>
              </w:rPr>
            </w:pPr>
          </w:p>
          <w:p>
            <w:pPr>
              <w:jc w:val="center"/>
              <w:rPr>
                <w:rFonts w:hint="default" w:ascii="Times New Roman" w:hAnsi="Times New Roman" w:eastAsia="方正仿宋_GBK" w:cs="Times New Roman"/>
                <w:b w:val="0"/>
                <w:bCs w:val="0"/>
                <w:lang w:val="en-US" w:eastAsia="zh-CN"/>
              </w:rPr>
            </w:pPr>
            <w:r>
              <w:rPr>
                <w:rFonts w:hint="default" w:ascii="Times New Roman" w:hAnsi="Times New Roman" w:eastAsia="方正仿宋_GBK" w:cs="Times New Roman"/>
                <w:b w:val="0"/>
                <w:bCs w:val="0"/>
                <w:lang w:val="en-US" w:eastAsia="zh-CN"/>
              </w:rPr>
              <w:t>1</w:t>
            </w:r>
          </w:p>
        </w:tc>
        <w:tc>
          <w:tcPr>
            <w:tcW w:w="1199" w:type="dxa"/>
            <w:noWrap w:val="0"/>
            <w:vAlign w:val="top"/>
          </w:tcPr>
          <w:p>
            <w:pPr>
              <w:jc w:val="center"/>
              <w:rPr>
                <w:rFonts w:hint="eastAsia" w:ascii="方正仿宋_GBK" w:hAnsi="仿宋" w:eastAsia="方正仿宋_GBK"/>
                <w:sz w:val="21"/>
                <w:szCs w:val="21"/>
              </w:rPr>
            </w:pPr>
          </w:p>
        </w:tc>
        <w:tc>
          <w:tcPr>
            <w:tcW w:w="1312" w:type="dxa"/>
            <w:noWrap w:val="0"/>
            <w:vAlign w:val="top"/>
          </w:tcPr>
          <w:p>
            <w:pPr>
              <w:jc w:val="center"/>
              <w:rPr>
                <w:rFonts w:hint="default" w:ascii="方正仿宋_GBK" w:hAnsi="仿宋" w:eastAsia="方正仿宋_GBK"/>
                <w:sz w:val="21"/>
                <w:szCs w:val="21"/>
                <w:lang w:val="en-US" w:eastAsia="zh-CN"/>
              </w:rPr>
            </w:pPr>
          </w:p>
        </w:tc>
        <w:tc>
          <w:tcPr>
            <w:tcW w:w="1259" w:type="dxa"/>
            <w:noWrap w:val="0"/>
            <w:vAlign w:val="top"/>
          </w:tcPr>
          <w:p>
            <w:pPr>
              <w:jc w:val="center"/>
              <w:rPr>
                <w:rFonts w:hint="default" w:ascii="方正仿宋_GBK" w:hAnsi="仿宋" w:eastAsia="方正仿宋_GBK"/>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3" w:hRule="exact"/>
          <w:jc w:val="center"/>
        </w:trPr>
        <w:tc>
          <w:tcPr>
            <w:tcW w:w="571" w:type="dxa"/>
            <w:noWrap w:val="0"/>
            <w:vAlign w:val="center"/>
          </w:tcPr>
          <w:p>
            <w:pPr>
              <w:pStyle w:val="7"/>
              <w:spacing w:line="240" w:lineRule="atLeast"/>
              <w:ind w:left="0"/>
              <w:jc w:val="center"/>
              <w:outlineLvl w:val="0"/>
              <w:rPr>
                <w:rFonts w:hint="eastAsia" w:ascii="方正仿宋_GBK" w:hAnsi="仿宋" w:eastAsia="方正仿宋_GBK"/>
                <w:sz w:val="21"/>
                <w:szCs w:val="21"/>
              </w:rPr>
            </w:pPr>
            <w:r>
              <w:rPr>
                <w:rFonts w:hint="eastAsia" w:ascii="方正仿宋_GBK" w:hAnsi="仿宋" w:eastAsia="方正仿宋_GBK"/>
                <w:sz w:val="21"/>
                <w:szCs w:val="21"/>
              </w:rPr>
              <w:t>2</w:t>
            </w:r>
          </w:p>
        </w:tc>
        <w:tc>
          <w:tcPr>
            <w:tcW w:w="955" w:type="dxa"/>
            <w:noWrap w:val="0"/>
            <w:vAlign w:val="center"/>
          </w:tcPr>
          <w:p>
            <w:pPr>
              <w:jc w:val="center"/>
              <w:rPr>
                <w:rFonts w:hint="eastAsia" w:ascii="方正仿宋_GBK" w:hAnsi="仿宋" w:eastAsia="方正仿宋_GBK"/>
                <w:sz w:val="21"/>
                <w:szCs w:val="21"/>
              </w:rPr>
            </w:pPr>
          </w:p>
        </w:tc>
        <w:tc>
          <w:tcPr>
            <w:tcW w:w="1134" w:type="dxa"/>
            <w:noWrap w:val="0"/>
            <w:vAlign w:val="top"/>
          </w:tcPr>
          <w:p>
            <w:pPr>
              <w:jc w:val="center"/>
              <w:rPr>
                <w:rFonts w:hint="eastAsia" w:ascii="方正仿宋_GBK" w:hAnsi="仿宋" w:eastAsia="方正仿宋_GBK"/>
                <w:sz w:val="21"/>
                <w:szCs w:val="21"/>
              </w:rPr>
            </w:pPr>
          </w:p>
        </w:tc>
        <w:tc>
          <w:tcPr>
            <w:tcW w:w="2551" w:type="dxa"/>
            <w:noWrap w:val="0"/>
            <w:vAlign w:val="top"/>
          </w:tcPr>
          <w:p>
            <w:pPr>
              <w:jc w:val="left"/>
              <w:rPr>
                <w:rFonts w:hint="eastAsia" w:ascii="方正仿宋_GBK" w:hAnsi="仿宋" w:eastAsia="方正仿宋_GBK"/>
                <w:sz w:val="21"/>
                <w:szCs w:val="21"/>
              </w:rPr>
            </w:pPr>
            <w:r>
              <w:rPr>
                <w:rFonts w:hint="eastAsia" w:ascii="方正仿宋_GBK" w:hAnsi="仿宋" w:eastAsia="方正仿宋_GBK"/>
                <w:sz w:val="21"/>
                <w:szCs w:val="21"/>
                <w:lang w:val="en-US" w:eastAsia="zh-CN"/>
              </w:rPr>
              <w:t>客梯/兼担架电梯、10（层/站/门）、提升高度44米、载重（1000KG)、速度(1.5m/s)</w:t>
            </w:r>
          </w:p>
        </w:tc>
        <w:tc>
          <w:tcPr>
            <w:tcW w:w="808" w:type="dxa"/>
            <w:noWrap w:val="0"/>
            <w:vAlign w:val="top"/>
          </w:tcPr>
          <w:p>
            <w:pPr>
              <w:jc w:val="center"/>
              <w:rPr>
                <w:rFonts w:hint="default" w:ascii="Times New Roman" w:hAnsi="Times New Roman" w:cs="Times New Roman"/>
                <w:b w:val="0"/>
                <w:bCs w:val="0"/>
              </w:rPr>
            </w:pPr>
          </w:p>
          <w:p>
            <w:pPr>
              <w:pStyle w:val="6"/>
              <w:jc w:val="center"/>
              <w:rPr>
                <w:rFonts w:hint="default" w:ascii="Times New Roman" w:hAnsi="Times New Roman" w:cs="Times New Roman"/>
                <w:b w:val="0"/>
                <w:bCs w:val="0"/>
              </w:rPr>
            </w:pPr>
          </w:p>
          <w:p>
            <w:pPr>
              <w:jc w:val="center"/>
              <w:rPr>
                <w:rFonts w:hint="default" w:ascii="Times New Roman" w:hAnsi="Times New Roman" w:eastAsia="方正仿宋_GBK" w:cs="Times New Roman"/>
                <w:b w:val="0"/>
                <w:bCs w:val="0"/>
                <w:lang w:val="en-US" w:eastAsia="zh-CN"/>
              </w:rPr>
            </w:pPr>
            <w:r>
              <w:rPr>
                <w:rFonts w:hint="default" w:ascii="Times New Roman" w:hAnsi="Times New Roman" w:eastAsia="方正仿宋_GBK" w:cs="Times New Roman"/>
                <w:b w:val="0"/>
                <w:bCs w:val="0"/>
                <w:lang w:val="en-US" w:eastAsia="zh-CN"/>
              </w:rPr>
              <w:t>1</w:t>
            </w:r>
          </w:p>
        </w:tc>
        <w:tc>
          <w:tcPr>
            <w:tcW w:w="1199" w:type="dxa"/>
            <w:noWrap w:val="0"/>
            <w:vAlign w:val="top"/>
          </w:tcPr>
          <w:p>
            <w:pPr>
              <w:jc w:val="center"/>
              <w:rPr>
                <w:rFonts w:hint="eastAsia" w:ascii="方正仿宋_GBK" w:hAnsi="仿宋" w:eastAsia="方正仿宋_GBK"/>
                <w:sz w:val="21"/>
                <w:szCs w:val="21"/>
              </w:rPr>
            </w:pPr>
          </w:p>
        </w:tc>
        <w:tc>
          <w:tcPr>
            <w:tcW w:w="1312" w:type="dxa"/>
            <w:noWrap w:val="0"/>
            <w:vAlign w:val="top"/>
          </w:tcPr>
          <w:p>
            <w:pPr>
              <w:jc w:val="center"/>
              <w:rPr>
                <w:rFonts w:hint="eastAsia" w:ascii="方正仿宋_GBK" w:hAnsi="仿宋" w:eastAsia="方正仿宋_GBK"/>
                <w:sz w:val="21"/>
                <w:szCs w:val="21"/>
              </w:rPr>
            </w:pPr>
          </w:p>
        </w:tc>
        <w:tc>
          <w:tcPr>
            <w:tcW w:w="1259" w:type="dxa"/>
            <w:noWrap w:val="0"/>
            <w:vAlign w:val="top"/>
          </w:tcPr>
          <w:p>
            <w:pPr>
              <w:jc w:val="center"/>
              <w:rPr>
                <w:rFonts w:hint="eastAsia" w:ascii="方正仿宋_GBK" w:hAnsi="仿宋"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exact"/>
          <w:jc w:val="center"/>
        </w:trPr>
        <w:tc>
          <w:tcPr>
            <w:tcW w:w="571" w:type="dxa"/>
            <w:noWrap w:val="0"/>
            <w:vAlign w:val="center"/>
          </w:tcPr>
          <w:p>
            <w:pPr>
              <w:pStyle w:val="7"/>
              <w:spacing w:line="240" w:lineRule="atLeast"/>
              <w:ind w:left="0"/>
              <w:jc w:val="center"/>
              <w:outlineLvl w:val="0"/>
              <w:rPr>
                <w:rFonts w:hint="eastAsia" w:ascii="方正仿宋_GBK" w:hAnsi="仿宋" w:eastAsia="方正仿宋_GBK"/>
                <w:sz w:val="21"/>
                <w:szCs w:val="21"/>
              </w:rPr>
            </w:pPr>
            <w:r>
              <w:rPr>
                <w:rFonts w:hint="eastAsia" w:ascii="方正仿宋_GBK" w:hAnsi="仿宋" w:eastAsia="方正仿宋_GBK"/>
                <w:sz w:val="21"/>
                <w:szCs w:val="21"/>
              </w:rPr>
              <w:t>3</w:t>
            </w:r>
          </w:p>
        </w:tc>
        <w:tc>
          <w:tcPr>
            <w:tcW w:w="955" w:type="dxa"/>
            <w:noWrap w:val="0"/>
            <w:vAlign w:val="center"/>
          </w:tcPr>
          <w:p>
            <w:pPr>
              <w:jc w:val="center"/>
              <w:rPr>
                <w:rFonts w:hint="eastAsia" w:ascii="方正仿宋_GBK" w:hAnsi="仿宋" w:eastAsia="方正仿宋_GBK"/>
                <w:sz w:val="21"/>
                <w:szCs w:val="21"/>
              </w:rPr>
            </w:pPr>
          </w:p>
        </w:tc>
        <w:tc>
          <w:tcPr>
            <w:tcW w:w="1134" w:type="dxa"/>
            <w:noWrap w:val="0"/>
            <w:vAlign w:val="top"/>
          </w:tcPr>
          <w:p>
            <w:pPr>
              <w:jc w:val="center"/>
              <w:rPr>
                <w:rFonts w:hint="eastAsia" w:ascii="方正仿宋_GBK" w:hAnsi="仿宋" w:eastAsia="方正仿宋_GBK"/>
                <w:sz w:val="21"/>
                <w:szCs w:val="21"/>
              </w:rPr>
            </w:pPr>
          </w:p>
        </w:tc>
        <w:tc>
          <w:tcPr>
            <w:tcW w:w="2551" w:type="dxa"/>
            <w:noWrap w:val="0"/>
            <w:vAlign w:val="top"/>
          </w:tcPr>
          <w:p>
            <w:pPr>
              <w:jc w:val="left"/>
              <w:rPr>
                <w:rFonts w:hint="eastAsia" w:ascii="方正仿宋_GBK" w:hAnsi="仿宋" w:eastAsia="方正仿宋_GBK"/>
                <w:sz w:val="21"/>
                <w:szCs w:val="21"/>
              </w:rPr>
            </w:pPr>
            <w:r>
              <w:rPr>
                <w:rFonts w:hint="eastAsia" w:ascii="方正仿宋_GBK" w:hAnsi="仿宋" w:eastAsia="方正仿宋_GBK"/>
                <w:sz w:val="21"/>
                <w:szCs w:val="21"/>
                <w:lang w:val="en-US" w:eastAsia="zh-CN"/>
              </w:rPr>
              <w:t>客梯、10（层/站/门）、提升高度44米、载重（1000KG)、速度(1.5m/s)</w:t>
            </w:r>
          </w:p>
        </w:tc>
        <w:tc>
          <w:tcPr>
            <w:tcW w:w="808" w:type="dxa"/>
            <w:noWrap w:val="0"/>
            <w:vAlign w:val="top"/>
          </w:tcPr>
          <w:p>
            <w:pPr>
              <w:jc w:val="center"/>
              <w:rPr>
                <w:rFonts w:hint="default" w:ascii="Times New Roman" w:hAnsi="Times New Roman" w:cs="Times New Roman"/>
                <w:b w:val="0"/>
                <w:bCs w:val="0"/>
              </w:rPr>
            </w:pPr>
          </w:p>
          <w:p>
            <w:pPr>
              <w:pStyle w:val="6"/>
              <w:jc w:val="center"/>
              <w:rPr>
                <w:rFonts w:hint="default" w:ascii="Times New Roman" w:hAnsi="Times New Roman" w:eastAsia="方正仿宋_GBK" w:cs="Times New Roman"/>
                <w:b w:val="0"/>
                <w:bCs w:val="0"/>
                <w:lang w:val="en-US" w:eastAsia="zh-CN"/>
              </w:rPr>
            </w:pPr>
            <w:r>
              <w:rPr>
                <w:rFonts w:hint="default" w:ascii="Times New Roman" w:hAnsi="Times New Roman" w:eastAsia="方正仿宋_GBK" w:cs="Times New Roman"/>
                <w:b w:val="0"/>
                <w:bCs w:val="0"/>
                <w:sz w:val="21"/>
                <w:szCs w:val="21"/>
                <w:lang w:val="en-US" w:eastAsia="zh-CN"/>
              </w:rPr>
              <w:t>1</w:t>
            </w:r>
          </w:p>
        </w:tc>
        <w:tc>
          <w:tcPr>
            <w:tcW w:w="1199" w:type="dxa"/>
            <w:noWrap w:val="0"/>
            <w:vAlign w:val="top"/>
          </w:tcPr>
          <w:p>
            <w:pPr>
              <w:jc w:val="center"/>
              <w:rPr>
                <w:rFonts w:hint="eastAsia" w:ascii="方正仿宋_GBK" w:hAnsi="仿宋" w:eastAsia="方正仿宋_GBK"/>
                <w:sz w:val="21"/>
                <w:szCs w:val="21"/>
              </w:rPr>
            </w:pPr>
          </w:p>
        </w:tc>
        <w:tc>
          <w:tcPr>
            <w:tcW w:w="1312" w:type="dxa"/>
            <w:noWrap w:val="0"/>
            <w:vAlign w:val="top"/>
          </w:tcPr>
          <w:p>
            <w:pPr>
              <w:jc w:val="center"/>
              <w:rPr>
                <w:rFonts w:hint="eastAsia" w:ascii="方正仿宋_GBK" w:hAnsi="仿宋" w:eastAsia="方正仿宋_GBK"/>
                <w:sz w:val="21"/>
                <w:szCs w:val="21"/>
              </w:rPr>
            </w:pPr>
          </w:p>
        </w:tc>
        <w:tc>
          <w:tcPr>
            <w:tcW w:w="1259" w:type="dxa"/>
            <w:noWrap w:val="0"/>
            <w:vAlign w:val="top"/>
          </w:tcPr>
          <w:p>
            <w:pPr>
              <w:jc w:val="center"/>
              <w:rPr>
                <w:rFonts w:hint="eastAsia" w:ascii="方正仿宋_GBK" w:hAnsi="仿宋"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1" w:hRule="exact"/>
          <w:jc w:val="center"/>
        </w:trPr>
        <w:tc>
          <w:tcPr>
            <w:tcW w:w="571" w:type="dxa"/>
            <w:noWrap w:val="0"/>
            <w:vAlign w:val="center"/>
          </w:tcPr>
          <w:p>
            <w:pPr>
              <w:pStyle w:val="7"/>
              <w:spacing w:line="240" w:lineRule="atLeast"/>
              <w:ind w:left="0"/>
              <w:jc w:val="center"/>
              <w:outlineLvl w:val="0"/>
              <w:rPr>
                <w:rFonts w:hint="eastAsia" w:ascii="方正仿宋_GBK" w:hAnsi="仿宋" w:eastAsia="方正仿宋_GBK"/>
                <w:sz w:val="21"/>
                <w:szCs w:val="21"/>
              </w:rPr>
            </w:pPr>
            <w:r>
              <w:rPr>
                <w:rFonts w:hint="eastAsia" w:ascii="方正仿宋_GBK" w:hAnsi="仿宋" w:eastAsia="方正仿宋_GBK"/>
                <w:sz w:val="21"/>
                <w:szCs w:val="21"/>
              </w:rPr>
              <w:t>4</w:t>
            </w:r>
          </w:p>
        </w:tc>
        <w:tc>
          <w:tcPr>
            <w:tcW w:w="955" w:type="dxa"/>
            <w:noWrap w:val="0"/>
            <w:vAlign w:val="center"/>
          </w:tcPr>
          <w:p>
            <w:pPr>
              <w:jc w:val="center"/>
              <w:rPr>
                <w:rFonts w:hint="eastAsia" w:ascii="方正仿宋_GBK" w:hAnsi="仿宋" w:eastAsia="方正仿宋_GBK"/>
                <w:sz w:val="21"/>
                <w:szCs w:val="21"/>
              </w:rPr>
            </w:pPr>
          </w:p>
        </w:tc>
        <w:tc>
          <w:tcPr>
            <w:tcW w:w="1134" w:type="dxa"/>
            <w:noWrap w:val="0"/>
            <w:vAlign w:val="top"/>
          </w:tcPr>
          <w:p>
            <w:pPr>
              <w:jc w:val="center"/>
              <w:rPr>
                <w:rFonts w:hint="eastAsia" w:ascii="方正仿宋_GBK" w:hAnsi="仿宋" w:eastAsia="方正仿宋_GBK"/>
                <w:sz w:val="21"/>
                <w:szCs w:val="21"/>
              </w:rPr>
            </w:pPr>
          </w:p>
        </w:tc>
        <w:tc>
          <w:tcPr>
            <w:tcW w:w="2551" w:type="dxa"/>
            <w:noWrap w:val="0"/>
            <w:vAlign w:val="top"/>
          </w:tcPr>
          <w:p>
            <w:pPr>
              <w:jc w:val="left"/>
              <w:rPr>
                <w:rFonts w:hint="eastAsia" w:ascii="方正仿宋_GBK" w:hAnsi="仿宋" w:eastAsia="方正仿宋_GBK"/>
                <w:sz w:val="21"/>
                <w:szCs w:val="21"/>
              </w:rPr>
            </w:pPr>
            <w:r>
              <w:rPr>
                <w:rFonts w:hint="eastAsia" w:ascii="方正仿宋_GBK" w:hAnsi="仿宋" w:eastAsia="方正仿宋_GBK"/>
                <w:sz w:val="21"/>
                <w:szCs w:val="21"/>
                <w:lang w:val="en-US" w:eastAsia="zh-CN"/>
              </w:rPr>
              <w:t>电梯/兼货梯/兼无障碍电梯、3（层/站/门）、提升高度10.6米、载重（1000KG)、速度(1.5m/s)</w:t>
            </w:r>
          </w:p>
        </w:tc>
        <w:tc>
          <w:tcPr>
            <w:tcW w:w="808" w:type="dxa"/>
            <w:noWrap w:val="0"/>
            <w:vAlign w:val="top"/>
          </w:tcPr>
          <w:p>
            <w:pPr>
              <w:jc w:val="center"/>
              <w:rPr>
                <w:rFonts w:hint="default" w:ascii="Times New Roman" w:hAnsi="Times New Roman" w:cs="Times New Roman"/>
                <w:b w:val="0"/>
                <w:bCs w:val="0"/>
              </w:rPr>
            </w:pPr>
          </w:p>
          <w:p>
            <w:pPr>
              <w:pStyle w:val="6"/>
              <w:jc w:val="center"/>
              <w:rPr>
                <w:rFonts w:hint="default" w:ascii="Times New Roman" w:hAnsi="Times New Roman" w:cs="Times New Roman"/>
                <w:b w:val="0"/>
                <w:bCs w:val="0"/>
              </w:rPr>
            </w:pPr>
          </w:p>
          <w:p>
            <w:pPr>
              <w:jc w:val="center"/>
              <w:rPr>
                <w:rFonts w:hint="default" w:ascii="Times New Roman" w:hAnsi="Times New Roman" w:eastAsia="方正仿宋_GBK" w:cs="Times New Roman"/>
                <w:b w:val="0"/>
                <w:bCs w:val="0"/>
                <w:lang w:val="en-US" w:eastAsia="zh-CN"/>
              </w:rPr>
            </w:pPr>
            <w:r>
              <w:rPr>
                <w:rFonts w:hint="default" w:ascii="Times New Roman" w:hAnsi="Times New Roman" w:eastAsia="方正仿宋_GBK" w:cs="Times New Roman"/>
                <w:b w:val="0"/>
                <w:bCs w:val="0"/>
                <w:sz w:val="21"/>
                <w:szCs w:val="21"/>
                <w:lang w:val="en-US" w:eastAsia="zh-CN"/>
              </w:rPr>
              <w:t>1</w:t>
            </w:r>
          </w:p>
        </w:tc>
        <w:tc>
          <w:tcPr>
            <w:tcW w:w="1199" w:type="dxa"/>
            <w:noWrap w:val="0"/>
            <w:vAlign w:val="top"/>
          </w:tcPr>
          <w:p>
            <w:pPr>
              <w:jc w:val="center"/>
              <w:rPr>
                <w:rFonts w:hint="eastAsia" w:ascii="方正仿宋_GBK" w:hAnsi="仿宋" w:eastAsia="方正仿宋_GBK"/>
                <w:sz w:val="21"/>
                <w:szCs w:val="21"/>
              </w:rPr>
            </w:pPr>
          </w:p>
        </w:tc>
        <w:tc>
          <w:tcPr>
            <w:tcW w:w="1312" w:type="dxa"/>
            <w:noWrap w:val="0"/>
            <w:vAlign w:val="top"/>
          </w:tcPr>
          <w:p>
            <w:pPr>
              <w:jc w:val="center"/>
              <w:rPr>
                <w:rFonts w:hint="eastAsia" w:ascii="方正仿宋_GBK" w:hAnsi="仿宋" w:eastAsia="方正仿宋_GBK"/>
                <w:sz w:val="21"/>
                <w:szCs w:val="21"/>
              </w:rPr>
            </w:pPr>
          </w:p>
        </w:tc>
        <w:tc>
          <w:tcPr>
            <w:tcW w:w="1259" w:type="dxa"/>
            <w:noWrap w:val="0"/>
            <w:vAlign w:val="top"/>
          </w:tcPr>
          <w:p>
            <w:pPr>
              <w:jc w:val="center"/>
              <w:rPr>
                <w:rFonts w:hint="eastAsia" w:ascii="方正仿宋_GBK" w:hAnsi="仿宋"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exact"/>
          <w:jc w:val="center"/>
        </w:trPr>
        <w:tc>
          <w:tcPr>
            <w:tcW w:w="571" w:type="dxa"/>
            <w:noWrap w:val="0"/>
            <w:vAlign w:val="center"/>
          </w:tcPr>
          <w:p>
            <w:pPr>
              <w:pStyle w:val="7"/>
              <w:spacing w:line="240" w:lineRule="atLeast"/>
              <w:ind w:left="0"/>
              <w:jc w:val="center"/>
              <w:outlineLvl w:val="0"/>
              <w:rPr>
                <w:rFonts w:hint="eastAsia" w:ascii="方正仿宋_GBK" w:hAnsi="仿宋" w:eastAsia="方正仿宋_GBK"/>
                <w:sz w:val="21"/>
                <w:szCs w:val="21"/>
              </w:rPr>
            </w:pPr>
            <w:r>
              <w:rPr>
                <w:rFonts w:hint="eastAsia" w:ascii="方正仿宋_GBK" w:hAnsi="仿宋" w:eastAsia="方正仿宋_GBK"/>
                <w:sz w:val="21"/>
                <w:szCs w:val="21"/>
              </w:rPr>
              <w:t>5</w:t>
            </w:r>
          </w:p>
        </w:tc>
        <w:tc>
          <w:tcPr>
            <w:tcW w:w="955" w:type="dxa"/>
            <w:noWrap w:val="0"/>
            <w:vAlign w:val="center"/>
          </w:tcPr>
          <w:p>
            <w:pPr>
              <w:jc w:val="center"/>
              <w:rPr>
                <w:rFonts w:hint="eastAsia" w:ascii="方正仿宋_GBK" w:hAnsi="仿宋" w:eastAsia="方正仿宋_GBK"/>
                <w:sz w:val="21"/>
                <w:szCs w:val="21"/>
              </w:rPr>
            </w:pPr>
          </w:p>
        </w:tc>
        <w:tc>
          <w:tcPr>
            <w:tcW w:w="1134" w:type="dxa"/>
            <w:noWrap w:val="0"/>
            <w:vAlign w:val="top"/>
          </w:tcPr>
          <w:p>
            <w:pPr>
              <w:jc w:val="center"/>
              <w:rPr>
                <w:rFonts w:hint="eastAsia" w:ascii="方正仿宋_GBK" w:hAnsi="仿宋" w:eastAsia="方正仿宋_GBK"/>
                <w:sz w:val="21"/>
                <w:szCs w:val="21"/>
              </w:rPr>
            </w:pPr>
          </w:p>
        </w:tc>
        <w:tc>
          <w:tcPr>
            <w:tcW w:w="2551" w:type="dxa"/>
            <w:noWrap w:val="0"/>
            <w:vAlign w:val="top"/>
          </w:tcPr>
          <w:p>
            <w:pPr>
              <w:jc w:val="left"/>
              <w:rPr>
                <w:rFonts w:hint="eastAsia" w:ascii="方正仿宋_GBK" w:hAnsi="仿宋" w:eastAsia="方正仿宋_GBK"/>
                <w:sz w:val="21"/>
                <w:szCs w:val="21"/>
              </w:rPr>
            </w:pPr>
            <w:r>
              <w:rPr>
                <w:rFonts w:hint="eastAsia" w:ascii="方正仿宋_GBK" w:hAnsi="仿宋" w:eastAsia="方正仿宋_GBK"/>
                <w:sz w:val="21"/>
                <w:szCs w:val="21"/>
                <w:lang w:val="en-US" w:eastAsia="zh-CN"/>
              </w:rPr>
              <w:t>货梯、4（层/站/门）、提升高度10.50米、载重（3000KG)、速度(0.5m/s)</w:t>
            </w:r>
          </w:p>
        </w:tc>
        <w:tc>
          <w:tcPr>
            <w:tcW w:w="808" w:type="dxa"/>
            <w:noWrap w:val="0"/>
            <w:vAlign w:val="top"/>
          </w:tcPr>
          <w:p>
            <w:pPr>
              <w:jc w:val="center"/>
              <w:rPr>
                <w:rFonts w:hint="default" w:ascii="Times New Roman" w:hAnsi="Times New Roman" w:cs="Times New Roman"/>
                <w:b w:val="0"/>
                <w:bCs w:val="0"/>
              </w:rPr>
            </w:pPr>
          </w:p>
          <w:p>
            <w:pPr>
              <w:pStyle w:val="6"/>
              <w:jc w:val="center"/>
              <w:rPr>
                <w:rFonts w:hint="default" w:ascii="Times New Roman" w:hAnsi="Times New Roman" w:eastAsia="方正仿宋_GBK" w:cs="Times New Roman"/>
                <w:b w:val="0"/>
                <w:bCs w:val="0"/>
                <w:lang w:val="en-US" w:eastAsia="zh-CN"/>
              </w:rPr>
            </w:pPr>
            <w:r>
              <w:rPr>
                <w:rFonts w:hint="default" w:ascii="Times New Roman" w:hAnsi="Times New Roman" w:eastAsia="方正仿宋_GBK" w:cs="Times New Roman"/>
                <w:b w:val="0"/>
                <w:bCs w:val="0"/>
                <w:sz w:val="21"/>
                <w:szCs w:val="21"/>
                <w:lang w:val="en-US" w:eastAsia="zh-CN"/>
              </w:rPr>
              <w:t>1</w:t>
            </w:r>
          </w:p>
        </w:tc>
        <w:tc>
          <w:tcPr>
            <w:tcW w:w="1199" w:type="dxa"/>
            <w:noWrap w:val="0"/>
            <w:vAlign w:val="top"/>
          </w:tcPr>
          <w:p>
            <w:pPr>
              <w:jc w:val="center"/>
              <w:rPr>
                <w:rFonts w:hint="eastAsia" w:ascii="方正仿宋_GBK" w:hAnsi="仿宋" w:eastAsia="方正仿宋_GBK"/>
                <w:sz w:val="21"/>
                <w:szCs w:val="21"/>
              </w:rPr>
            </w:pPr>
          </w:p>
        </w:tc>
        <w:tc>
          <w:tcPr>
            <w:tcW w:w="1312" w:type="dxa"/>
            <w:noWrap w:val="0"/>
            <w:vAlign w:val="top"/>
          </w:tcPr>
          <w:p>
            <w:pPr>
              <w:jc w:val="center"/>
              <w:rPr>
                <w:rFonts w:hint="eastAsia" w:ascii="方正仿宋_GBK" w:hAnsi="仿宋" w:eastAsia="方正仿宋_GBK"/>
                <w:sz w:val="21"/>
                <w:szCs w:val="21"/>
              </w:rPr>
            </w:pPr>
          </w:p>
        </w:tc>
        <w:tc>
          <w:tcPr>
            <w:tcW w:w="1259" w:type="dxa"/>
            <w:noWrap w:val="0"/>
            <w:vAlign w:val="top"/>
          </w:tcPr>
          <w:p>
            <w:pPr>
              <w:jc w:val="center"/>
              <w:rPr>
                <w:rFonts w:hint="eastAsia" w:ascii="方正仿宋_GBK" w:hAnsi="仿宋"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571" w:type="dxa"/>
            <w:noWrap w:val="0"/>
            <w:vAlign w:val="center"/>
          </w:tcPr>
          <w:p>
            <w:pPr>
              <w:pStyle w:val="7"/>
              <w:spacing w:line="240" w:lineRule="atLeast"/>
              <w:ind w:left="0"/>
              <w:jc w:val="center"/>
              <w:outlineLvl w:val="0"/>
              <w:rPr>
                <w:rFonts w:hint="eastAsia" w:ascii="方正仿宋_GBK" w:hAnsi="仿宋" w:eastAsia="方正仿宋_GBK"/>
                <w:sz w:val="21"/>
                <w:szCs w:val="21"/>
                <w:lang w:eastAsia="zh-CN"/>
              </w:rPr>
            </w:pPr>
            <w:r>
              <w:rPr>
                <w:rFonts w:hint="eastAsia" w:ascii="方正仿宋_GBK" w:hAnsi="仿宋" w:eastAsia="方正仿宋_GBK"/>
                <w:sz w:val="21"/>
                <w:szCs w:val="21"/>
                <w:lang w:val="en-US" w:eastAsia="zh-CN"/>
              </w:rPr>
              <w:t>6</w:t>
            </w:r>
          </w:p>
        </w:tc>
        <w:tc>
          <w:tcPr>
            <w:tcW w:w="955" w:type="dxa"/>
            <w:noWrap w:val="0"/>
            <w:vAlign w:val="center"/>
          </w:tcPr>
          <w:p>
            <w:pPr>
              <w:jc w:val="center"/>
              <w:rPr>
                <w:rFonts w:hint="eastAsia" w:ascii="方正仿宋_GBK" w:hAnsi="仿宋" w:eastAsia="方正仿宋_GBK"/>
                <w:sz w:val="21"/>
                <w:szCs w:val="21"/>
              </w:rPr>
            </w:pPr>
            <w:r>
              <w:rPr>
                <w:rFonts w:hint="eastAsia" w:ascii="方正仿宋_GBK" w:hAnsi="仿宋" w:eastAsia="方正仿宋_GBK"/>
                <w:sz w:val="21"/>
                <w:szCs w:val="21"/>
              </w:rPr>
              <w:t>总计</w:t>
            </w:r>
          </w:p>
        </w:tc>
        <w:tc>
          <w:tcPr>
            <w:tcW w:w="8263" w:type="dxa"/>
            <w:gridSpan w:val="6"/>
            <w:noWrap w:val="0"/>
            <w:vAlign w:val="top"/>
          </w:tcPr>
          <w:p>
            <w:pPr>
              <w:rPr>
                <w:rFonts w:hint="eastAsia" w:ascii="方正仿宋_GBK" w:hAnsi="仿宋" w:eastAsia="方正仿宋_GBK"/>
                <w:sz w:val="21"/>
                <w:szCs w:val="21"/>
                <w:lang w:val="en-US" w:eastAsia="zh-CN"/>
              </w:rPr>
            </w:pPr>
            <w:r>
              <w:rPr>
                <w:rFonts w:hint="eastAsia" w:ascii="方正仿宋_GBK" w:hAnsi="仿宋" w:eastAsia="方正仿宋_GBK"/>
                <w:sz w:val="21"/>
                <w:szCs w:val="21"/>
                <w:u w:val="none"/>
                <w:lang w:val="en-US" w:eastAsia="zh-CN"/>
              </w:rPr>
              <w:t>人民币：</w:t>
            </w:r>
            <w:r>
              <w:rPr>
                <w:rFonts w:hint="eastAsia" w:ascii="方正仿宋_GBK" w:hAnsi="仿宋" w:eastAsia="方正仿宋_GBK"/>
                <w:sz w:val="21"/>
                <w:szCs w:val="21"/>
                <w:u w:val="single"/>
                <w:lang w:val="en-US" w:eastAsia="zh-CN"/>
              </w:rPr>
              <w:t xml:space="preserve">          </w:t>
            </w:r>
            <w:r>
              <w:rPr>
                <w:rFonts w:hint="eastAsia" w:ascii="方正仿宋_GBK" w:hAnsi="仿宋" w:eastAsia="方正仿宋_GBK"/>
                <w:sz w:val="21"/>
                <w:szCs w:val="21"/>
                <w:lang w:val="en-US" w:eastAsia="zh-CN"/>
              </w:rPr>
              <w:t>元（大写：</w:t>
            </w:r>
            <w:r>
              <w:rPr>
                <w:rFonts w:hint="eastAsia" w:ascii="方正仿宋_GBK" w:hAnsi="仿宋" w:eastAsia="方正仿宋_GBK"/>
                <w:sz w:val="21"/>
                <w:szCs w:val="21"/>
                <w:u w:val="single"/>
                <w:lang w:val="en-US" w:eastAsia="zh-CN"/>
              </w:rPr>
              <w:t xml:space="preserve">          </w:t>
            </w:r>
            <w:r>
              <w:rPr>
                <w:rFonts w:hint="eastAsia" w:ascii="方正仿宋_GBK" w:hAnsi="仿宋" w:eastAsia="方正仿宋_GBK"/>
                <w:sz w:val="21"/>
                <w:szCs w:val="21"/>
                <w:lang w:val="en-US" w:eastAsia="zh-CN"/>
              </w:rPr>
              <w:t>）</w:t>
            </w:r>
          </w:p>
        </w:tc>
      </w:tr>
    </w:tbl>
    <w:p>
      <w:pPr>
        <w:jc w:val="both"/>
        <w:rPr>
          <w:rFonts w:hint="default" w:ascii="Times New Roman" w:hAnsi="Times New Roman" w:eastAsia="方正仿宋_GBK" w:cs="Times New Roman"/>
          <w:color w:val="auto"/>
          <w:sz w:val="28"/>
          <w:szCs w:val="28"/>
        </w:rPr>
      </w:pPr>
    </w:p>
    <w:p>
      <w:pPr>
        <w:jc w:val="center"/>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br w:type="page"/>
      </w:r>
    </w:p>
    <w:p>
      <w:pPr>
        <w:jc w:val="center"/>
        <w:rPr>
          <w:rFonts w:hint="default" w:ascii="Times New Roman" w:hAnsi="Times New Roman" w:eastAsia="方正仿宋_GBK" w:cs="Times New Roman"/>
          <w:b/>
          <w:color w:val="auto"/>
          <w:kern w:val="0"/>
          <w:sz w:val="24"/>
        </w:rPr>
      </w:pPr>
      <w:r>
        <w:rPr>
          <w:rFonts w:hint="default" w:ascii="Times New Roman" w:hAnsi="Times New Roman" w:eastAsia="仿宋_GB2312" w:cs="Times New Roman"/>
          <w:color w:val="auto"/>
          <w:sz w:val="28"/>
          <w:szCs w:val="28"/>
          <w:lang w:val="en-US" w:eastAsia="zh-CN"/>
        </w:rPr>
        <w:t>★</w:t>
      </w:r>
      <w:r>
        <w:rPr>
          <w:rFonts w:hint="default" w:ascii="Times New Roman" w:hAnsi="Times New Roman" w:eastAsia="方正仿宋_GBK" w:cs="Times New Roman"/>
          <w:color w:val="auto"/>
          <w:sz w:val="28"/>
          <w:szCs w:val="28"/>
          <w:lang w:eastAsia="zh-CN"/>
        </w:rPr>
        <w:t>格式三</w:t>
      </w:r>
      <w:r>
        <w:rPr>
          <w:rFonts w:hint="default" w:ascii="Times New Roman" w:hAnsi="Times New Roman" w:eastAsia="方正仿宋_GBK" w:cs="Times New Roman"/>
          <w:color w:val="auto"/>
          <w:sz w:val="28"/>
          <w:szCs w:val="28"/>
          <w:lang w:val="en-US" w:eastAsia="zh-CN"/>
        </w:rPr>
        <w:t xml:space="preserve">   </w:t>
      </w:r>
      <w:r>
        <w:rPr>
          <w:rFonts w:hint="default" w:ascii="Times New Roman" w:hAnsi="Times New Roman" w:eastAsia="方正仿宋_GBK" w:cs="Times New Roman"/>
          <w:color w:val="auto"/>
          <w:sz w:val="28"/>
          <w:szCs w:val="28"/>
        </w:rPr>
        <w:t>法定代表人授权</w:t>
      </w:r>
      <w:r>
        <w:rPr>
          <w:rFonts w:hint="default" w:ascii="Times New Roman" w:hAnsi="Times New Roman" w:eastAsia="方正仿宋_GBK" w:cs="Times New Roman"/>
          <w:color w:val="auto"/>
          <w:sz w:val="28"/>
          <w:szCs w:val="28"/>
          <w:lang w:eastAsia="zh-CN"/>
        </w:rPr>
        <w:t>委托</w:t>
      </w:r>
      <w:r>
        <w:rPr>
          <w:rFonts w:hint="default" w:ascii="Times New Roman" w:hAnsi="Times New Roman" w:eastAsia="方正仿宋_GBK" w:cs="Times New Roman"/>
          <w:color w:val="auto"/>
          <w:sz w:val="28"/>
          <w:szCs w:val="28"/>
        </w:rPr>
        <w:t>书</w:t>
      </w:r>
    </w:p>
    <w:p>
      <w:pPr>
        <w:widowControl/>
        <w:snapToGrid w:val="0"/>
        <w:spacing w:before="100" w:beforeAutospacing="1" w:after="100" w:afterAutospacing="1" w:line="360" w:lineRule="auto"/>
        <w:jc w:val="left"/>
        <w:textAlignment w:val="bottom"/>
        <w:rPr>
          <w:rFonts w:hint="default" w:ascii="Times New Roman" w:hAnsi="Times New Roman" w:eastAsia="方正仿宋_GBK" w:cs="Times New Roman"/>
          <w:bCs/>
          <w:color w:val="auto"/>
          <w:kern w:val="0"/>
          <w:sz w:val="28"/>
          <w:szCs w:val="28"/>
        </w:rPr>
      </w:pPr>
      <w:r>
        <w:rPr>
          <w:rFonts w:hint="default" w:ascii="Times New Roman" w:hAnsi="Times New Roman" w:eastAsia="方正仿宋_GBK" w:cs="Times New Roman"/>
          <w:bCs/>
          <w:color w:val="auto"/>
          <w:kern w:val="0"/>
          <w:sz w:val="28"/>
          <w:szCs w:val="28"/>
        </w:rPr>
        <w:t> </w:t>
      </w:r>
      <w:r>
        <w:rPr>
          <w:rFonts w:hint="default" w:ascii="Times New Roman" w:hAnsi="Times New Roman" w:eastAsia="方正仿宋_GBK" w:cs="Times New Roman"/>
          <w:bCs/>
          <w:color w:val="auto"/>
          <w:kern w:val="0"/>
          <w:sz w:val="28"/>
          <w:szCs w:val="28"/>
          <w:lang w:val="en-US" w:eastAsia="zh-CN"/>
        </w:rPr>
        <w:t xml:space="preserve">   </w:t>
      </w:r>
      <w:r>
        <w:rPr>
          <w:rFonts w:hint="default" w:ascii="Times New Roman" w:hAnsi="Times New Roman" w:eastAsia="方正仿宋_GBK" w:cs="Times New Roman"/>
          <w:bCs/>
          <w:color w:val="auto"/>
          <w:kern w:val="0"/>
          <w:sz w:val="28"/>
          <w:szCs w:val="28"/>
        </w:rPr>
        <w:t> 本授权书声明：注册于</w:t>
      </w:r>
      <w:r>
        <w:rPr>
          <w:rFonts w:hint="default" w:ascii="Times New Roman" w:hAnsi="Times New Roman" w:eastAsia="方正仿宋_GBK" w:cs="Times New Roman"/>
          <w:bCs/>
          <w:color w:val="auto"/>
          <w:kern w:val="0"/>
          <w:sz w:val="28"/>
          <w:szCs w:val="28"/>
          <w:u w:val="single"/>
        </w:rPr>
        <w:t>                       （注册地址）</w:t>
      </w:r>
      <w:r>
        <w:rPr>
          <w:rFonts w:hint="default" w:ascii="Times New Roman" w:hAnsi="Times New Roman" w:eastAsia="方正仿宋_GBK" w:cs="Times New Roman"/>
          <w:bCs/>
          <w:color w:val="auto"/>
          <w:kern w:val="0"/>
          <w:sz w:val="28"/>
          <w:szCs w:val="28"/>
        </w:rPr>
        <w:t>的</w:t>
      </w:r>
      <w:r>
        <w:rPr>
          <w:rFonts w:hint="default" w:ascii="Times New Roman" w:hAnsi="Times New Roman" w:eastAsia="方正仿宋_GBK" w:cs="Times New Roman"/>
          <w:bCs/>
          <w:color w:val="auto"/>
          <w:kern w:val="0"/>
          <w:sz w:val="28"/>
          <w:szCs w:val="28"/>
          <w:u w:val="single"/>
        </w:rPr>
        <w:t>                    （公司名称）</w:t>
      </w:r>
      <w:r>
        <w:rPr>
          <w:rFonts w:hint="default" w:ascii="Times New Roman" w:hAnsi="Times New Roman" w:eastAsia="方正仿宋_GBK" w:cs="Times New Roman"/>
          <w:bCs/>
          <w:color w:val="auto"/>
          <w:kern w:val="0"/>
          <w:sz w:val="28"/>
          <w:szCs w:val="28"/>
        </w:rPr>
        <w:t>公司的在下面签字的</w:t>
      </w:r>
      <w:r>
        <w:rPr>
          <w:rFonts w:hint="default" w:ascii="Times New Roman" w:hAnsi="Times New Roman" w:eastAsia="方正仿宋_GBK" w:cs="Times New Roman"/>
          <w:bCs/>
          <w:color w:val="auto"/>
          <w:kern w:val="0"/>
          <w:sz w:val="28"/>
          <w:szCs w:val="28"/>
          <w:u w:val="single"/>
        </w:rPr>
        <w:t xml:space="preserve">         </w:t>
      </w:r>
      <w:r>
        <w:rPr>
          <w:rFonts w:hint="default" w:ascii="Times New Roman" w:hAnsi="Times New Roman" w:eastAsia="方正仿宋_GBK" w:cs="Times New Roman"/>
          <w:bCs/>
          <w:color w:val="auto"/>
          <w:kern w:val="0"/>
          <w:sz w:val="28"/>
          <w:szCs w:val="28"/>
        </w:rPr>
        <w:t>（法定代表人姓名、职务）代表本公司授权在下面签字的</w:t>
      </w:r>
      <w:r>
        <w:rPr>
          <w:rFonts w:hint="default" w:ascii="Times New Roman" w:hAnsi="Times New Roman" w:eastAsia="方正仿宋_GBK" w:cs="Times New Roman"/>
          <w:bCs/>
          <w:i w:val="0"/>
          <w:iCs w:val="0"/>
          <w:color w:val="auto"/>
          <w:kern w:val="0"/>
          <w:sz w:val="28"/>
          <w:szCs w:val="28"/>
          <w:u w:val="single"/>
        </w:rPr>
        <w:t xml:space="preserve">    </w:t>
      </w:r>
      <w:r>
        <w:rPr>
          <w:rFonts w:hint="default" w:ascii="Times New Roman" w:hAnsi="Times New Roman" w:eastAsia="方正仿宋_GBK" w:cs="Times New Roman"/>
          <w:bCs/>
          <w:i w:val="0"/>
          <w:iCs w:val="0"/>
          <w:color w:val="auto"/>
          <w:kern w:val="0"/>
          <w:sz w:val="28"/>
          <w:szCs w:val="28"/>
          <w:u w:val="single"/>
          <w:lang w:val="en-US" w:eastAsia="zh-CN"/>
        </w:rPr>
        <w:t xml:space="preserve"> </w:t>
      </w:r>
      <w:r>
        <w:rPr>
          <w:rFonts w:hint="default" w:ascii="Times New Roman" w:hAnsi="Times New Roman" w:eastAsia="方正仿宋_GBK" w:cs="Times New Roman"/>
          <w:bCs/>
          <w:i w:val="0"/>
          <w:iCs w:val="0"/>
          <w:color w:val="auto"/>
          <w:kern w:val="0"/>
          <w:sz w:val="28"/>
          <w:szCs w:val="28"/>
          <w:u w:val="single"/>
        </w:rPr>
        <w:t xml:space="preserve">  </w:t>
      </w:r>
      <w:r>
        <w:rPr>
          <w:rFonts w:hint="default" w:ascii="Times New Roman" w:hAnsi="Times New Roman" w:eastAsia="方正仿宋_GBK" w:cs="Times New Roman"/>
          <w:bCs/>
          <w:i w:val="0"/>
          <w:iCs w:val="0"/>
          <w:color w:val="auto"/>
          <w:kern w:val="0"/>
          <w:sz w:val="28"/>
          <w:szCs w:val="28"/>
          <w:u w:val="none"/>
          <w:lang w:eastAsia="zh-CN"/>
        </w:rPr>
        <w:t>（</w:t>
      </w:r>
      <w:r>
        <w:rPr>
          <w:rFonts w:hint="default" w:ascii="Times New Roman" w:hAnsi="Times New Roman" w:eastAsia="方正仿宋_GBK" w:cs="Times New Roman"/>
          <w:bCs/>
          <w:color w:val="auto"/>
          <w:kern w:val="0"/>
          <w:sz w:val="28"/>
          <w:szCs w:val="28"/>
        </w:rPr>
        <w:t>被授权人的姓名、职务）为本公司的合法代理人，就</w:t>
      </w:r>
      <w:r>
        <w:rPr>
          <w:rFonts w:hint="default" w:ascii="Times New Roman" w:hAnsi="Times New Roman" w:eastAsia="方正仿宋_GBK" w:cs="Times New Roman"/>
          <w:bCs/>
          <w:color w:val="auto"/>
          <w:kern w:val="0"/>
          <w:sz w:val="28"/>
          <w:szCs w:val="28"/>
          <w:u w:val="single"/>
        </w:rPr>
        <w:t xml:space="preserve"> </w:t>
      </w:r>
      <w:r>
        <w:rPr>
          <w:rFonts w:hint="eastAsia" w:ascii="Times New Roman" w:hAnsi="Times New Roman" w:eastAsia="方正仿宋_GBK" w:cs="Times New Roman"/>
          <w:bCs/>
          <w:color w:val="auto"/>
          <w:kern w:val="0"/>
          <w:sz w:val="28"/>
          <w:szCs w:val="28"/>
          <w:u w:val="single"/>
          <w:lang w:val="en-US" w:eastAsia="zh-CN"/>
        </w:rPr>
        <w:t>陈</w:t>
      </w:r>
      <w:r>
        <w:rPr>
          <w:rFonts w:hint="default" w:ascii="Times New Roman" w:hAnsi="Times New Roman" w:eastAsia="方正仿宋_GBK" w:cs="Times New Roman"/>
          <w:color w:val="auto"/>
          <w:sz w:val="28"/>
          <w:szCs w:val="28"/>
          <w:u w:val="single"/>
          <w:lang w:val="en-US" w:eastAsia="zh-CN"/>
        </w:rPr>
        <w:t>庹路公交站场电梯采购工程</w:t>
      </w:r>
      <w:r>
        <w:rPr>
          <w:rFonts w:hint="default" w:ascii="Times New Roman" w:hAnsi="Times New Roman" w:eastAsia="方正仿宋_GBK" w:cs="Times New Roman"/>
          <w:bCs/>
          <w:color w:val="auto"/>
          <w:kern w:val="0"/>
          <w:sz w:val="28"/>
          <w:szCs w:val="28"/>
          <w:u w:val="single"/>
        </w:rPr>
        <w:t xml:space="preserve"> </w:t>
      </w:r>
      <w:r>
        <w:rPr>
          <w:rFonts w:hint="default" w:ascii="Times New Roman" w:hAnsi="Times New Roman" w:eastAsia="方正仿宋_GBK" w:cs="Times New Roman"/>
          <w:bCs/>
          <w:color w:val="auto"/>
          <w:kern w:val="0"/>
          <w:sz w:val="28"/>
          <w:szCs w:val="28"/>
        </w:rPr>
        <w:t>项目的报价以及合同的谈判、签约、执行、完成等全权负责，以本公司名义处理一切与之有关的事务。</w:t>
      </w:r>
    </w:p>
    <w:p>
      <w:pPr>
        <w:widowControl/>
        <w:snapToGrid w:val="0"/>
        <w:spacing w:before="100" w:beforeAutospacing="1" w:after="100" w:afterAutospacing="1" w:line="360" w:lineRule="auto"/>
        <w:ind w:firstLine="560" w:firstLineChars="200"/>
        <w:jc w:val="left"/>
        <w:textAlignment w:val="bottom"/>
        <w:rPr>
          <w:rFonts w:hint="default" w:ascii="Times New Roman" w:hAnsi="Times New Roman" w:eastAsia="方正仿宋_GBK" w:cs="Times New Roman"/>
          <w:bCs/>
          <w:color w:val="auto"/>
          <w:kern w:val="0"/>
          <w:sz w:val="28"/>
          <w:szCs w:val="28"/>
        </w:rPr>
      </w:pPr>
      <w:r>
        <w:rPr>
          <w:rFonts w:hint="default" w:ascii="Times New Roman" w:hAnsi="Times New Roman" w:eastAsia="方正仿宋_GBK" w:cs="Times New Roman"/>
          <w:bCs/>
          <w:color w:val="auto"/>
          <w:kern w:val="0"/>
          <w:sz w:val="28"/>
          <w:szCs w:val="28"/>
        </w:rPr>
        <w:t>本授权书于    年   月   日签字生效，特此声明。</w:t>
      </w:r>
    </w:p>
    <w:p>
      <w:pPr>
        <w:widowControl/>
        <w:snapToGrid w:val="0"/>
        <w:spacing w:before="100" w:beforeAutospacing="1" w:after="100" w:afterAutospacing="1" w:line="252" w:lineRule="atLeast"/>
        <w:jc w:val="left"/>
        <w:textAlignment w:val="bottom"/>
        <w:rPr>
          <w:rFonts w:hint="default" w:ascii="Times New Roman" w:hAnsi="Times New Roman" w:eastAsia="方正仿宋_GBK" w:cs="Times New Roman"/>
          <w:color w:val="auto"/>
          <w:kern w:val="0"/>
          <w:sz w:val="28"/>
          <w:szCs w:val="28"/>
        </w:rPr>
      </w:pPr>
      <w:r>
        <w:rPr>
          <w:rFonts w:hint="default" w:ascii="Times New Roman" w:hAnsi="Times New Roman" w:eastAsia="方正仿宋_GBK" w:cs="Times New Roman"/>
          <w:color w:val="auto"/>
          <w:kern w:val="0"/>
          <w:sz w:val="28"/>
          <w:szCs w:val="28"/>
        </w:rPr>
        <w:t xml:space="preserve">报价单位名称（盖章）：          </w:t>
      </w:r>
    </w:p>
    <w:p>
      <w:pPr>
        <w:widowControl/>
        <w:snapToGrid w:val="0"/>
        <w:spacing w:before="100" w:beforeAutospacing="1" w:after="100" w:afterAutospacing="1" w:line="252" w:lineRule="atLeast"/>
        <w:jc w:val="left"/>
        <w:textAlignment w:val="bottom"/>
        <w:rPr>
          <w:rFonts w:hint="default" w:ascii="Times New Roman" w:hAnsi="Times New Roman" w:eastAsia="方正仿宋_GBK" w:cs="Times New Roman"/>
          <w:color w:val="auto"/>
          <w:kern w:val="0"/>
          <w:sz w:val="28"/>
          <w:szCs w:val="28"/>
        </w:rPr>
      </w:pPr>
      <w:r>
        <w:rPr>
          <w:rFonts w:hint="default" w:ascii="Times New Roman" w:hAnsi="Times New Roman" w:eastAsia="方正仿宋_GBK" w:cs="Times New Roman"/>
          <w:color w:val="auto"/>
          <w:kern w:val="0"/>
          <w:sz w:val="28"/>
          <w:szCs w:val="28"/>
        </w:rPr>
        <w:t>报价单位地址：</w:t>
      </w:r>
    </w:p>
    <w:p>
      <w:pPr>
        <w:widowControl/>
        <w:snapToGrid w:val="0"/>
        <w:spacing w:before="100" w:beforeAutospacing="1" w:after="100" w:afterAutospacing="1" w:line="252" w:lineRule="atLeast"/>
        <w:jc w:val="left"/>
        <w:textAlignment w:val="bottom"/>
        <w:rPr>
          <w:rFonts w:hint="default" w:ascii="Times New Roman" w:hAnsi="Times New Roman" w:eastAsia="方正仿宋_GBK" w:cs="Times New Roman"/>
          <w:color w:val="auto"/>
          <w:kern w:val="0"/>
          <w:sz w:val="28"/>
          <w:szCs w:val="28"/>
        </w:rPr>
      </w:pPr>
      <w:r>
        <w:rPr>
          <w:rFonts w:hint="default" w:ascii="Times New Roman" w:hAnsi="Times New Roman" w:eastAsia="方正仿宋_GBK" w:cs="Times New Roman"/>
          <w:color w:val="auto"/>
          <w:kern w:val="0"/>
          <w:sz w:val="28"/>
          <w:szCs w:val="28"/>
        </w:rPr>
        <w:t xml:space="preserve">授权人（法定代表人）签字：                     </w:t>
      </w:r>
    </w:p>
    <w:p>
      <w:pPr>
        <w:widowControl/>
        <w:snapToGrid w:val="0"/>
        <w:spacing w:before="100" w:beforeAutospacing="1" w:after="100" w:afterAutospacing="1" w:line="252" w:lineRule="atLeast"/>
        <w:jc w:val="left"/>
        <w:textAlignment w:val="bottom"/>
        <w:rPr>
          <w:rFonts w:hint="default" w:ascii="Times New Roman" w:hAnsi="Times New Roman" w:eastAsia="方正仿宋_GBK" w:cs="Times New Roman"/>
          <w:bCs/>
          <w:color w:val="auto"/>
          <w:kern w:val="0"/>
          <w:sz w:val="28"/>
          <w:szCs w:val="28"/>
        </w:rPr>
      </w:pPr>
      <w:r>
        <w:rPr>
          <w:rFonts w:hint="default" w:ascii="Times New Roman" w:hAnsi="Times New Roman" w:eastAsia="方正仿宋_GBK" w:cs="Times New Roman"/>
          <w:color w:val="auto"/>
          <w:kern w:val="0"/>
          <w:sz w:val="28"/>
          <w:szCs w:val="28"/>
        </w:rPr>
        <w:t>被授权人（代理人）签字：  </w:t>
      </w:r>
      <w:r>
        <w:rPr>
          <w:rFonts w:hint="default" w:ascii="Times New Roman" w:hAnsi="Times New Roman" w:eastAsia="方正仿宋_GBK" w:cs="Times New Roman"/>
          <w:color w:val="auto"/>
          <w:kern w:val="0"/>
          <w:sz w:val="32"/>
          <w:szCs w:val="32"/>
        </w:rPr>
        <w:t> </w:t>
      </w:r>
    </w:p>
    <w:p>
      <w:pPr>
        <w:widowControl/>
        <w:snapToGrid w:val="0"/>
        <w:spacing w:before="100" w:beforeAutospacing="1" w:after="100" w:afterAutospacing="1" w:line="252" w:lineRule="atLeast"/>
        <w:ind w:firstLine="480"/>
        <w:jc w:val="left"/>
        <w:textAlignment w:val="bottom"/>
        <w:rPr>
          <w:rFonts w:hint="default" w:ascii="Times New Roman" w:hAnsi="Times New Roman" w:eastAsia="仿宋_GB2312" w:cs="Times New Roman"/>
          <w:b/>
          <w:color w:val="auto"/>
          <w:kern w:val="0"/>
          <w:sz w:val="28"/>
          <w:szCs w:val="28"/>
        </w:rPr>
      </w:pPr>
      <w:r>
        <w:rPr>
          <w:rFonts w:hint="default" w:ascii="Times New Roman" w:hAnsi="Times New Roman" w:eastAsia="仿宋_GB2312" w:cs="Times New Roman"/>
          <w:b/>
          <w:color w:val="auto"/>
          <w:kern w:val="0"/>
          <w:sz w:val="28"/>
          <w:szCs w:val="28"/>
        </w:rPr>
        <mc:AlternateContent>
          <mc:Choice Requires="wps">
            <w:drawing>
              <wp:anchor distT="0" distB="0" distL="114300" distR="114300" simplePos="0" relativeHeight="251658240" behindDoc="0" locked="0" layoutInCell="1" allowOverlap="1">
                <wp:simplePos x="0" y="0"/>
                <wp:positionH relativeFrom="column">
                  <wp:posOffset>2641600</wp:posOffset>
                </wp:positionH>
                <wp:positionV relativeFrom="paragraph">
                  <wp:posOffset>147320</wp:posOffset>
                </wp:positionV>
                <wp:extent cx="2971800" cy="2278380"/>
                <wp:effectExtent l="4445" t="4445" r="10795" b="18415"/>
                <wp:wrapNone/>
                <wp:docPr id="2" name="文本框 2"/>
                <wp:cNvGraphicFramePr/>
                <a:graphic xmlns:a="http://schemas.openxmlformats.org/drawingml/2006/main">
                  <a:graphicData uri="http://schemas.microsoft.com/office/word/2010/wordprocessingShape">
                    <wps:wsp>
                      <wps:cNvSpPr txBox="1"/>
                      <wps:spPr>
                        <a:xfrm>
                          <a:off x="0" y="0"/>
                          <a:ext cx="2971800" cy="22783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仿宋_GB2312" w:hAnsi="仿宋_GB2312" w:eastAsia="仿宋_GB2312" w:cs="仿宋_GB2312"/>
                              </w:rPr>
                            </w:pPr>
                            <w:r>
                              <w:rPr>
                                <w:rFonts w:hint="eastAsia" w:ascii="仿宋_GB2312" w:hAnsi="仿宋_GB2312" w:eastAsia="仿宋_GB2312" w:cs="仿宋_GB2312"/>
                              </w:rPr>
                              <w:t>被授权人身份证复印件</w:t>
                            </w:r>
                          </w:p>
                          <w:p/>
                        </w:txbxContent>
                      </wps:txbx>
                      <wps:bodyPr upright="1"/>
                    </wps:wsp>
                  </a:graphicData>
                </a:graphic>
              </wp:anchor>
            </w:drawing>
          </mc:Choice>
          <mc:Fallback>
            <w:pict>
              <v:shape id="_x0000_s1026" o:spid="_x0000_s1026" o:spt="202" type="#_x0000_t202" style="position:absolute;left:0pt;margin-left:208pt;margin-top:11.6pt;height:179.4pt;width:234pt;z-index:251658240;mso-width-relative:page;mso-height-relative:page;" fillcolor="#FFFFFF" filled="t" stroked="t" coordsize="21600,21600" o:gfxdata="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tBmdH2QAAAAoBAAAPAAAAAAAAAAEAIAAAACIAAABkcnMvZG93bnJldi54bWxQSwEC&#10;FAAUAAAACACHTuJAatFiWvMBAADpAwAADgAAAAAAAAABACAAAAAoAQAAZHJzL2Uyb0RvYy54bWxQ&#10;SwUGAAAAAAYABgBZAQAAjQUAAAAA&#10;">
                <v:fill on="t" focussize="0,0"/>
                <v:stroke color="#000000" joinstyle="miter"/>
                <v:imagedata o:title=""/>
                <o:lock v:ext="edit" aspectratio="f"/>
                <v:textbox>
                  <w:txbxContent>
                    <w:p>
                      <w:pPr>
                        <w:rPr>
                          <w:rFonts w:ascii="仿宋_GB2312" w:hAnsi="仿宋_GB2312" w:eastAsia="仿宋_GB2312" w:cs="仿宋_GB2312"/>
                        </w:rPr>
                      </w:pPr>
                      <w:r>
                        <w:rPr>
                          <w:rFonts w:hint="eastAsia" w:ascii="仿宋_GB2312" w:hAnsi="仿宋_GB2312" w:eastAsia="仿宋_GB2312" w:cs="仿宋_GB2312"/>
                        </w:rPr>
                        <w:t>被授权人身份证复印件</w:t>
                      </w:r>
                    </w:p>
                    <w:p/>
                  </w:txbxContent>
                </v:textbox>
              </v:shape>
            </w:pict>
          </mc:Fallback>
        </mc:AlternateContent>
      </w:r>
      <w:r>
        <w:rPr>
          <w:rFonts w:hint="default" w:ascii="Times New Roman" w:hAnsi="Times New Roman" w:eastAsia="仿宋_GB2312" w:cs="Times New Roman"/>
          <w:b/>
          <w:color w:val="auto"/>
          <w:kern w:val="0"/>
          <w:sz w:val="28"/>
          <w:szCs w:val="28"/>
        </w:rPr>
        <mc:AlternateContent>
          <mc:Choice Requires="wps">
            <w:drawing>
              <wp:anchor distT="0" distB="0" distL="114300" distR="114300" simplePos="0" relativeHeight="251657216" behindDoc="0" locked="0" layoutInCell="1" allowOverlap="1">
                <wp:simplePos x="0" y="0"/>
                <wp:positionH relativeFrom="column">
                  <wp:posOffset>-457200</wp:posOffset>
                </wp:positionH>
                <wp:positionV relativeFrom="paragraph">
                  <wp:posOffset>140970</wp:posOffset>
                </wp:positionV>
                <wp:extent cx="2857500" cy="2278380"/>
                <wp:effectExtent l="4445" t="5080" r="18415" b="17780"/>
                <wp:wrapNone/>
                <wp:docPr id="1" name="文本框 1"/>
                <wp:cNvGraphicFramePr/>
                <a:graphic xmlns:a="http://schemas.openxmlformats.org/drawingml/2006/main">
                  <a:graphicData uri="http://schemas.microsoft.com/office/word/2010/wordprocessingShape">
                    <wps:wsp>
                      <wps:cNvSpPr txBox="1"/>
                      <wps:spPr>
                        <a:xfrm>
                          <a:off x="0" y="0"/>
                          <a:ext cx="2857500" cy="22783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仿宋_GB2312" w:hAnsi="仿宋_GB2312" w:eastAsia="仿宋_GB2312" w:cs="仿宋_GB2312"/>
                              </w:rPr>
                            </w:pPr>
                            <w:r>
                              <w:rPr>
                                <w:rFonts w:hint="eastAsia" w:ascii="仿宋_GB2312" w:hAnsi="仿宋_GB2312" w:eastAsia="仿宋_GB2312" w:cs="仿宋_GB2312"/>
                              </w:rPr>
                              <w:t>授权人身份证复印件</w:t>
                            </w:r>
                          </w:p>
                        </w:txbxContent>
                      </wps:txbx>
                      <wps:bodyPr upright="1"/>
                    </wps:wsp>
                  </a:graphicData>
                </a:graphic>
              </wp:anchor>
            </w:drawing>
          </mc:Choice>
          <mc:Fallback>
            <w:pict>
              <v:shape id="_x0000_s1026" o:spid="_x0000_s1026" o:spt="202" type="#_x0000_t202" style="position:absolute;left:0pt;margin-left:-36pt;margin-top:11.1pt;height:179.4pt;width:225pt;z-index:251657216;mso-width-relative:page;mso-height-relative:page;" fillcolor="#FFFFFF" filled="t" stroked="t" coordsize="21600,21600" o:gfxdata="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JnBNJvZAAAACgEAAA8AAAAAAAAAAQAgAAAAIgAAAGRycy9kb3ducmV2LnhtbFBLAQIU&#10;ABQAAAAIAIdO4kAqbX4C8gEAAOkDAAAOAAAAAAAAAAEAIAAAACgBAABkcnMvZTJvRG9jLnhtbFBL&#10;BQYAAAAABgAGAFkBAACMBQAAAAA=&#10;">
                <v:fill on="t" focussize="0,0"/>
                <v:stroke color="#000000" joinstyle="miter"/>
                <v:imagedata o:title=""/>
                <o:lock v:ext="edit" aspectratio="f"/>
                <v:textbox>
                  <w:txbxContent>
                    <w:p>
                      <w:pPr>
                        <w:rPr>
                          <w:rFonts w:ascii="仿宋_GB2312" w:hAnsi="仿宋_GB2312" w:eastAsia="仿宋_GB2312" w:cs="仿宋_GB2312"/>
                        </w:rPr>
                      </w:pPr>
                      <w:r>
                        <w:rPr>
                          <w:rFonts w:hint="eastAsia" w:ascii="仿宋_GB2312" w:hAnsi="仿宋_GB2312" w:eastAsia="仿宋_GB2312" w:cs="仿宋_GB2312"/>
                        </w:rPr>
                        <w:t>授权人身份证复印件</w:t>
                      </w:r>
                    </w:p>
                  </w:txbxContent>
                </v:textbox>
              </v:shape>
            </w:pict>
          </mc:Fallback>
        </mc:AlternateContent>
      </w:r>
    </w:p>
    <w:p>
      <w:pPr>
        <w:widowControl/>
        <w:snapToGrid w:val="0"/>
        <w:spacing w:before="100" w:beforeAutospacing="1" w:after="100" w:afterAutospacing="1" w:line="252" w:lineRule="atLeast"/>
        <w:ind w:firstLine="480"/>
        <w:jc w:val="left"/>
        <w:textAlignment w:val="bottom"/>
        <w:rPr>
          <w:rFonts w:hint="default" w:ascii="Times New Roman" w:hAnsi="Times New Roman" w:eastAsia="仿宋_GB2312" w:cs="Times New Roman"/>
          <w:b/>
          <w:color w:val="auto"/>
          <w:kern w:val="0"/>
          <w:sz w:val="28"/>
          <w:szCs w:val="28"/>
        </w:rPr>
      </w:pPr>
    </w:p>
    <w:p>
      <w:pPr>
        <w:widowControl/>
        <w:snapToGrid w:val="0"/>
        <w:spacing w:before="100" w:beforeAutospacing="1" w:after="100" w:afterAutospacing="1" w:line="252" w:lineRule="atLeast"/>
        <w:ind w:firstLine="480"/>
        <w:jc w:val="left"/>
        <w:textAlignment w:val="bottom"/>
        <w:rPr>
          <w:rFonts w:hint="default" w:ascii="Times New Roman" w:hAnsi="Times New Roman" w:eastAsia="仿宋_GB2312" w:cs="Times New Roman"/>
          <w:b/>
          <w:color w:val="auto"/>
          <w:kern w:val="0"/>
          <w:sz w:val="28"/>
          <w:szCs w:val="28"/>
        </w:rPr>
      </w:pPr>
    </w:p>
    <w:p>
      <w:pPr>
        <w:widowControl/>
        <w:snapToGrid w:val="0"/>
        <w:spacing w:before="100" w:beforeAutospacing="1" w:after="100" w:afterAutospacing="1" w:line="252" w:lineRule="atLeast"/>
        <w:ind w:firstLine="480"/>
        <w:jc w:val="left"/>
        <w:textAlignment w:val="bottom"/>
        <w:rPr>
          <w:rFonts w:hint="default" w:ascii="Times New Roman" w:hAnsi="Times New Roman" w:eastAsia="仿宋_GB2312" w:cs="Times New Roman"/>
          <w:b/>
          <w:color w:val="auto"/>
          <w:kern w:val="0"/>
          <w:sz w:val="28"/>
          <w:szCs w:val="28"/>
        </w:rPr>
      </w:pPr>
      <w:r>
        <w:rPr>
          <w:rFonts w:hint="default" w:ascii="Times New Roman" w:hAnsi="Times New Roman" w:eastAsia="仿宋_GB2312" w:cs="Times New Roman"/>
          <w:b/>
          <w:color w:val="auto"/>
          <w:kern w:val="0"/>
          <w:sz w:val="28"/>
          <w:szCs w:val="28"/>
        </w:rPr>
        <w:t> </w:t>
      </w:r>
    </w:p>
    <w:p>
      <w:pPr>
        <w:widowControl/>
        <w:spacing w:before="100" w:beforeAutospacing="1" w:after="100" w:afterAutospacing="1" w:line="252" w:lineRule="atLeast"/>
        <w:jc w:val="center"/>
        <w:rPr>
          <w:rFonts w:hint="default" w:ascii="Times New Roman" w:hAnsi="Times New Roman" w:eastAsia="仿宋_GB2312" w:cs="Times New Roman"/>
          <w:b/>
          <w:color w:val="auto"/>
          <w:kern w:val="0"/>
          <w:sz w:val="28"/>
          <w:szCs w:val="28"/>
        </w:rPr>
      </w:pPr>
    </w:p>
    <w:p>
      <w:pPr>
        <w:widowControl/>
        <w:spacing w:before="100" w:beforeAutospacing="1" w:after="100" w:afterAutospacing="1" w:line="252" w:lineRule="atLeast"/>
        <w:jc w:val="center"/>
        <w:rPr>
          <w:rFonts w:hint="default" w:ascii="Times New Roman" w:hAnsi="Times New Roman" w:eastAsia="仿宋_GB2312" w:cs="Times New Roman"/>
          <w:b/>
          <w:color w:val="auto"/>
          <w:kern w:val="0"/>
          <w:sz w:val="28"/>
          <w:szCs w:val="28"/>
        </w:rPr>
      </w:pPr>
    </w:p>
    <w:p>
      <w:pPr>
        <w:widowControl/>
        <w:spacing w:before="100" w:beforeAutospacing="1" w:after="100" w:afterAutospacing="1" w:line="252" w:lineRule="atLeast"/>
        <w:jc w:val="center"/>
        <w:rPr>
          <w:rFonts w:hint="default" w:ascii="Times New Roman" w:hAnsi="Times New Roman" w:eastAsia="仿宋_GB2312" w:cs="Times New Roman"/>
          <w:b w:val="0"/>
          <w:bCs/>
          <w:color w:val="auto"/>
          <w:kern w:val="0"/>
          <w:sz w:val="28"/>
          <w:szCs w:val="28"/>
          <w:lang w:eastAsia="zh-CN"/>
        </w:rPr>
      </w:pPr>
      <w:r>
        <w:rPr>
          <w:rFonts w:hint="default" w:ascii="Times New Roman" w:hAnsi="Times New Roman" w:eastAsia="仿宋_GB2312" w:cs="Times New Roman"/>
          <w:b w:val="0"/>
          <w:bCs/>
          <w:color w:val="auto"/>
          <w:kern w:val="0"/>
          <w:sz w:val="28"/>
          <w:szCs w:val="28"/>
          <w:lang w:eastAsia="zh-CN"/>
        </w:rPr>
        <w:br w:type="page"/>
      </w:r>
    </w:p>
    <w:p>
      <w:pPr>
        <w:widowControl/>
        <w:spacing w:before="100" w:beforeAutospacing="1" w:after="100" w:afterAutospacing="1" w:line="252" w:lineRule="atLeast"/>
        <w:jc w:val="center"/>
        <w:rPr>
          <w:rFonts w:hint="default" w:ascii="Times New Roman" w:hAnsi="Times New Roman" w:eastAsia="仿宋_GB2312" w:cs="Times New Roman"/>
          <w:b w:val="0"/>
          <w:bCs/>
          <w:color w:val="auto"/>
          <w:kern w:val="0"/>
          <w:sz w:val="28"/>
          <w:szCs w:val="28"/>
          <w:lang w:val="en-US" w:eastAsia="zh-CN"/>
        </w:rPr>
      </w:pPr>
      <w:r>
        <w:rPr>
          <w:rFonts w:hint="default" w:ascii="Times New Roman" w:hAnsi="Times New Roman" w:eastAsia="仿宋_GB2312" w:cs="Times New Roman"/>
          <w:b w:val="0"/>
          <w:bCs/>
          <w:color w:val="auto"/>
          <w:kern w:val="0"/>
          <w:sz w:val="28"/>
          <w:szCs w:val="28"/>
          <w:lang w:eastAsia="zh-CN"/>
        </w:rPr>
        <w:t>格式四</w:t>
      </w:r>
      <w:r>
        <w:rPr>
          <w:rFonts w:hint="default" w:ascii="Times New Roman" w:hAnsi="Times New Roman" w:eastAsia="仿宋_GB2312" w:cs="Times New Roman"/>
          <w:b w:val="0"/>
          <w:bCs/>
          <w:color w:val="auto"/>
          <w:kern w:val="0"/>
          <w:sz w:val="28"/>
          <w:szCs w:val="28"/>
          <w:lang w:val="en-US" w:eastAsia="zh-CN"/>
        </w:rPr>
        <w:t xml:space="preserve">  业绩证明材料</w:t>
      </w:r>
    </w:p>
    <w:tbl>
      <w:tblPr>
        <w:tblStyle w:val="1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1"/>
        <w:gridCol w:w="64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1" w:type="dxa"/>
          </w:tcPr>
          <w:p>
            <w:pPr>
              <w:widowControl/>
              <w:spacing w:before="100" w:beforeAutospacing="1" w:after="100" w:afterAutospacing="1" w:line="252" w:lineRule="atLeast"/>
              <w:jc w:val="center"/>
              <w:rPr>
                <w:rFonts w:hint="default" w:ascii="Times New Roman" w:hAnsi="Times New Roman" w:eastAsia="仿宋_GB2312" w:cs="Times New Roman"/>
                <w:b w:val="0"/>
                <w:bCs/>
                <w:color w:val="auto"/>
                <w:kern w:val="0"/>
                <w:sz w:val="28"/>
                <w:szCs w:val="28"/>
                <w:vertAlign w:val="baseline"/>
                <w:lang w:val="en-US" w:eastAsia="zh-CN"/>
              </w:rPr>
            </w:pPr>
            <w:r>
              <w:rPr>
                <w:rFonts w:hint="default" w:ascii="Times New Roman" w:hAnsi="Times New Roman" w:eastAsia="仿宋_GB2312" w:cs="Times New Roman"/>
                <w:b w:val="0"/>
                <w:bCs/>
                <w:color w:val="auto"/>
                <w:kern w:val="0"/>
                <w:sz w:val="28"/>
                <w:szCs w:val="28"/>
                <w:vertAlign w:val="baseline"/>
                <w:lang w:val="en-US" w:eastAsia="zh-CN"/>
              </w:rPr>
              <w:t>项目名称</w:t>
            </w:r>
          </w:p>
        </w:tc>
        <w:tc>
          <w:tcPr>
            <w:tcW w:w="6451" w:type="dxa"/>
          </w:tcPr>
          <w:p>
            <w:pPr>
              <w:widowControl/>
              <w:spacing w:before="100" w:beforeAutospacing="1" w:after="100" w:afterAutospacing="1" w:line="252" w:lineRule="atLeast"/>
              <w:jc w:val="center"/>
              <w:rPr>
                <w:rFonts w:hint="default" w:ascii="Times New Roman" w:hAnsi="Times New Roman" w:eastAsia="仿宋_GB2312" w:cs="Times New Roman"/>
                <w:b w:val="0"/>
                <w:bCs/>
                <w:color w:val="auto"/>
                <w:kern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1" w:type="dxa"/>
          </w:tcPr>
          <w:p>
            <w:pPr>
              <w:widowControl/>
              <w:spacing w:before="100" w:beforeAutospacing="1" w:after="100" w:afterAutospacing="1" w:line="252" w:lineRule="atLeast"/>
              <w:jc w:val="center"/>
              <w:rPr>
                <w:rFonts w:hint="default" w:ascii="Times New Roman" w:hAnsi="Times New Roman" w:eastAsia="仿宋_GB2312" w:cs="Times New Roman"/>
                <w:b w:val="0"/>
                <w:bCs/>
                <w:color w:val="auto"/>
                <w:kern w:val="0"/>
                <w:sz w:val="28"/>
                <w:szCs w:val="28"/>
                <w:vertAlign w:val="baseline"/>
                <w:lang w:val="en-US" w:eastAsia="zh-CN"/>
              </w:rPr>
            </w:pPr>
            <w:r>
              <w:rPr>
                <w:rFonts w:hint="default" w:ascii="Times New Roman" w:hAnsi="Times New Roman" w:eastAsia="仿宋_GB2312" w:cs="Times New Roman"/>
                <w:b w:val="0"/>
                <w:bCs/>
                <w:color w:val="auto"/>
                <w:kern w:val="0"/>
                <w:sz w:val="28"/>
                <w:szCs w:val="28"/>
                <w:vertAlign w:val="baseline"/>
                <w:lang w:val="en-US" w:eastAsia="zh-CN"/>
              </w:rPr>
              <w:t>发包人名称</w:t>
            </w:r>
          </w:p>
        </w:tc>
        <w:tc>
          <w:tcPr>
            <w:tcW w:w="6451" w:type="dxa"/>
          </w:tcPr>
          <w:p>
            <w:pPr>
              <w:widowControl/>
              <w:spacing w:before="100" w:beforeAutospacing="1" w:after="100" w:afterAutospacing="1" w:line="252" w:lineRule="atLeast"/>
              <w:jc w:val="center"/>
              <w:rPr>
                <w:rFonts w:hint="default" w:ascii="Times New Roman" w:hAnsi="Times New Roman" w:eastAsia="仿宋_GB2312" w:cs="Times New Roman"/>
                <w:b w:val="0"/>
                <w:bCs/>
                <w:color w:val="auto"/>
                <w:kern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1" w:type="dxa"/>
          </w:tcPr>
          <w:p>
            <w:pPr>
              <w:widowControl/>
              <w:spacing w:before="100" w:beforeAutospacing="1" w:after="100" w:afterAutospacing="1" w:line="252" w:lineRule="atLeast"/>
              <w:jc w:val="center"/>
              <w:rPr>
                <w:rFonts w:hint="default" w:ascii="Times New Roman" w:hAnsi="Times New Roman" w:eastAsia="仿宋_GB2312" w:cs="Times New Roman"/>
                <w:b w:val="0"/>
                <w:bCs/>
                <w:color w:val="auto"/>
                <w:kern w:val="0"/>
                <w:sz w:val="28"/>
                <w:szCs w:val="28"/>
                <w:vertAlign w:val="baseline"/>
                <w:lang w:val="en-US" w:eastAsia="zh-CN"/>
              </w:rPr>
            </w:pPr>
            <w:r>
              <w:rPr>
                <w:rFonts w:hint="default" w:ascii="Times New Roman" w:hAnsi="Times New Roman" w:eastAsia="仿宋_GB2312" w:cs="Times New Roman"/>
                <w:b w:val="0"/>
                <w:bCs/>
                <w:color w:val="auto"/>
                <w:kern w:val="0"/>
                <w:sz w:val="28"/>
                <w:szCs w:val="28"/>
                <w:vertAlign w:val="baseline"/>
                <w:lang w:val="en-US" w:eastAsia="zh-CN"/>
              </w:rPr>
              <w:t>发包人地址</w:t>
            </w:r>
          </w:p>
        </w:tc>
        <w:tc>
          <w:tcPr>
            <w:tcW w:w="6451" w:type="dxa"/>
          </w:tcPr>
          <w:p>
            <w:pPr>
              <w:widowControl/>
              <w:spacing w:before="100" w:beforeAutospacing="1" w:after="100" w:afterAutospacing="1" w:line="252" w:lineRule="atLeast"/>
              <w:jc w:val="center"/>
              <w:rPr>
                <w:rFonts w:hint="default" w:ascii="Times New Roman" w:hAnsi="Times New Roman" w:eastAsia="仿宋_GB2312" w:cs="Times New Roman"/>
                <w:b w:val="0"/>
                <w:bCs/>
                <w:color w:val="auto"/>
                <w:kern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1" w:type="dxa"/>
          </w:tcPr>
          <w:p>
            <w:pPr>
              <w:widowControl/>
              <w:spacing w:before="100" w:beforeAutospacing="1" w:after="100" w:afterAutospacing="1" w:line="252" w:lineRule="atLeast"/>
              <w:jc w:val="center"/>
              <w:rPr>
                <w:rFonts w:hint="default" w:ascii="Times New Roman" w:hAnsi="Times New Roman" w:eastAsia="仿宋_GB2312" w:cs="Times New Roman"/>
                <w:b w:val="0"/>
                <w:bCs/>
                <w:color w:val="auto"/>
                <w:kern w:val="0"/>
                <w:sz w:val="28"/>
                <w:szCs w:val="28"/>
                <w:vertAlign w:val="baseline"/>
                <w:lang w:val="en-US" w:eastAsia="zh-CN"/>
              </w:rPr>
            </w:pPr>
            <w:r>
              <w:rPr>
                <w:rFonts w:hint="default" w:ascii="Times New Roman" w:hAnsi="Times New Roman" w:eastAsia="仿宋_GB2312" w:cs="Times New Roman"/>
                <w:b w:val="0"/>
                <w:bCs/>
                <w:color w:val="auto"/>
                <w:kern w:val="0"/>
                <w:sz w:val="28"/>
                <w:szCs w:val="28"/>
                <w:vertAlign w:val="baseline"/>
                <w:lang w:val="en-US" w:eastAsia="zh-CN"/>
              </w:rPr>
              <w:t>发包人电话</w:t>
            </w:r>
          </w:p>
        </w:tc>
        <w:tc>
          <w:tcPr>
            <w:tcW w:w="6451" w:type="dxa"/>
          </w:tcPr>
          <w:p>
            <w:pPr>
              <w:widowControl/>
              <w:spacing w:before="100" w:beforeAutospacing="1" w:after="100" w:afterAutospacing="1" w:line="252" w:lineRule="atLeast"/>
              <w:jc w:val="center"/>
              <w:rPr>
                <w:rFonts w:hint="default" w:ascii="Times New Roman" w:hAnsi="Times New Roman" w:eastAsia="仿宋_GB2312" w:cs="Times New Roman"/>
                <w:b w:val="0"/>
                <w:bCs/>
                <w:color w:val="auto"/>
                <w:kern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1" w:type="dxa"/>
          </w:tcPr>
          <w:p>
            <w:pPr>
              <w:widowControl/>
              <w:spacing w:before="100" w:beforeAutospacing="1" w:after="100" w:afterAutospacing="1" w:line="252" w:lineRule="atLeast"/>
              <w:jc w:val="center"/>
              <w:rPr>
                <w:rFonts w:hint="default" w:ascii="Times New Roman" w:hAnsi="Times New Roman" w:eastAsia="仿宋_GB2312" w:cs="Times New Roman"/>
                <w:b w:val="0"/>
                <w:bCs/>
                <w:color w:val="auto"/>
                <w:kern w:val="0"/>
                <w:sz w:val="28"/>
                <w:szCs w:val="28"/>
                <w:vertAlign w:val="baseline"/>
                <w:lang w:val="en-US" w:eastAsia="zh-CN"/>
              </w:rPr>
            </w:pPr>
            <w:r>
              <w:rPr>
                <w:rFonts w:hint="default" w:ascii="Times New Roman" w:hAnsi="Times New Roman" w:eastAsia="仿宋_GB2312" w:cs="Times New Roman"/>
                <w:b w:val="0"/>
                <w:bCs/>
                <w:color w:val="auto"/>
                <w:kern w:val="0"/>
                <w:sz w:val="28"/>
                <w:szCs w:val="28"/>
                <w:vertAlign w:val="baseline"/>
                <w:lang w:val="en-US" w:eastAsia="zh-CN"/>
              </w:rPr>
              <w:t>合同价格</w:t>
            </w:r>
          </w:p>
        </w:tc>
        <w:tc>
          <w:tcPr>
            <w:tcW w:w="6451" w:type="dxa"/>
          </w:tcPr>
          <w:p>
            <w:pPr>
              <w:widowControl/>
              <w:spacing w:before="100" w:beforeAutospacing="1" w:after="100" w:afterAutospacing="1" w:line="252" w:lineRule="atLeast"/>
              <w:jc w:val="center"/>
              <w:rPr>
                <w:rFonts w:hint="default" w:ascii="Times New Roman" w:hAnsi="Times New Roman" w:eastAsia="仿宋_GB2312" w:cs="Times New Roman"/>
                <w:b w:val="0"/>
                <w:bCs/>
                <w:color w:val="auto"/>
                <w:kern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1" w:type="dxa"/>
          </w:tcPr>
          <w:p>
            <w:pPr>
              <w:widowControl/>
              <w:spacing w:before="100" w:beforeAutospacing="1" w:after="100" w:afterAutospacing="1" w:line="252" w:lineRule="atLeast"/>
              <w:jc w:val="center"/>
              <w:rPr>
                <w:rFonts w:hint="default" w:ascii="Times New Roman" w:hAnsi="Times New Roman" w:eastAsia="仿宋_GB2312" w:cs="Times New Roman"/>
                <w:b w:val="0"/>
                <w:bCs/>
                <w:color w:val="auto"/>
                <w:kern w:val="0"/>
                <w:sz w:val="28"/>
                <w:szCs w:val="28"/>
                <w:vertAlign w:val="baseline"/>
                <w:lang w:val="en-US" w:eastAsia="zh-CN"/>
              </w:rPr>
            </w:pPr>
            <w:r>
              <w:rPr>
                <w:rFonts w:hint="default" w:ascii="Times New Roman" w:hAnsi="Times New Roman" w:eastAsia="仿宋_GB2312" w:cs="Times New Roman"/>
                <w:b w:val="0"/>
                <w:bCs/>
                <w:color w:val="auto"/>
                <w:kern w:val="0"/>
                <w:sz w:val="28"/>
                <w:szCs w:val="28"/>
                <w:vertAlign w:val="baseline"/>
                <w:lang w:val="en-US" w:eastAsia="zh-CN"/>
              </w:rPr>
              <w:t>开工日期</w:t>
            </w:r>
          </w:p>
        </w:tc>
        <w:tc>
          <w:tcPr>
            <w:tcW w:w="6451" w:type="dxa"/>
          </w:tcPr>
          <w:p>
            <w:pPr>
              <w:widowControl/>
              <w:spacing w:before="100" w:beforeAutospacing="1" w:after="100" w:afterAutospacing="1" w:line="252" w:lineRule="atLeast"/>
              <w:jc w:val="center"/>
              <w:rPr>
                <w:rFonts w:hint="default" w:ascii="Times New Roman" w:hAnsi="Times New Roman" w:eastAsia="仿宋_GB2312" w:cs="Times New Roman"/>
                <w:b w:val="0"/>
                <w:bCs/>
                <w:color w:val="auto"/>
                <w:kern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1" w:type="dxa"/>
          </w:tcPr>
          <w:p>
            <w:pPr>
              <w:widowControl/>
              <w:spacing w:before="100" w:beforeAutospacing="1" w:after="100" w:afterAutospacing="1" w:line="252" w:lineRule="atLeast"/>
              <w:jc w:val="center"/>
              <w:rPr>
                <w:rFonts w:hint="default" w:ascii="Times New Roman" w:hAnsi="Times New Roman" w:eastAsia="仿宋_GB2312" w:cs="Times New Roman"/>
                <w:b w:val="0"/>
                <w:bCs/>
                <w:color w:val="auto"/>
                <w:kern w:val="0"/>
                <w:sz w:val="28"/>
                <w:szCs w:val="28"/>
                <w:vertAlign w:val="baseline"/>
                <w:lang w:val="en-US" w:eastAsia="zh-CN"/>
              </w:rPr>
            </w:pPr>
            <w:r>
              <w:rPr>
                <w:rFonts w:hint="default" w:ascii="Times New Roman" w:hAnsi="Times New Roman" w:eastAsia="仿宋_GB2312" w:cs="Times New Roman"/>
                <w:b w:val="0"/>
                <w:bCs/>
                <w:color w:val="auto"/>
                <w:kern w:val="0"/>
                <w:sz w:val="28"/>
                <w:szCs w:val="28"/>
                <w:vertAlign w:val="baseline"/>
                <w:lang w:val="en-US" w:eastAsia="zh-CN"/>
              </w:rPr>
              <w:t>竣工日期</w:t>
            </w:r>
          </w:p>
        </w:tc>
        <w:tc>
          <w:tcPr>
            <w:tcW w:w="6451" w:type="dxa"/>
          </w:tcPr>
          <w:p>
            <w:pPr>
              <w:widowControl/>
              <w:spacing w:before="100" w:beforeAutospacing="1" w:after="100" w:afterAutospacing="1" w:line="252" w:lineRule="atLeast"/>
              <w:jc w:val="center"/>
              <w:rPr>
                <w:rFonts w:hint="default" w:ascii="Times New Roman" w:hAnsi="Times New Roman" w:eastAsia="仿宋_GB2312" w:cs="Times New Roman"/>
                <w:b w:val="0"/>
                <w:bCs/>
                <w:color w:val="auto"/>
                <w:kern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1" w:type="dxa"/>
          </w:tcPr>
          <w:p>
            <w:pPr>
              <w:widowControl/>
              <w:spacing w:before="100" w:beforeAutospacing="1" w:after="100" w:afterAutospacing="1" w:line="252" w:lineRule="atLeast"/>
              <w:jc w:val="center"/>
              <w:rPr>
                <w:rFonts w:hint="default" w:ascii="Times New Roman" w:hAnsi="Times New Roman" w:eastAsia="仿宋_GB2312" w:cs="Times New Roman"/>
                <w:b w:val="0"/>
                <w:bCs/>
                <w:color w:val="auto"/>
                <w:kern w:val="0"/>
                <w:sz w:val="28"/>
                <w:szCs w:val="28"/>
                <w:vertAlign w:val="baseline"/>
                <w:lang w:val="en-US" w:eastAsia="zh-CN"/>
              </w:rPr>
            </w:pPr>
            <w:r>
              <w:rPr>
                <w:rFonts w:hint="default" w:ascii="Times New Roman" w:hAnsi="Times New Roman" w:eastAsia="仿宋_GB2312" w:cs="Times New Roman"/>
                <w:b w:val="0"/>
                <w:bCs/>
                <w:color w:val="auto"/>
                <w:kern w:val="0"/>
                <w:sz w:val="28"/>
                <w:szCs w:val="28"/>
                <w:vertAlign w:val="baseline"/>
                <w:lang w:val="en-US" w:eastAsia="zh-CN"/>
              </w:rPr>
              <w:t>承担的工作</w:t>
            </w:r>
          </w:p>
        </w:tc>
        <w:tc>
          <w:tcPr>
            <w:tcW w:w="6451" w:type="dxa"/>
          </w:tcPr>
          <w:p>
            <w:pPr>
              <w:widowControl/>
              <w:spacing w:before="100" w:beforeAutospacing="1" w:after="100" w:afterAutospacing="1" w:line="252" w:lineRule="atLeast"/>
              <w:jc w:val="center"/>
              <w:rPr>
                <w:rFonts w:hint="default" w:ascii="Times New Roman" w:hAnsi="Times New Roman" w:eastAsia="仿宋_GB2312" w:cs="Times New Roman"/>
                <w:b w:val="0"/>
                <w:bCs/>
                <w:color w:val="auto"/>
                <w:kern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1" w:type="dxa"/>
          </w:tcPr>
          <w:p>
            <w:pPr>
              <w:widowControl/>
              <w:spacing w:before="100" w:beforeAutospacing="1" w:after="100" w:afterAutospacing="1" w:line="252" w:lineRule="atLeast"/>
              <w:jc w:val="center"/>
              <w:rPr>
                <w:rFonts w:hint="default" w:ascii="Times New Roman" w:hAnsi="Times New Roman" w:eastAsia="仿宋_GB2312" w:cs="Times New Roman"/>
                <w:b w:val="0"/>
                <w:bCs/>
                <w:color w:val="auto"/>
                <w:kern w:val="0"/>
                <w:sz w:val="28"/>
                <w:szCs w:val="28"/>
                <w:vertAlign w:val="baseline"/>
                <w:lang w:val="en-US" w:eastAsia="zh-CN"/>
              </w:rPr>
            </w:pPr>
            <w:r>
              <w:rPr>
                <w:rFonts w:hint="default" w:ascii="Times New Roman" w:hAnsi="Times New Roman" w:eastAsia="仿宋_GB2312" w:cs="Times New Roman"/>
                <w:b w:val="0"/>
                <w:bCs/>
                <w:color w:val="auto"/>
                <w:kern w:val="0"/>
                <w:sz w:val="28"/>
                <w:szCs w:val="28"/>
                <w:vertAlign w:val="baseline"/>
                <w:lang w:val="en-US" w:eastAsia="zh-CN"/>
              </w:rPr>
              <w:t>工程质量</w:t>
            </w:r>
          </w:p>
        </w:tc>
        <w:tc>
          <w:tcPr>
            <w:tcW w:w="6451" w:type="dxa"/>
          </w:tcPr>
          <w:p>
            <w:pPr>
              <w:widowControl/>
              <w:spacing w:before="100" w:beforeAutospacing="1" w:after="100" w:afterAutospacing="1" w:line="252" w:lineRule="atLeast"/>
              <w:jc w:val="center"/>
              <w:rPr>
                <w:rFonts w:hint="default" w:ascii="Times New Roman" w:hAnsi="Times New Roman" w:eastAsia="仿宋_GB2312" w:cs="Times New Roman"/>
                <w:b w:val="0"/>
                <w:bCs/>
                <w:color w:val="auto"/>
                <w:kern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1" w:type="dxa"/>
          </w:tcPr>
          <w:p>
            <w:pPr>
              <w:widowControl/>
              <w:spacing w:before="100" w:beforeAutospacing="1" w:after="100" w:afterAutospacing="1" w:line="252" w:lineRule="atLeast"/>
              <w:jc w:val="center"/>
              <w:rPr>
                <w:rFonts w:hint="default" w:ascii="Times New Roman" w:hAnsi="Times New Roman" w:eastAsia="仿宋_GB2312" w:cs="Times New Roman"/>
                <w:b w:val="0"/>
                <w:bCs/>
                <w:color w:val="auto"/>
                <w:kern w:val="0"/>
                <w:sz w:val="28"/>
                <w:szCs w:val="28"/>
                <w:vertAlign w:val="baseline"/>
                <w:lang w:val="en-US" w:eastAsia="zh-CN"/>
              </w:rPr>
            </w:pPr>
            <w:r>
              <w:rPr>
                <w:rFonts w:hint="default" w:ascii="Times New Roman" w:hAnsi="Times New Roman" w:eastAsia="仿宋_GB2312" w:cs="Times New Roman"/>
                <w:b w:val="0"/>
                <w:bCs/>
                <w:color w:val="auto"/>
                <w:kern w:val="0"/>
                <w:sz w:val="28"/>
                <w:szCs w:val="28"/>
                <w:vertAlign w:val="baseline"/>
                <w:lang w:val="en-US" w:eastAsia="zh-CN"/>
              </w:rPr>
              <w:t>项目描述</w:t>
            </w:r>
          </w:p>
        </w:tc>
        <w:tc>
          <w:tcPr>
            <w:tcW w:w="6451" w:type="dxa"/>
          </w:tcPr>
          <w:p>
            <w:pPr>
              <w:widowControl/>
              <w:spacing w:before="100" w:beforeAutospacing="1" w:after="100" w:afterAutospacing="1" w:line="252" w:lineRule="atLeast"/>
              <w:jc w:val="center"/>
              <w:rPr>
                <w:rFonts w:hint="default" w:ascii="Times New Roman" w:hAnsi="Times New Roman" w:eastAsia="仿宋_GB2312" w:cs="Times New Roman"/>
                <w:b w:val="0"/>
                <w:bCs/>
                <w:color w:val="auto"/>
                <w:kern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1" w:type="dxa"/>
          </w:tcPr>
          <w:p>
            <w:pPr>
              <w:widowControl/>
              <w:spacing w:before="100" w:beforeAutospacing="1" w:after="100" w:afterAutospacing="1" w:line="252" w:lineRule="atLeast"/>
              <w:jc w:val="center"/>
              <w:rPr>
                <w:rFonts w:hint="default" w:ascii="Times New Roman" w:hAnsi="Times New Roman" w:eastAsia="仿宋_GB2312" w:cs="Times New Roman"/>
                <w:b w:val="0"/>
                <w:bCs/>
                <w:color w:val="auto"/>
                <w:kern w:val="0"/>
                <w:sz w:val="28"/>
                <w:szCs w:val="28"/>
                <w:vertAlign w:val="baseline"/>
                <w:lang w:val="en-US" w:eastAsia="zh-CN"/>
              </w:rPr>
            </w:pPr>
            <w:r>
              <w:rPr>
                <w:rFonts w:hint="default" w:ascii="Times New Roman" w:hAnsi="Times New Roman" w:eastAsia="仿宋_GB2312" w:cs="Times New Roman"/>
                <w:b w:val="0"/>
                <w:bCs/>
                <w:color w:val="auto"/>
                <w:kern w:val="0"/>
                <w:sz w:val="28"/>
                <w:szCs w:val="28"/>
                <w:vertAlign w:val="baseline"/>
                <w:lang w:val="en-US" w:eastAsia="zh-CN"/>
              </w:rPr>
              <w:t>备注</w:t>
            </w:r>
          </w:p>
        </w:tc>
        <w:tc>
          <w:tcPr>
            <w:tcW w:w="6451" w:type="dxa"/>
          </w:tcPr>
          <w:p>
            <w:pPr>
              <w:widowControl/>
              <w:spacing w:before="100" w:beforeAutospacing="1" w:after="100" w:afterAutospacing="1" w:line="252" w:lineRule="atLeast"/>
              <w:jc w:val="center"/>
              <w:rPr>
                <w:rFonts w:hint="default" w:ascii="Times New Roman" w:hAnsi="Times New Roman" w:eastAsia="仿宋_GB2312" w:cs="Times New Roman"/>
                <w:b w:val="0"/>
                <w:bCs/>
                <w:color w:val="auto"/>
                <w:kern w:val="0"/>
                <w:sz w:val="28"/>
                <w:szCs w:val="28"/>
                <w:vertAlign w:val="baseline"/>
                <w:lang w:val="en-US" w:eastAsia="zh-CN"/>
              </w:rPr>
            </w:pPr>
          </w:p>
        </w:tc>
      </w:tr>
    </w:tbl>
    <w:p>
      <w:pPr>
        <w:widowControl/>
        <w:spacing w:before="100" w:beforeAutospacing="1" w:after="100" w:afterAutospacing="1" w:line="252" w:lineRule="atLeast"/>
        <w:jc w:val="both"/>
        <w:rPr>
          <w:rFonts w:hint="default" w:ascii="Times New Roman" w:hAnsi="Times New Roman" w:eastAsia="仿宋_GB2312" w:cs="Times New Roman"/>
          <w:b/>
          <w:bCs w:val="0"/>
          <w:color w:val="auto"/>
          <w:kern w:val="0"/>
          <w:sz w:val="28"/>
          <w:szCs w:val="28"/>
          <w:lang w:val="en-US" w:eastAsia="zh-CN"/>
        </w:rPr>
      </w:pPr>
      <w:r>
        <w:rPr>
          <w:rFonts w:hint="default" w:ascii="Times New Roman" w:hAnsi="Times New Roman" w:eastAsia="仿宋_GB2312" w:cs="Times New Roman"/>
          <w:b/>
          <w:bCs w:val="0"/>
          <w:color w:val="auto"/>
          <w:kern w:val="0"/>
          <w:sz w:val="28"/>
          <w:szCs w:val="28"/>
          <w:lang w:val="en-US" w:eastAsia="zh-CN"/>
        </w:rPr>
        <w:t>注：以上工程需提供合同复印件并加盖鲜章。</w:t>
      </w:r>
    </w:p>
    <w:p>
      <w:pPr>
        <w:widowControl/>
        <w:spacing w:before="100" w:beforeAutospacing="1" w:after="100" w:afterAutospacing="1" w:line="252" w:lineRule="atLeast"/>
        <w:jc w:val="center"/>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br w:type="page"/>
      </w:r>
    </w:p>
    <w:p>
      <w:pPr>
        <w:widowControl/>
        <w:spacing w:before="100" w:beforeAutospacing="1" w:after="100" w:afterAutospacing="1" w:line="252" w:lineRule="atLeast"/>
        <w:jc w:val="center"/>
        <w:rPr>
          <w:rFonts w:hint="default" w:ascii="Times New Roman" w:hAnsi="Times New Roman" w:eastAsia="仿宋_GB2312" w:cs="Times New Roman"/>
          <w:b w:val="0"/>
          <w:bCs/>
          <w:color w:val="auto"/>
          <w:kern w:val="0"/>
          <w:sz w:val="28"/>
          <w:szCs w:val="28"/>
          <w:lang w:val="en-US" w:eastAsia="zh-CN"/>
        </w:rPr>
      </w:pPr>
      <w:r>
        <w:rPr>
          <w:rFonts w:hint="default" w:ascii="Times New Roman" w:hAnsi="Times New Roman" w:eastAsia="仿宋_GB2312" w:cs="Times New Roman"/>
          <w:color w:val="auto"/>
          <w:sz w:val="28"/>
          <w:szCs w:val="28"/>
          <w:lang w:val="en-US" w:eastAsia="zh-CN"/>
        </w:rPr>
        <w:t>★</w:t>
      </w:r>
      <w:r>
        <w:rPr>
          <w:rFonts w:hint="default" w:ascii="Times New Roman" w:hAnsi="Times New Roman" w:eastAsia="仿宋_GB2312" w:cs="Times New Roman"/>
          <w:b w:val="0"/>
          <w:bCs/>
          <w:color w:val="auto"/>
          <w:kern w:val="0"/>
          <w:sz w:val="28"/>
          <w:szCs w:val="28"/>
          <w:lang w:eastAsia="zh-CN"/>
        </w:rPr>
        <w:t>格式五</w:t>
      </w:r>
      <w:r>
        <w:rPr>
          <w:rFonts w:hint="default" w:ascii="Times New Roman" w:hAnsi="Times New Roman" w:eastAsia="仿宋_GB2312" w:cs="Times New Roman"/>
          <w:b w:val="0"/>
          <w:bCs/>
          <w:color w:val="auto"/>
          <w:kern w:val="0"/>
          <w:sz w:val="28"/>
          <w:szCs w:val="28"/>
          <w:lang w:val="en-US" w:eastAsia="zh-CN"/>
        </w:rPr>
        <w:t xml:space="preserve"> 拟投入项目人员名单</w:t>
      </w:r>
    </w:p>
    <w:tbl>
      <w:tblPr>
        <w:tblStyle w:val="1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6"/>
        <w:gridCol w:w="2252"/>
        <w:gridCol w:w="1258"/>
        <w:gridCol w:w="2460"/>
        <w:gridCol w:w="13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6" w:type="dxa"/>
          </w:tcPr>
          <w:p>
            <w:pPr>
              <w:widowControl/>
              <w:spacing w:before="100" w:beforeAutospacing="1" w:after="100" w:afterAutospacing="1" w:line="252" w:lineRule="atLeast"/>
              <w:jc w:val="center"/>
              <w:rPr>
                <w:rFonts w:hint="default" w:ascii="Times New Roman" w:hAnsi="Times New Roman" w:eastAsia="仿宋_GB2312" w:cs="Times New Roman"/>
                <w:b w:val="0"/>
                <w:bCs/>
                <w:color w:val="auto"/>
                <w:kern w:val="0"/>
                <w:sz w:val="28"/>
                <w:szCs w:val="28"/>
                <w:vertAlign w:val="baseline"/>
              </w:rPr>
            </w:pPr>
            <w:r>
              <w:rPr>
                <w:rFonts w:hint="default" w:ascii="Times New Roman" w:hAnsi="Times New Roman" w:eastAsia="仿宋_GB2312" w:cs="Times New Roman"/>
                <w:b w:val="0"/>
                <w:bCs/>
                <w:color w:val="auto"/>
                <w:kern w:val="0"/>
                <w:sz w:val="28"/>
                <w:szCs w:val="28"/>
                <w:lang w:val="en-US" w:eastAsia="zh-CN"/>
              </w:rPr>
              <w:t>姓名</w:t>
            </w:r>
          </w:p>
        </w:tc>
        <w:tc>
          <w:tcPr>
            <w:tcW w:w="2252" w:type="dxa"/>
          </w:tcPr>
          <w:p>
            <w:pPr>
              <w:widowControl/>
              <w:spacing w:before="100" w:beforeAutospacing="1" w:after="100" w:afterAutospacing="1" w:line="252" w:lineRule="atLeast"/>
              <w:jc w:val="center"/>
              <w:rPr>
                <w:rFonts w:hint="default" w:ascii="Times New Roman" w:hAnsi="Times New Roman" w:eastAsia="仿宋_GB2312" w:cs="Times New Roman"/>
                <w:b w:val="0"/>
                <w:bCs/>
                <w:color w:val="auto"/>
                <w:kern w:val="0"/>
                <w:sz w:val="28"/>
                <w:szCs w:val="28"/>
                <w:vertAlign w:val="baseline"/>
                <w:lang w:eastAsia="zh-CN"/>
              </w:rPr>
            </w:pPr>
            <w:r>
              <w:rPr>
                <w:rFonts w:hint="default" w:ascii="Times New Roman" w:hAnsi="Times New Roman" w:eastAsia="仿宋_GB2312" w:cs="Times New Roman"/>
                <w:b w:val="0"/>
                <w:bCs/>
                <w:color w:val="auto"/>
                <w:kern w:val="0"/>
                <w:sz w:val="28"/>
                <w:szCs w:val="28"/>
                <w:vertAlign w:val="baseline"/>
                <w:lang w:eastAsia="zh-CN"/>
              </w:rPr>
              <w:t>资质证书</w:t>
            </w:r>
            <w:r>
              <w:rPr>
                <w:rFonts w:hint="default" w:ascii="Times New Roman" w:hAnsi="Times New Roman" w:eastAsia="仿宋_GB2312" w:cs="Times New Roman"/>
                <w:b w:val="0"/>
                <w:bCs/>
                <w:color w:val="auto"/>
                <w:kern w:val="0"/>
                <w:sz w:val="28"/>
                <w:szCs w:val="28"/>
                <w:vertAlign w:val="baseline"/>
                <w:lang w:val="en-US" w:eastAsia="zh-CN"/>
              </w:rPr>
              <w:t>/职称</w:t>
            </w:r>
          </w:p>
        </w:tc>
        <w:tc>
          <w:tcPr>
            <w:tcW w:w="1258" w:type="dxa"/>
          </w:tcPr>
          <w:p>
            <w:pPr>
              <w:widowControl/>
              <w:spacing w:before="100" w:beforeAutospacing="1" w:after="100" w:afterAutospacing="1" w:line="252" w:lineRule="atLeast"/>
              <w:jc w:val="center"/>
              <w:rPr>
                <w:rFonts w:hint="default" w:ascii="Times New Roman" w:hAnsi="Times New Roman" w:eastAsia="仿宋_GB2312" w:cs="Times New Roman"/>
                <w:b w:val="0"/>
                <w:bCs/>
                <w:color w:val="auto"/>
                <w:kern w:val="0"/>
                <w:sz w:val="28"/>
                <w:szCs w:val="28"/>
                <w:vertAlign w:val="baseline"/>
                <w:lang w:eastAsia="zh-CN"/>
              </w:rPr>
            </w:pPr>
            <w:r>
              <w:rPr>
                <w:rFonts w:hint="default" w:ascii="Times New Roman" w:hAnsi="Times New Roman" w:eastAsia="仿宋_GB2312" w:cs="Times New Roman"/>
                <w:b w:val="0"/>
                <w:bCs/>
                <w:color w:val="auto"/>
                <w:kern w:val="0"/>
                <w:sz w:val="28"/>
                <w:szCs w:val="28"/>
                <w:vertAlign w:val="baseline"/>
                <w:lang w:eastAsia="zh-CN"/>
              </w:rPr>
              <w:t>专业</w:t>
            </w:r>
          </w:p>
        </w:tc>
        <w:tc>
          <w:tcPr>
            <w:tcW w:w="2460" w:type="dxa"/>
          </w:tcPr>
          <w:p>
            <w:pPr>
              <w:widowControl/>
              <w:spacing w:before="100" w:beforeAutospacing="1" w:after="100" w:afterAutospacing="1" w:line="252" w:lineRule="atLeast"/>
              <w:jc w:val="center"/>
              <w:rPr>
                <w:rFonts w:hint="default" w:ascii="Times New Roman" w:hAnsi="Times New Roman" w:eastAsia="仿宋_GB2312" w:cs="Times New Roman"/>
                <w:b w:val="0"/>
                <w:bCs/>
                <w:color w:val="auto"/>
                <w:kern w:val="0"/>
                <w:sz w:val="28"/>
                <w:szCs w:val="28"/>
                <w:vertAlign w:val="baseline"/>
                <w:lang w:eastAsia="zh-CN"/>
              </w:rPr>
            </w:pPr>
            <w:r>
              <w:rPr>
                <w:rFonts w:hint="default" w:ascii="Times New Roman" w:hAnsi="Times New Roman" w:eastAsia="仿宋_GB2312" w:cs="Times New Roman"/>
                <w:b w:val="0"/>
                <w:bCs/>
                <w:color w:val="auto"/>
                <w:kern w:val="0"/>
                <w:sz w:val="28"/>
                <w:szCs w:val="28"/>
                <w:vertAlign w:val="baseline"/>
                <w:lang w:eastAsia="zh-CN"/>
              </w:rPr>
              <w:t>拟在本项目任职</w:t>
            </w:r>
          </w:p>
        </w:tc>
        <w:tc>
          <w:tcPr>
            <w:tcW w:w="1396" w:type="dxa"/>
          </w:tcPr>
          <w:p>
            <w:pPr>
              <w:widowControl/>
              <w:spacing w:before="100" w:beforeAutospacing="1" w:after="100" w:afterAutospacing="1" w:line="252" w:lineRule="atLeast"/>
              <w:jc w:val="center"/>
              <w:rPr>
                <w:rFonts w:hint="default" w:ascii="Times New Roman" w:hAnsi="Times New Roman" w:eastAsia="仿宋_GB2312" w:cs="Times New Roman"/>
                <w:b w:val="0"/>
                <w:bCs/>
                <w:color w:val="auto"/>
                <w:kern w:val="0"/>
                <w:sz w:val="28"/>
                <w:szCs w:val="28"/>
                <w:vertAlign w:val="baseline"/>
                <w:lang w:eastAsia="zh-CN"/>
              </w:rPr>
            </w:pPr>
            <w:r>
              <w:rPr>
                <w:rFonts w:hint="default" w:ascii="Times New Roman" w:hAnsi="Times New Roman" w:eastAsia="仿宋_GB2312" w:cs="Times New Roman"/>
                <w:b w:val="0"/>
                <w:bCs/>
                <w:color w:val="auto"/>
                <w:kern w:val="0"/>
                <w:sz w:val="28"/>
                <w:szCs w:val="28"/>
                <w:vertAlign w:val="baseline"/>
                <w:lang w:eastAsia="zh-CN"/>
              </w:rPr>
              <w:t>工作年限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6" w:type="dxa"/>
          </w:tcPr>
          <w:p>
            <w:pPr>
              <w:widowControl/>
              <w:spacing w:before="100" w:beforeAutospacing="1" w:after="100" w:afterAutospacing="1" w:line="252" w:lineRule="atLeast"/>
              <w:jc w:val="center"/>
              <w:rPr>
                <w:rFonts w:hint="default" w:ascii="Times New Roman" w:hAnsi="Times New Roman" w:eastAsia="仿宋_GB2312" w:cs="Times New Roman"/>
                <w:b w:val="0"/>
                <w:bCs/>
                <w:color w:val="auto"/>
                <w:kern w:val="0"/>
                <w:sz w:val="28"/>
                <w:szCs w:val="28"/>
                <w:vertAlign w:val="baseline"/>
              </w:rPr>
            </w:pPr>
          </w:p>
        </w:tc>
        <w:tc>
          <w:tcPr>
            <w:tcW w:w="2252" w:type="dxa"/>
          </w:tcPr>
          <w:p>
            <w:pPr>
              <w:widowControl/>
              <w:spacing w:before="100" w:beforeAutospacing="1" w:after="100" w:afterAutospacing="1" w:line="252" w:lineRule="atLeast"/>
              <w:jc w:val="center"/>
              <w:rPr>
                <w:rFonts w:hint="default" w:ascii="Times New Roman" w:hAnsi="Times New Roman" w:eastAsia="仿宋_GB2312" w:cs="Times New Roman"/>
                <w:b w:val="0"/>
                <w:bCs/>
                <w:color w:val="auto"/>
                <w:kern w:val="0"/>
                <w:sz w:val="28"/>
                <w:szCs w:val="28"/>
                <w:vertAlign w:val="baseline"/>
              </w:rPr>
            </w:pPr>
          </w:p>
        </w:tc>
        <w:tc>
          <w:tcPr>
            <w:tcW w:w="1258" w:type="dxa"/>
          </w:tcPr>
          <w:p>
            <w:pPr>
              <w:widowControl/>
              <w:spacing w:before="100" w:beforeAutospacing="1" w:after="100" w:afterAutospacing="1" w:line="252" w:lineRule="atLeast"/>
              <w:jc w:val="center"/>
              <w:rPr>
                <w:rFonts w:hint="default" w:ascii="Times New Roman" w:hAnsi="Times New Roman" w:eastAsia="仿宋_GB2312" w:cs="Times New Roman"/>
                <w:b w:val="0"/>
                <w:bCs/>
                <w:color w:val="auto"/>
                <w:kern w:val="0"/>
                <w:sz w:val="28"/>
                <w:szCs w:val="28"/>
                <w:vertAlign w:val="baseline"/>
              </w:rPr>
            </w:pPr>
          </w:p>
        </w:tc>
        <w:tc>
          <w:tcPr>
            <w:tcW w:w="2460" w:type="dxa"/>
          </w:tcPr>
          <w:p>
            <w:pPr>
              <w:widowControl/>
              <w:spacing w:before="100" w:beforeAutospacing="1" w:after="100" w:afterAutospacing="1" w:line="252" w:lineRule="atLeast"/>
              <w:jc w:val="center"/>
              <w:rPr>
                <w:rFonts w:hint="default" w:ascii="Times New Roman" w:hAnsi="Times New Roman" w:eastAsia="仿宋_GB2312" w:cs="Times New Roman"/>
                <w:b w:val="0"/>
                <w:bCs/>
                <w:color w:val="auto"/>
                <w:kern w:val="0"/>
                <w:sz w:val="28"/>
                <w:szCs w:val="28"/>
                <w:vertAlign w:val="baseline"/>
              </w:rPr>
            </w:pPr>
          </w:p>
        </w:tc>
        <w:tc>
          <w:tcPr>
            <w:tcW w:w="1396" w:type="dxa"/>
          </w:tcPr>
          <w:p>
            <w:pPr>
              <w:widowControl/>
              <w:spacing w:before="100" w:beforeAutospacing="1" w:after="100" w:afterAutospacing="1" w:line="252" w:lineRule="atLeast"/>
              <w:jc w:val="center"/>
              <w:rPr>
                <w:rFonts w:hint="default" w:ascii="Times New Roman" w:hAnsi="Times New Roman" w:eastAsia="仿宋_GB2312" w:cs="Times New Roman"/>
                <w:b w:val="0"/>
                <w:bCs/>
                <w:color w:val="auto"/>
                <w:kern w:val="0"/>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6" w:type="dxa"/>
          </w:tcPr>
          <w:p>
            <w:pPr>
              <w:widowControl/>
              <w:spacing w:before="100" w:beforeAutospacing="1" w:after="100" w:afterAutospacing="1" w:line="252" w:lineRule="atLeast"/>
              <w:jc w:val="center"/>
              <w:rPr>
                <w:rFonts w:hint="default" w:ascii="Times New Roman" w:hAnsi="Times New Roman" w:eastAsia="仿宋_GB2312" w:cs="Times New Roman"/>
                <w:b w:val="0"/>
                <w:bCs/>
                <w:color w:val="auto"/>
                <w:kern w:val="0"/>
                <w:sz w:val="28"/>
                <w:szCs w:val="28"/>
                <w:vertAlign w:val="baseline"/>
              </w:rPr>
            </w:pPr>
          </w:p>
        </w:tc>
        <w:tc>
          <w:tcPr>
            <w:tcW w:w="2252" w:type="dxa"/>
          </w:tcPr>
          <w:p>
            <w:pPr>
              <w:widowControl/>
              <w:spacing w:before="100" w:beforeAutospacing="1" w:after="100" w:afterAutospacing="1" w:line="252" w:lineRule="atLeast"/>
              <w:jc w:val="center"/>
              <w:rPr>
                <w:rFonts w:hint="default" w:ascii="Times New Roman" w:hAnsi="Times New Roman" w:eastAsia="仿宋_GB2312" w:cs="Times New Roman"/>
                <w:b w:val="0"/>
                <w:bCs/>
                <w:color w:val="auto"/>
                <w:kern w:val="0"/>
                <w:sz w:val="28"/>
                <w:szCs w:val="28"/>
                <w:vertAlign w:val="baseline"/>
              </w:rPr>
            </w:pPr>
          </w:p>
        </w:tc>
        <w:tc>
          <w:tcPr>
            <w:tcW w:w="1258" w:type="dxa"/>
          </w:tcPr>
          <w:p>
            <w:pPr>
              <w:widowControl/>
              <w:spacing w:before="100" w:beforeAutospacing="1" w:after="100" w:afterAutospacing="1" w:line="252" w:lineRule="atLeast"/>
              <w:jc w:val="center"/>
              <w:rPr>
                <w:rFonts w:hint="default" w:ascii="Times New Roman" w:hAnsi="Times New Roman" w:eastAsia="仿宋_GB2312" w:cs="Times New Roman"/>
                <w:b w:val="0"/>
                <w:bCs/>
                <w:color w:val="auto"/>
                <w:kern w:val="0"/>
                <w:sz w:val="28"/>
                <w:szCs w:val="28"/>
                <w:vertAlign w:val="baseline"/>
              </w:rPr>
            </w:pPr>
          </w:p>
        </w:tc>
        <w:tc>
          <w:tcPr>
            <w:tcW w:w="2460" w:type="dxa"/>
          </w:tcPr>
          <w:p>
            <w:pPr>
              <w:widowControl/>
              <w:spacing w:before="100" w:beforeAutospacing="1" w:after="100" w:afterAutospacing="1" w:line="252" w:lineRule="atLeast"/>
              <w:jc w:val="center"/>
              <w:rPr>
                <w:rFonts w:hint="default" w:ascii="Times New Roman" w:hAnsi="Times New Roman" w:eastAsia="仿宋_GB2312" w:cs="Times New Roman"/>
                <w:b w:val="0"/>
                <w:bCs/>
                <w:color w:val="auto"/>
                <w:kern w:val="0"/>
                <w:sz w:val="28"/>
                <w:szCs w:val="28"/>
                <w:vertAlign w:val="baseline"/>
              </w:rPr>
            </w:pPr>
          </w:p>
        </w:tc>
        <w:tc>
          <w:tcPr>
            <w:tcW w:w="1396" w:type="dxa"/>
          </w:tcPr>
          <w:p>
            <w:pPr>
              <w:widowControl/>
              <w:spacing w:before="100" w:beforeAutospacing="1" w:after="100" w:afterAutospacing="1" w:line="252" w:lineRule="atLeast"/>
              <w:jc w:val="center"/>
              <w:rPr>
                <w:rFonts w:hint="default" w:ascii="Times New Roman" w:hAnsi="Times New Roman" w:eastAsia="仿宋_GB2312" w:cs="Times New Roman"/>
                <w:b w:val="0"/>
                <w:bCs/>
                <w:color w:val="auto"/>
                <w:kern w:val="0"/>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6" w:type="dxa"/>
          </w:tcPr>
          <w:p>
            <w:pPr>
              <w:widowControl/>
              <w:spacing w:before="100" w:beforeAutospacing="1" w:after="100" w:afterAutospacing="1" w:line="252" w:lineRule="atLeast"/>
              <w:jc w:val="center"/>
              <w:rPr>
                <w:rFonts w:hint="default" w:ascii="Times New Roman" w:hAnsi="Times New Roman" w:eastAsia="仿宋_GB2312" w:cs="Times New Roman"/>
                <w:b w:val="0"/>
                <w:bCs/>
                <w:color w:val="auto"/>
                <w:kern w:val="0"/>
                <w:sz w:val="28"/>
                <w:szCs w:val="28"/>
                <w:vertAlign w:val="baseline"/>
              </w:rPr>
            </w:pPr>
          </w:p>
        </w:tc>
        <w:tc>
          <w:tcPr>
            <w:tcW w:w="2252" w:type="dxa"/>
          </w:tcPr>
          <w:p>
            <w:pPr>
              <w:widowControl/>
              <w:spacing w:before="100" w:beforeAutospacing="1" w:after="100" w:afterAutospacing="1" w:line="252" w:lineRule="atLeast"/>
              <w:jc w:val="center"/>
              <w:rPr>
                <w:rFonts w:hint="default" w:ascii="Times New Roman" w:hAnsi="Times New Roman" w:eastAsia="仿宋_GB2312" w:cs="Times New Roman"/>
                <w:b w:val="0"/>
                <w:bCs/>
                <w:color w:val="auto"/>
                <w:kern w:val="0"/>
                <w:sz w:val="28"/>
                <w:szCs w:val="28"/>
                <w:vertAlign w:val="baseline"/>
              </w:rPr>
            </w:pPr>
          </w:p>
        </w:tc>
        <w:tc>
          <w:tcPr>
            <w:tcW w:w="1258" w:type="dxa"/>
          </w:tcPr>
          <w:p>
            <w:pPr>
              <w:widowControl/>
              <w:spacing w:before="100" w:beforeAutospacing="1" w:after="100" w:afterAutospacing="1" w:line="252" w:lineRule="atLeast"/>
              <w:jc w:val="center"/>
              <w:rPr>
                <w:rFonts w:hint="default" w:ascii="Times New Roman" w:hAnsi="Times New Roman" w:eastAsia="仿宋_GB2312" w:cs="Times New Roman"/>
                <w:b w:val="0"/>
                <w:bCs/>
                <w:color w:val="auto"/>
                <w:kern w:val="0"/>
                <w:sz w:val="28"/>
                <w:szCs w:val="28"/>
                <w:vertAlign w:val="baseline"/>
              </w:rPr>
            </w:pPr>
          </w:p>
        </w:tc>
        <w:tc>
          <w:tcPr>
            <w:tcW w:w="2460" w:type="dxa"/>
          </w:tcPr>
          <w:p>
            <w:pPr>
              <w:widowControl/>
              <w:spacing w:before="100" w:beforeAutospacing="1" w:after="100" w:afterAutospacing="1" w:line="252" w:lineRule="atLeast"/>
              <w:jc w:val="center"/>
              <w:rPr>
                <w:rFonts w:hint="default" w:ascii="Times New Roman" w:hAnsi="Times New Roman" w:eastAsia="仿宋_GB2312" w:cs="Times New Roman"/>
                <w:b w:val="0"/>
                <w:bCs/>
                <w:color w:val="auto"/>
                <w:kern w:val="0"/>
                <w:sz w:val="28"/>
                <w:szCs w:val="28"/>
                <w:vertAlign w:val="baseline"/>
              </w:rPr>
            </w:pPr>
          </w:p>
        </w:tc>
        <w:tc>
          <w:tcPr>
            <w:tcW w:w="1396" w:type="dxa"/>
          </w:tcPr>
          <w:p>
            <w:pPr>
              <w:widowControl/>
              <w:spacing w:before="100" w:beforeAutospacing="1" w:after="100" w:afterAutospacing="1" w:line="252" w:lineRule="atLeast"/>
              <w:jc w:val="center"/>
              <w:rPr>
                <w:rFonts w:hint="default" w:ascii="Times New Roman" w:hAnsi="Times New Roman" w:eastAsia="仿宋_GB2312" w:cs="Times New Roman"/>
                <w:b w:val="0"/>
                <w:bCs/>
                <w:color w:val="auto"/>
                <w:kern w:val="0"/>
                <w:sz w:val="28"/>
                <w:szCs w:val="28"/>
                <w:vertAlign w:val="baseline"/>
              </w:rPr>
            </w:pPr>
          </w:p>
        </w:tc>
      </w:tr>
    </w:tbl>
    <w:p>
      <w:pPr>
        <w:spacing w:line="360" w:lineRule="auto"/>
        <w:rPr>
          <w:rFonts w:hint="default" w:ascii="Times New Roman" w:hAnsi="Times New Roman" w:eastAsia="仿宋_GB2312" w:cs="Times New Roman"/>
          <w:b/>
          <w:color w:val="auto"/>
          <w:kern w:val="0"/>
          <w:sz w:val="28"/>
          <w:szCs w:val="28"/>
          <w:lang w:eastAsia="zh-CN"/>
        </w:rPr>
      </w:pPr>
    </w:p>
    <w:p>
      <w:pPr>
        <w:spacing w:line="360" w:lineRule="auto"/>
        <w:rPr>
          <w:rFonts w:hint="default" w:ascii="Times New Roman" w:hAnsi="Times New Roman" w:eastAsia="仿宋_GB2312" w:cs="Times New Roman"/>
          <w:b/>
          <w:color w:val="auto"/>
          <w:kern w:val="0"/>
          <w:sz w:val="28"/>
          <w:szCs w:val="28"/>
          <w:lang w:eastAsia="zh-CN"/>
        </w:rPr>
      </w:pPr>
    </w:p>
    <w:p>
      <w:pPr>
        <w:spacing w:line="360" w:lineRule="auto"/>
        <w:rPr>
          <w:rFonts w:hint="default" w:ascii="Times New Roman" w:hAnsi="Times New Roman" w:eastAsia="仿宋_GB2312" w:cs="Times New Roman"/>
          <w:b/>
          <w:color w:val="auto"/>
          <w:kern w:val="0"/>
          <w:sz w:val="28"/>
          <w:szCs w:val="28"/>
          <w:lang w:eastAsia="zh-CN"/>
        </w:rPr>
      </w:pPr>
    </w:p>
    <w:p>
      <w:pPr>
        <w:spacing w:line="360" w:lineRule="auto"/>
        <w:rPr>
          <w:rFonts w:hint="default" w:ascii="Times New Roman" w:hAnsi="Times New Roman" w:eastAsia="仿宋_GB2312" w:cs="Times New Roman"/>
          <w:b/>
          <w:color w:val="auto"/>
          <w:kern w:val="0"/>
          <w:sz w:val="28"/>
          <w:szCs w:val="28"/>
          <w:lang w:eastAsia="zh-CN"/>
        </w:rPr>
      </w:pPr>
    </w:p>
    <w:p>
      <w:pPr>
        <w:spacing w:line="360" w:lineRule="auto"/>
        <w:rPr>
          <w:rFonts w:hint="default" w:ascii="Times New Roman" w:hAnsi="Times New Roman" w:eastAsia="仿宋_GB2312" w:cs="Times New Roman"/>
          <w:b/>
          <w:color w:val="auto"/>
          <w:kern w:val="0"/>
          <w:sz w:val="28"/>
          <w:szCs w:val="28"/>
          <w:lang w:eastAsia="zh-CN"/>
        </w:rPr>
      </w:pPr>
    </w:p>
    <w:p>
      <w:pPr>
        <w:spacing w:line="360" w:lineRule="auto"/>
        <w:rPr>
          <w:rFonts w:hint="default" w:ascii="Times New Roman" w:hAnsi="Times New Roman" w:eastAsia="仿宋_GB2312" w:cs="Times New Roman"/>
          <w:b/>
          <w:color w:val="auto"/>
          <w:kern w:val="0"/>
          <w:sz w:val="28"/>
          <w:szCs w:val="28"/>
          <w:lang w:eastAsia="zh-CN"/>
        </w:rPr>
      </w:pPr>
    </w:p>
    <w:p>
      <w:pPr>
        <w:spacing w:line="360" w:lineRule="auto"/>
        <w:rPr>
          <w:rFonts w:hint="default" w:ascii="Times New Roman" w:hAnsi="Times New Roman" w:eastAsia="仿宋_GB2312" w:cs="Times New Roman"/>
          <w:b/>
          <w:color w:val="auto"/>
          <w:kern w:val="0"/>
          <w:sz w:val="28"/>
          <w:szCs w:val="28"/>
          <w:lang w:eastAsia="zh-CN"/>
        </w:rPr>
      </w:pPr>
    </w:p>
    <w:p>
      <w:pPr>
        <w:spacing w:line="360" w:lineRule="auto"/>
        <w:rPr>
          <w:rFonts w:hint="default" w:ascii="Times New Roman" w:hAnsi="Times New Roman" w:eastAsia="仿宋_GB2312" w:cs="Times New Roman"/>
          <w:b/>
          <w:color w:val="auto"/>
          <w:kern w:val="0"/>
          <w:sz w:val="28"/>
          <w:szCs w:val="28"/>
          <w:lang w:eastAsia="zh-CN"/>
        </w:rPr>
      </w:pPr>
    </w:p>
    <w:p>
      <w:pPr>
        <w:spacing w:line="360" w:lineRule="auto"/>
        <w:rPr>
          <w:rFonts w:hint="default" w:ascii="Times New Roman" w:hAnsi="Times New Roman" w:eastAsia="仿宋_GB2312" w:cs="Times New Roman"/>
          <w:b/>
          <w:color w:val="auto"/>
          <w:kern w:val="0"/>
          <w:sz w:val="28"/>
          <w:szCs w:val="28"/>
          <w:lang w:eastAsia="zh-CN"/>
        </w:rPr>
      </w:pPr>
    </w:p>
    <w:p>
      <w:pPr>
        <w:spacing w:line="360" w:lineRule="auto"/>
        <w:rPr>
          <w:rFonts w:hint="default" w:ascii="Times New Roman" w:hAnsi="Times New Roman" w:eastAsia="仿宋_GB2312" w:cs="Times New Roman"/>
          <w:b/>
          <w:color w:val="auto"/>
          <w:kern w:val="0"/>
          <w:sz w:val="28"/>
          <w:szCs w:val="28"/>
          <w:lang w:eastAsia="zh-CN"/>
        </w:rPr>
      </w:pPr>
    </w:p>
    <w:p>
      <w:pPr>
        <w:spacing w:line="360" w:lineRule="auto"/>
        <w:rPr>
          <w:rFonts w:hint="default" w:ascii="Times New Roman" w:hAnsi="Times New Roman" w:eastAsia="仿宋_GB2312" w:cs="Times New Roman"/>
          <w:b/>
          <w:color w:val="auto"/>
          <w:kern w:val="0"/>
          <w:sz w:val="28"/>
          <w:szCs w:val="28"/>
          <w:lang w:eastAsia="zh-CN"/>
        </w:rPr>
      </w:pPr>
    </w:p>
    <w:p>
      <w:pPr>
        <w:spacing w:line="360" w:lineRule="auto"/>
        <w:rPr>
          <w:rFonts w:hint="default" w:ascii="Times New Roman" w:hAnsi="Times New Roman" w:eastAsia="仿宋_GB2312" w:cs="Times New Roman"/>
          <w:b/>
          <w:color w:val="auto"/>
          <w:kern w:val="0"/>
          <w:sz w:val="28"/>
          <w:szCs w:val="28"/>
          <w:lang w:eastAsia="zh-CN"/>
        </w:rPr>
      </w:pPr>
    </w:p>
    <w:p>
      <w:pPr>
        <w:spacing w:line="360" w:lineRule="auto"/>
        <w:rPr>
          <w:rFonts w:hint="default" w:ascii="Times New Roman" w:hAnsi="Times New Roman" w:eastAsia="仿宋_GB2312" w:cs="Times New Roman"/>
          <w:b/>
          <w:color w:val="auto"/>
          <w:kern w:val="0"/>
          <w:sz w:val="28"/>
          <w:szCs w:val="28"/>
          <w:lang w:eastAsia="zh-CN"/>
        </w:rPr>
      </w:pPr>
    </w:p>
    <w:p>
      <w:pPr>
        <w:spacing w:line="360" w:lineRule="auto"/>
        <w:rPr>
          <w:rFonts w:hint="default" w:ascii="Times New Roman" w:hAnsi="Times New Roman" w:eastAsia="仿宋_GB2312" w:cs="Times New Roman"/>
          <w:b/>
          <w:color w:val="auto"/>
          <w:kern w:val="0"/>
          <w:sz w:val="28"/>
          <w:szCs w:val="28"/>
          <w:lang w:eastAsia="zh-CN"/>
        </w:rPr>
      </w:pPr>
    </w:p>
    <w:p>
      <w:pPr>
        <w:spacing w:line="360" w:lineRule="auto"/>
        <w:rPr>
          <w:rFonts w:hint="default" w:ascii="Times New Roman" w:hAnsi="Times New Roman" w:eastAsia="仿宋_GB2312" w:cs="Times New Roman"/>
          <w:b/>
          <w:color w:val="auto"/>
          <w:kern w:val="0"/>
          <w:sz w:val="28"/>
          <w:szCs w:val="28"/>
          <w:lang w:eastAsia="zh-CN"/>
        </w:rPr>
      </w:pPr>
    </w:p>
    <w:p>
      <w:pPr>
        <w:spacing w:line="360" w:lineRule="auto"/>
        <w:rPr>
          <w:rFonts w:hint="default" w:ascii="Times New Roman" w:hAnsi="Times New Roman" w:eastAsia="仿宋_GB2312" w:cs="Times New Roman"/>
          <w:b/>
          <w:color w:val="auto"/>
          <w:kern w:val="0"/>
          <w:sz w:val="28"/>
          <w:szCs w:val="28"/>
          <w:lang w:eastAsia="zh-CN"/>
        </w:rPr>
      </w:pPr>
    </w:p>
    <w:p>
      <w:pPr>
        <w:spacing w:line="360" w:lineRule="auto"/>
        <w:rPr>
          <w:rFonts w:hint="default" w:ascii="Times New Roman" w:hAnsi="Times New Roman" w:eastAsia="仿宋_GB2312" w:cs="Times New Roman"/>
          <w:b/>
          <w:color w:val="auto"/>
          <w:kern w:val="0"/>
          <w:sz w:val="28"/>
          <w:szCs w:val="28"/>
          <w:lang w:eastAsia="zh-CN"/>
        </w:rPr>
      </w:pPr>
    </w:p>
    <w:p>
      <w:pPr>
        <w:spacing w:line="360" w:lineRule="auto"/>
        <w:rPr>
          <w:rFonts w:hint="default" w:ascii="Times New Roman" w:hAnsi="Times New Roman" w:eastAsia="仿宋_GB2312" w:cs="Times New Roman"/>
          <w:b/>
          <w:color w:val="auto"/>
          <w:kern w:val="0"/>
          <w:sz w:val="28"/>
          <w:szCs w:val="28"/>
          <w:lang w:eastAsia="zh-CN"/>
        </w:rPr>
      </w:pPr>
    </w:p>
    <w:p>
      <w:pPr>
        <w:spacing w:line="360" w:lineRule="auto"/>
        <w:rPr>
          <w:rFonts w:hint="default" w:ascii="Times New Roman" w:hAnsi="Times New Roman" w:eastAsia="仿宋_GB2312" w:cs="Times New Roman"/>
          <w:b/>
          <w:color w:val="auto"/>
          <w:kern w:val="0"/>
          <w:sz w:val="28"/>
          <w:szCs w:val="28"/>
          <w:lang w:eastAsia="zh-CN"/>
        </w:rPr>
      </w:pPr>
    </w:p>
    <w:p>
      <w:pPr>
        <w:spacing w:line="360" w:lineRule="auto"/>
        <w:rPr>
          <w:rFonts w:hint="default" w:ascii="Times New Roman" w:hAnsi="Times New Roman" w:eastAsia="仿宋_GB2312" w:cs="Times New Roman"/>
          <w:b/>
          <w:color w:val="auto"/>
          <w:kern w:val="0"/>
          <w:sz w:val="28"/>
          <w:szCs w:val="28"/>
          <w:lang w:eastAsia="zh-CN"/>
        </w:rPr>
      </w:pPr>
    </w:p>
    <w:p>
      <w:pPr>
        <w:spacing w:line="360" w:lineRule="auto"/>
        <w:rPr>
          <w:rFonts w:hint="default" w:ascii="Times New Roman" w:hAnsi="Times New Roman" w:eastAsia="仿宋_GB2312" w:cs="Times New Roman"/>
          <w:b/>
          <w:color w:val="auto"/>
          <w:kern w:val="0"/>
          <w:sz w:val="28"/>
          <w:szCs w:val="28"/>
          <w:lang w:eastAsia="zh-CN"/>
        </w:rPr>
      </w:pPr>
    </w:p>
    <w:p>
      <w:pPr>
        <w:spacing w:line="360" w:lineRule="auto"/>
        <w:rPr>
          <w:rFonts w:hint="default" w:ascii="Times New Roman" w:hAnsi="Times New Roman" w:eastAsia="仿宋_GB2312" w:cs="Times New Roman"/>
          <w:b/>
          <w:color w:val="auto"/>
          <w:kern w:val="0"/>
          <w:sz w:val="28"/>
          <w:szCs w:val="28"/>
          <w:lang w:eastAsia="zh-CN"/>
        </w:rPr>
      </w:pPr>
    </w:p>
    <w:p>
      <w:pPr>
        <w:spacing w:line="360" w:lineRule="auto"/>
        <w:rPr>
          <w:rFonts w:hint="default" w:ascii="Times New Roman" w:hAnsi="Times New Roman" w:eastAsia="仿宋_GB2312" w:cs="Times New Roman"/>
          <w:b/>
          <w:color w:val="auto"/>
          <w:kern w:val="0"/>
          <w:sz w:val="28"/>
          <w:szCs w:val="28"/>
          <w:lang w:eastAsia="zh-CN"/>
        </w:rPr>
      </w:pPr>
    </w:p>
    <w:p>
      <w:pPr>
        <w:spacing w:line="360" w:lineRule="auto"/>
        <w:rPr>
          <w:rFonts w:hint="default" w:ascii="Times New Roman" w:hAnsi="Times New Roman" w:eastAsia="仿宋_GB2312" w:cs="Times New Roman"/>
          <w:b/>
          <w:color w:val="auto"/>
          <w:kern w:val="0"/>
          <w:sz w:val="28"/>
          <w:szCs w:val="28"/>
          <w:lang w:eastAsia="zh-CN"/>
        </w:rPr>
      </w:pPr>
    </w:p>
    <w:p>
      <w:pPr>
        <w:spacing w:line="360" w:lineRule="auto"/>
        <w:rPr>
          <w:rFonts w:hint="default" w:ascii="Times New Roman" w:hAnsi="Times New Roman" w:eastAsia="仿宋_GB2312" w:cs="Times New Roman"/>
          <w:b/>
          <w:color w:val="auto"/>
          <w:kern w:val="0"/>
          <w:sz w:val="28"/>
          <w:szCs w:val="28"/>
          <w:lang w:eastAsia="zh-CN"/>
        </w:rPr>
      </w:pPr>
    </w:p>
    <w:p>
      <w:pPr>
        <w:spacing w:line="360" w:lineRule="auto"/>
        <w:rPr>
          <w:rFonts w:hint="default" w:ascii="Times New Roman" w:hAnsi="Times New Roman" w:eastAsia="仿宋_GB2312" w:cs="Times New Roman"/>
          <w:b/>
          <w:color w:val="auto"/>
          <w:kern w:val="0"/>
          <w:sz w:val="28"/>
          <w:szCs w:val="28"/>
          <w:lang w:eastAsia="zh-CN"/>
        </w:rPr>
      </w:pPr>
      <w:r>
        <w:rPr>
          <w:rFonts w:hint="default" w:ascii="Times New Roman" w:hAnsi="Times New Roman" w:eastAsia="仿宋_GB2312" w:cs="Times New Roman"/>
          <w:b/>
          <w:color w:val="auto"/>
          <w:kern w:val="0"/>
          <w:sz w:val="28"/>
          <w:szCs w:val="28"/>
          <w:lang w:eastAsia="zh-CN"/>
        </w:rPr>
        <w:t>六、合同</w:t>
      </w:r>
      <w:r>
        <w:rPr>
          <w:rFonts w:hint="default" w:ascii="Times New Roman" w:hAnsi="Times New Roman" w:eastAsia="仿宋_GB2312" w:cs="Times New Roman"/>
          <w:b/>
          <w:color w:val="auto"/>
          <w:kern w:val="0"/>
          <w:sz w:val="28"/>
          <w:szCs w:val="28"/>
          <w:lang w:val="en-US" w:eastAsia="zh-CN"/>
        </w:rPr>
        <w:t>主要</w:t>
      </w:r>
      <w:r>
        <w:rPr>
          <w:rFonts w:hint="default" w:ascii="Times New Roman" w:hAnsi="Times New Roman" w:eastAsia="仿宋_GB2312" w:cs="Times New Roman"/>
          <w:b/>
          <w:color w:val="auto"/>
          <w:kern w:val="0"/>
          <w:sz w:val="28"/>
          <w:szCs w:val="28"/>
          <w:lang w:eastAsia="zh-CN"/>
        </w:rPr>
        <w:t>条款</w:t>
      </w:r>
      <w:r>
        <w:rPr>
          <w:rFonts w:hint="eastAsia" w:eastAsia="仿宋_GB2312" w:cs="Times New Roman"/>
          <w:b/>
          <w:color w:val="auto"/>
          <w:kern w:val="0"/>
          <w:sz w:val="28"/>
          <w:szCs w:val="28"/>
          <w:lang w:eastAsia="zh-CN"/>
        </w:rPr>
        <w:t>（</w:t>
      </w:r>
      <w:r>
        <w:rPr>
          <w:rFonts w:hint="eastAsia" w:eastAsia="仿宋_GB2312" w:cs="Times New Roman"/>
          <w:b/>
          <w:color w:val="auto"/>
          <w:kern w:val="0"/>
          <w:sz w:val="28"/>
          <w:szCs w:val="28"/>
          <w:lang w:val="en-US" w:eastAsia="zh-CN"/>
        </w:rPr>
        <w:t>最终以法务审核意见为准</w:t>
      </w:r>
      <w:r>
        <w:rPr>
          <w:rFonts w:hint="eastAsia" w:eastAsia="仿宋_GB2312" w:cs="Times New Roman"/>
          <w:b/>
          <w:color w:val="auto"/>
          <w:kern w:val="0"/>
          <w:sz w:val="28"/>
          <w:szCs w:val="28"/>
          <w:lang w:eastAsia="zh-CN"/>
        </w:rPr>
        <w:t>）</w:t>
      </w:r>
    </w:p>
    <w:p>
      <w:pPr>
        <w:tabs>
          <w:tab w:val="left" w:pos="880"/>
          <w:tab w:val="left" w:pos="1695"/>
          <w:tab w:val="left" w:pos="3370"/>
          <w:tab w:val="left" w:pos="5555"/>
        </w:tabs>
        <w:adjustRightInd w:val="0"/>
        <w:snapToGrid w:val="0"/>
        <w:spacing w:line="360" w:lineRule="auto"/>
        <w:ind w:left="-7" w:firstLine="447"/>
        <w:rPr>
          <w:rFonts w:hint="eastAsia" w:ascii="宋体" w:hAnsi="宋体" w:eastAsia="宋体" w:cs="宋体"/>
          <w:color w:val="auto"/>
          <w:sz w:val="28"/>
          <w:szCs w:val="28"/>
          <w:highlight w:val="none"/>
        </w:rPr>
      </w:pPr>
    </w:p>
    <w:p>
      <w:pPr>
        <w:keepNext w:val="0"/>
        <w:keepLines w:val="0"/>
        <w:pageBreakBefore w:val="0"/>
        <w:widowControl/>
        <w:tabs>
          <w:tab w:val="left" w:pos="880"/>
        </w:tabs>
        <w:kinsoku/>
        <w:wordWrap/>
        <w:overflowPunct/>
        <w:bidi w:val="0"/>
        <w:spacing w:line="360" w:lineRule="auto"/>
        <w:ind w:left="105" w:leftChars="50" w:right="283" w:rightChars="0" w:firstLine="447"/>
        <w:jc w:val="center"/>
        <w:textAlignment w:val="auto"/>
        <w:outlineLvl w:val="1"/>
        <w:rPr>
          <w:rFonts w:hint="eastAsia" w:ascii="宋体" w:hAnsi="宋体" w:eastAsia="宋体" w:cs="宋体"/>
          <w:color w:val="auto"/>
          <w:sz w:val="24"/>
          <w:szCs w:val="24"/>
          <w:highlight w:val="none"/>
        </w:rPr>
      </w:pPr>
      <w:bookmarkStart w:id="0" w:name="_Toc11716"/>
      <w:bookmarkStart w:id="1" w:name="_Toc30835"/>
      <w:r>
        <w:rPr>
          <w:rFonts w:hint="eastAsia" w:cs="宋体"/>
          <w:b/>
          <w:bCs/>
          <w:color w:val="auto"/>
          <w:sz w:val="24"/>
          <w:szCs w:val="24"/>
          <w:highlight w:val="none"/>
          <w:lang w:val="en-US" w:eastAsia="zh-CN"/>
        </w:rPr>
        <w:t>陈庹路公交站场</w:t>
      </w:r>
      <w:r>
        <w:rPr>
          <w:rFonts w:hint="eastAsia" w:ascii="宋体" w:hAnsi="宋体" w:eastAsia="宋体" w:cs="宋体"/>
          <w:b/>
          <w:bCs/>
          <w:color w:val="auto"/>
          <w:sz w:val="24"/>
          <w:szCs w:val="24"/>
          <w:highlight w:val="none"/>
        </w:rPr>
        <w:t>电梯采购及安装工程合同协议书</w:t>
      </w:r>
      <w:bookmarkEnd w:id="0"/>
      <w:bookmarkEnd w:id="1"/>
    </w:p>
    <w:p>
      <w:pPr>
        <w:keepNext w:val="0"/>
        <w:keepLines w:val="0"/>
        <w:pageBreakBefore w:val="0"/>
        <w:tabs>
          <w:tab w:val="left" w:pos="880"/>
          <w:tab w:val="left" w:pos="2430"/>
          <w:tab w:val="left" w:pos="3240"/>
        </w:tabs>
        <w:kinsoku/>
        <w:wordWrap/>
        <w:overflowPunct/>
        <w:topLinePunct/>
        <w:bidi w:val="0"/>
        <w:adjustRightInd w:val="0"/>
        <w:spacing w:line="360" w:lineRule="auto"/>
        <w:ind w:left="105" w:leftChars="50" w:right="283" w:rightChars="0" w:firstLine="447"/>
        <w:textAlignment w:val="auto"/>
        <w:rPr>
          <w:rFonts w:hint="eastAsia" w:ascii="宋体" w:hAnsi="宋体" w:eastAsia="宋体" w:cs="宋体"/>
          <w:color w:val="auto"/>
          <w:sz w:val="20"/>
          <w:szCs w:val="20"/>
          <w:highlight w:val="none"/>
          <w:u w:val="single"/>
        </w:rPr>
      </w:pPr>
      <w:r>
        <w:rPr>
          <w:rFonts w:hint="eastAsia" w:ascii="宋体" w:hAnsi="宋体" w:eastAsia="宋体" w:cs="宋体"/>
          <w:color w:val="auto"/>
          <w:sz w:val="20"/>
          <w:szCs w:val="20"/>
          <w:highlight w:val="none"/>
        </w:rPr>
        <w:t>买方：</w:t>
      </w:r>
      <w:r>
        <w:rPr>
          <w:rFonts w:hint="eastAsia" w:ascii="宋体" w:hAnsi="宋体" w:eastAsia="宋体" w:cs="宋体"/>
          <w:color w:val="auto"/>
          <w:sz w:val="20"/>
          <w:szCs w:val="20"/>
          <w:highlight w:val="none"/>
          <w:u w:val="single"/>
        </w:rPr>
        <w:t>（以下简称甲方）</w:t>
      </w:r>
    </w:p>
    <w:p>
      <w:pPr>
        <w:keepNext w:val="0"/>
        <w:keepLines w:val="0"/>
        <w:pageBreakBefore w:val="0"/>
        <w:tabs>
          <w:tab w:val="left" w:pos="880"/>
        </w:tabs>
        <w:kinsoku/>
        <w:wordWrap/>
        <w:overflowPunct/>
        <w:bidi w:val="0"/>
        <w:spacing w:line="360" w:lineRule="auto"/>
        <w:ind w:left="105" w:leftChars="50" w:right="283" w:rightChars="0" w:firstLine="447"/>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卖方：</w:t>
      </w:r>
      <w:r>
        <w:rPr>
          <w:rFonts w:hint="eastAsia" w:ascii="宋体" w:hAnsi="宋体" w:eastAsia="宋体" w:cs="宋体"/>
          <w:color w:val="auto"/>
          <w:sz w:val="20"/>
          <w:szCs w:val="20"/>
          <w:highlight w:val="none"/>
          <w:u w:val="single"/>
        </w:rPr>
        <w:t>（以下简称乙方）</w:t>
      </w:r>
    </w:p>
    <w:p>
      <w:pPr>
        <w:keepNext w:val="0"/>
        <w:keepLines w:val="0"/>
        <w:pageBreakBefore w:val="0"/>
        <w:tabs>
          <w:tab w:val="left" w:pos="880"/>
        </w:tabs>
        <w:kinsoku/>
        <w:wordWrap/>
        <w:overflowPunct/>
        <w:bidi w:val="0"/>
        <w:snapToGrid w:val="0"/>
        <w:spacing w:line="360" w:lineRule="auto"/>
        <w:ind w:left="105" w:leftChars="50" w:right="283" w:rightChars="0" w:firstLine="447"/>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根据《中华人民共和国合同法》及国家有关规定,经甲乙双方友好协商，达成如下协议：</w:t>
      </w:r>
    </w:p>
    <w:p>
      <w:pPr>
        <w:keepNext w:val="0"/>
        <w:keepLines w:val="0"/>
        <w:pageBreakBefore w:val="0"/>
        <w:tabs>
          <w:tab w:val="left" w:pos="880"/>
        </w:tabs>
        <w:kinsoku/>
        <w:wordWrap/>
        <w:overflowPunct/>
        <w:bidi w:val="0"/>
        <w:snapToGrid w:val="0"/>
        <w:spacing w:line="360" w:lineRule="auto"/>
        <w:ind w:left="105" w:leftChars="50" w:right="283" w:rightChars="0" w:firstLine="447"/>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1.本合同双方须遵守国家颁布的《合同法》，并各自履行应负的全部责任和义务。</w:t>
      </w:r>
    </w:p>
    <w:p>
      <w:pPr>
        <w:keepNext w:val="0"/>
        <w:keepLines w:val="0"/>
        <w:pageBreakBefore w:val="0"/>
        <w:tabs>
          <w:tab w:val="left" w:pos="880"/>
        </w:tabs>
        <w:kinsoku/>
        <w:wordWrap/>
        <w:overflowPunct/>
        <w:bidi w:val="0"/>
        <w:snapToGrid w:val="0"/>
        <w:spacing w:line="360" w:lineRule="auto"/>
        <w:ind w:left="105" w:leftChars="50" w:right="283" w:rightChars="0" w:firstLine="447"/>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2.下列文件将成为本合同不可分割的组成部分：</w:t>
      </w:r>
    </w:p>
    <w:p>
      <w:pPr>
        <w:keepNext w:val="0"/>
        <w:keepLines w:val="0"/>
        <w:pageBreakBefore w:val="0"/>
        <w:tabs>
          <w:tab w:val="left" w:pos="880"/>
        </w:tabs>
        <w:kinsoku/>
        <w:wordWrap/>
        <w:overflowPunct/>
        <w:bidi w:val="0"/>
        <w:snapToGrid w:val="0"/>
        <w:spacing w:line="360" w:lineRule="auto"/>
        <w:ind w:left="105" w:leftChars="50" w:right="283" w:rightChars="0" w:firstLine="447"/>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（1）协议书（包括在商洽本合同时，买卖双方澄清、确认并共同签字的补充文件）；</w:t>
      </w:r>
    </w:p>
    <w:p>
      <w:pPr>
        <w:keepNext w:val="0"/>
        <w:keepLines w:val="0"/>
        <w:pageBreakBefore w:val="0"/>
        <w:tabs>
          <w:tab w:val="left" w:pos="880"/>
        </w:tabs>
        <w:kinsoku/>
        <w:wordWrap/>
        <w:overflowPunct/>
        <w:bidi w:val="0"/>
        <w:snapToGrid w:val="0"/>
        <w:spacing w:line="360" w:lineRule="auto"/>
        <w:ind w:left="105" w:leftChars="50" w:right="283" w:rightChars="0" w:firstLine="447"/>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（2）中标通知书</w:t>
      </w:r>
    </w:p>
    <w:p>
      <w:pPr>
        <w:keepNext w:val="0"/>
        <w:keepLines w:val="0"/>
        <w:pageBreakBefore w:val="0"/>
        <w:tabs>
          <w:tab w:val="left" w:pos="880"/>
        </w:tabs>
        <w:kinsoku/>
        <w:wordWrap/>
        <w:overflowPunct/>
        <w:bidi w:val="0"/>
        <w:snapToGrid w:val="0"/>
        <w:spacing w:line="360" w:lineRule="auto"/>
        <w:ind w:left="105" w:leftChars="50" w:right="283" w:rightChars="0" w:firstLine="447"/>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（3）电梯设备采购合同</w:t>
      </w:r>
    </w:p>
    <w:p>
      <w:pPr>
        <w:keepNext w:val="0"/>
        <w:keepLines w:val="0"/>
        <w:pageBreakBefore w:val="0"/>
        <w:tabs>
          <w:tab w:val="left" w:pos="880"/>
        </w:tabs>
        <w:kinsoku/>
        <w:wordWrap/>
        <w:overflowPunct/>
        <w:bidi w:val="0"/>
        <w:snapToGrid w:val="0"/>
        <w:spacing w:line="360" w:lineRule="auto"/>
        <w:ind w:left="105" w:leftChars="50" w:right="283" w:rightChars="0" w:firstLine="447"/>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（4）电梯设备安装协议</w:t>
      </w:r>
    </w:p>
    <w:p>
      <w:pPr>
        <w:keepNext w:val="0"/>
        <w:keepLines w:val="0"/>
        <w:pageBreakBefore w:val="0"/>
        <w:tabs>
          <w:tab w:val="left" w:pos="880"/>
        </w:tabs>
        <w:kinsoku/>
        <w:wordWrap/>
        <w:overflowPunct/>
        <w:bidi w:val="0"/>
        <w:snapToGrid w:val="0"/>
        <w:spacing w:line="360" w:lineRule="auto"/>
        <w:ind w:left="105" w:leftChars="50" w:right="283" w:rightChars="0" w:firstLine="447"/>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（5）电梯免费维修保养协议</w:t>
      </w:r>
    </w:p>
    <w:p>
      <w:pPr>
        <w:keepNext w:val="0"/>
        <w:keepLines w:val="0"/>
        <w:pageBreakBefore w:val="0"/>
        <w:tabs>
          <w:tab w:val="left" w:pos="880"/>
        </w:tabs>
        <w:kinsoku/>
        <w:wordWrap/>
        <w:overflowPunct/>
        <w:bidi w:val="0"/>
        <w:snapToGrid w:val="0"/>
        <w:spacing w:line="360" w:lineRule="auto"/>
        <w:ind w:left="105" w:leftChars="50" w:right="283" w:rightChars="0" w:firstLine="447"/>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（6）廉政协议</w:t>
      </w:r>
    </w:p>
    <w:p>
      <w:pPr>
        <w:keepNext w:val="0"/>
        <w:keepLines w:val="0"/>
        <w:pageBreakBefore w:val="0"/>
        <w:tabs>
          <w:tab w:val="left" w:pos="880"/>
        </w:tabs>
        <w:kinsoku/>
        <w:wordWrap/>
        <w:overflowPunct/>
        <w:bidi w:val="0"/>
        <w:snapToGrid w:val="0"/>
        <w:spacing w:line="360" w:lineRule="auto"/>
        <w:ind w:left="105" w:leftChars="50" w:right="283" w:rightChars="0" w:firstLine="447"/>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（7）招标文件及在招标期间发布的所有补充文件</w:t>
      </w:r>
    </w:p>
    <w:p>
      <w:pPr>
        <w:keepNext w:val="0"/>
        <w:keepLines w:val="0"/>
        <w:pageBreakBefore w:val="0"/>
        <w:tabs>
          <w:tab w:val="left" w:pos="880"/>
        </w:tabs>
        <w:kinsoku/>
        <w:wordWrap/>
        <w:overflowPunct/>
        <w:bidi w:val="0"/>
        <w:snapToGrid w:val="0"/>
        <w:spacing w:line="360" w:lineRule="auto"/>
        <w:ind w:left="105" w:leftChars="50" w:right="283" w:rightChars="0" w:firstLine="447"/>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（8）投标文件（随同投标文件一起递送的资料及附图（如有））</w:t>
      </w:r>
    </w:p>
    <w:p>
      <w:pPr>
        <w:keepNext w:val="0"/>
        <w:keepLines w:val="0"/>
        <w:pageBreakBefore w:val="0"/>
        <w:tabs>
          <w:tab w:val="left" w:pos="880"/>
        </w:tabs>
        <w:kinsoku/>
        <w:wordWrap/>
        <w:overflowPunct/>
        <w:bidi w:val="0"/>
        <w:snapToGrid w:val="0"/>
        <w:spacing w:line="360" w:lineRule="auto"/>
        <w:ind w:left="105" w:leftChars="50" w:right="283" w:rightChars="0" w:firstLine="447"/>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（9）工程技术要求、标准、规范及图纸</w:t>
      </w:r>
    </w:p>
    <w:p>
      <w:pPr>
        <w:keepNext w:val="0"/>
        <w:keepLines w:val="0"/>
        <w:pageBreakBefore w:val="0"/>
        <w:tabs>
          <w:tab w:val="left" w:pos="880"/>
        </w:tabs>
        <w:kinsoku/>
        <w:wordWrap/>
        <w:overflowPunct/>
        <w:bidi w:val="0"/>
        <w:snapToGrid w:val="0"/>
        <w:spacing w:line="360" w:lineRule="auto"/>
        <w:ind w:left="105" w:leftChars="50" w:right="283" w:rightChars="0" w:firstLine="447"/>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（10）附件</w:t>
      </w:r>
    </w:p>
    <w:p>
      <w:pPr>
        <w:keepNext w:val="0"/>
        <w:keepLines w:val="0"/>
        <w:pageBreakBefore w:val="0"/>
        <w:tabs>
          <w:tab w:val="left" w:pos="880"/>
        </w:tabs>
        <w:kinsoku/>
        <w:wordWrap/>
        <w:overflowPunct/>
        <w:bidi w:val="0"/>
        <w:snapToGrid w:val="0"/>
        <w:spacing w:line="360" w:lineRule="auto"/>
        <w:ind w:left="105" w:leftChars="50" w:right="283" w:rightChars="0" w:firstLine="447"/>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一旦上述合同文件之间出现了意思含混或矛盾之处，则应按自上而下的优先顺序进行解释。</w:t>
      </w:r>
    </w:p>
    <w:p>
      <w:pPr>
        <w:keepNext w:val="0"/>
        <w:keepLines w:val="0"/>
        <w:pageBreakBefore w:val="0"/>
        <w:tabs>
          <w:tab w:val="left" w:pos="880"/>
        </w:tabs>
        <w:kinsoku/>
        <w:wordWrap/>
        <w:overflowPunct/>
        <w:bidi w:val="0"/>
        <w:snapToGrid w:val="0"/>
        <w:spacing w:line="360" w:lineRule="auto"/>
        <w:ind w:left="105" w:leftChars="50" w:right="283" w:rightChars="0" w:firstLine="447"/>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3.合同范围</w:t>
      </w:r>
    </w:p>
    <w:p>
      <w:pPr>
        <w:keepNext w:val="0"/>
        <w:keepLines w:val="0"/>
        <w:pageBreakBefore w:val="0"/>
        <w:tabs>
          <w:tab w:val="left" w:pos="880"/>
        </w:tabs>
        <w:kinsoku/>
        <w:wordWrap/>
        <w:overflowPunct/>
        <w:bidi w:val="0"/>
        <w:snapToGrid w:val="0"/>
        <w:spacing w:line="360" w:lineRule="auto"/>
        <w:ind w:left="105" w:leftChars="50" w:right="283" w:rightChars="0" w:firstLine="447"/>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本合同范围暂定电梯5台设备</w:t>
      </w:r>
      <w:r>
        <w:rPr>
          <w:rFonts w:hint="eastAsia" w:cs="宋体"/>
          <w:color w:val="auto"/>
          <w:sz w:val="20"/>
          <w:szCs w:val="20"/>
          <w:highlight w:val="none"/>
          <w:lang w:eastAsia="zh-CN"/>
        </w:rPr>
        <w:t>，</w:t>
      </w:r>
      <w:r>
        <w:rPr>
          <w:rFonts w:hint="eastAsia" w:ascii="宋体" w:hAnsi="宋体" w:eastAsia="宋体" w:cs="宋体"/>
          <w:color w:val="auto"/>
          <w:sz w:val="20"/>
          <w:szCs w:val="20"/>
          <w:highlight w:val="none"/>
        </w:rPr>
        <w:t>采购及安装工程中涉及的所有工程内容，包括但不限于设计、制造、设备供货（含备品、备件、专用工器具、装配、出厂前测试和检测、检验、包装、装卸、搬运、运输、保险费)；设备安装（含安装开工申报、设备吊装就位、五方通话安装、轿厢内的视频监控安装、动力配电箱至电扶梯控制箱（柜）的线缆敷设（含管、线\桥架）、安全文明施工、调试、试运行、安装完毕检测申报、取得安装监督检验合格报告及特种设备使用标志、24个月免费质保期内维修、保养及检测、人员操作培训、技术资料提交)；电扶梯外附属项目包括但不限于：</w:t>
      </w:r>
      <w:r>
        <w:rPr>
          <w:rFonts w:hint="eastAsia" w:cs="宋体"/>
          <w:color w:val="auto"/>
          <w:sz w:val="20"/>
          <w:szCs w:val="20"/>
          <w:highlight w:val="none"/>
          <w:lang w:eastAsia="zh-CN"/>
        </w:rPr>
        <w:t>井道及底坑整改（除结构改造外）、</w:t>
      </w:r>
      <w:r>
        <w:rPr>
          <w:rFonts w:hint="eastAsia" w:ascii="宋体" w:hAnsi="宋体" w:eastAsia="宋体" w:cs="宋体"/>
          <w:color w:val="auto"/>
          <w:sz w:val="20"/>
          <w:szCs w:val="20"/>
          <w:highlight w:val="none"/>
        </w:rPr>
        <w:t>井道安全护栏、底坑垃圾、外呼面板及指示板底盒开凿（每层每站）、外呼盒电缆孔洞开凿（每层每站）、自动扶梯外包板、电梯安装完成之后厅门收边收口、现有广场、地下通道成品保护及恢复、配合消防验收、配合智能化工程的相关安装工作等，交付招标人使用的“交钥匙工程”全部内容。具体要求详见电扶梯技术规格书、图纸、施工界面划分表及商务报价条款等。所有</w:t>
      </w:r>
      <w:r>
        <w:rPr>
          <w:rFonts w:hint="eastAsia" w:cs="宋体"/>
          <w:color w:val="auto"/>
          <w:sz w:val="20"/>
          <w:szCs w:val="20"/>
          <w:highlight w:val="none"/>
          <w:lang w:eastAsia="zh-CN"/>
        </w:rPr>
        <w:t>垂直电梯轿厢</w:t>
      </w:r>
      <w:r>
        <w:rPr>
          <w:rFonts w:hint="eastAsia" w:ascii="宋体" w:hAnsi="宋体" w:eastAsia="宋体" w:cs="宋体"/>
          <w:color w:val="auto"/>
          <w:sz w:val="20"/>
          <w:szCs w:val="20"/>
          <w:highlight w:val="none"/>
        </w:rPr>
        <w:t>无需二次精装修，采用厂家标准配置；</w:t>
      </w:r>
    </w:p>
    <w:p>
      <w:pPr>
        <w:keepNext w:val="0"/>
        <w:keepLines w:val="0"/>
        <w:pageBreakBefore w:val="0"/>
        <w:tabs>
          <w:tab w:val="left" w:pos="880"/>
        </w:tabs>
        <w:kinsoku/>
        <w:wordWrap/>
        <w:overflowPunct/>
        <w:bidi w:val="0"/>
        <w:snapToGrid w:val="0"/>
        <w:spacing w:line="360" w:lineRule="auto"/>
        <w:ind w:left="105" w:leftChars="50" w:right="283" w:rightChars="0" w:firstLine="447"/>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4. 本合同采用</w:t>
      </w:r>
      <w:r>
        <w:rPr>
          <w:rFonts w:hint="eastAsia" w:cs="宋体"/>
          <w:color w:val="auto"/>
          <w:sz w:val="20"/>
          <w:szCs w:val="20"/>
          <w:highlight w:val="none"/>
          <w:lang w:val="en-US" w:eastAsia="zh-CN"/>
        </w:rPr>
        <w:t>总价</w:t>
      </w:r>
      <w:r>
        <w:rPr>
          <w:rFonts w:hint="eastAsia" w:ascii="宋体" w:hAnsi="宋体" w:eastAsia="宋体" w:cs="宋体"/>
          <w:color w:val="auto"/>
          <w:sz w:val="20"/>
          <w:szCs w:val="20"/>
          <w:highlight w:val="none"/>
        </w:rPr>
        <w:t>包干（含设备费及安装费）。本工程设备采购合同与安装协议是不可分割的整体，合同总价为人民币（大写）：</w:t>
      </w:r>
      <w:r>
        <w:rPr>
          <w:rFonts w:hint="eastAsia" w:ascii="宋体" w:hAnsi="宋体" w:eastAsia="宋体" w:cs="宋体"/>
          <w:color w:val="auto"/>
          <w:sz w:val="20"/>
          <w:szCs w:val="20"/>
          <w:highlight w:val="none"/>
          <w:u w:val="single"/>
          <w:lang w:val="en-US"/>
        </w:rPr>
        <w:t xml:space="preserve">         </w:t>
      </w:r>
      <w:r>
        <w:rPr>
          <w:rFonts w:hint="eastAsia" w:ascii="宋体" w:hAnsi="宋体" w:eastAsia="宋体" w:cs="宋体"/>
          <w:color w:val="auto"/>
          <w:sz w:val="20"/>
          <w:szCs w:val="20"/>
          <w:highlight w:val="none"/>
        </w:rPr>
        <w:t>元整（￥</w:t>
      </w:r>
      <w:r>
        <w:rPr>
          <w:rFonts w:hint="eastAsia" w:ascii="宋体" w:hAnsi="宋体" w:eastAsia="宋体" w:cs="宋体"/>
          <w:color w:val="auto"/>
          <w:sz w:val="20"/>
          <w:szCs w:val="20"/>
          <w:highlight w:val="none"/>
          <w:u w:val="single"/>
          <w:lang w:val="en-US"/>
        </w:rPr>
        <w:t xml:space="preserve">         </w:t>
      </w:r>
      <w:r>
        <w:rPr>
          <w:rFonts w:hint="eastAsia" w:ascii="宋体" w:hAnsi="宋体" w:eastAsia="宋体" w:cs="宋体"/>
          <w:color w:val="auto"/>
          <w:sz w:val="20"/>
          <w:szCs w:val="20"/>
          <w:highlight w:val="none"/>
        </w:rPr>
        <w:t>元），其中：设备采购合同金额（大写）</w:t>
      </w:r>
      <w:r>
        <w:rPr>
          <w:rFonts w:hint="eastAsia" w:ascii="宋体" w:hAnsi="宋体" w:eastAsia="宋体" w:cs="宋体"/>
          <w:color w:val="auto"/>
          <w:sz w:val="20"/>
          <w:szCs w:val="20"/>
          <w:highlight w:val="none"/>
          <w:u w:val="single"/>
          <w:lang w:val="en-US"/>
        </w:rPr>
        <w:t xml:space="preserve">         </w:t>
      </w:r>
      <w:r>
        <w:rPr>
          <w:rFonts w:hint="eastAsia" w:ascii="宋体" w:hAnsi="宋体" w:eastAsia="宋体" w:cs="宋体"/>
          <w:color w:val="auto"/>
          <w:sz w:val="20"/>
          <w:szCs w:val="20"/>
          <w:highlight w:val="none"/>
        </w:rPr>
        <w:t>元整（￥</w:t>
      </w:r>
      <w:r>
        <w:rPr>
          <w:rFonts w:hint="eastAsia" w:ascii="宋体" w:hAnsi="宋体" w:eastAsia="宋体" w:cs="宋体"/>
          <w:color w:val="auto"/>
          <w:sz w:val="20"/>
          <w:szCs w:val="20"/>
          <w:highlight w:val="none"/>
          <w:u w:val="single"/>
          <w:lang w:val="en-US"/>
        </w:rPr>
        <w:t xml:space="preserve">         </w:t>
      </w:r>
      <w:r>
        <w:rPr>
          <w:rFonts w:hint="eastAsia" w:ascii="宋体" w:hAnsi="宋体" w:eastAsia="宋体" w:cs="宋体"/>
          <w:color w:val="auto"/>
          <w:sz w:val="20"/>
          <w:szCs w:val="20"/>
          <w:highlight w:val="none"/>
        </w:rPr>
        <w:t>元），安装协议合同金额（大写）</w:t>
      </w:r>
      <w:r>
        <w:rPr>
          <w:rFonts w:hint="eastAsia" w:ascii="宋体" w:hAnsi="宋体" w:eastAsia="宋体" w:cs="宋体"/>
          <w:color w:val="auto"/>
          <w:sz w:val="20"/>
          <w:szCs w:val="20"/>
          <w:highlight w:val="none"/>
          <w:u w:val="single"/>
          <w:lang w:val="en-US"/>
        </w:rPr>
        <w:t xml:space="preserve">         </w:t>
      </w:r>
      <w:r>
        <w:rPr>
          <w:rFonts w:hint="eastAsia" w:ascii="宋体" w:hAnsi="宋体" w:eastAsia="宋体" w:cs="宋体"/>
          <w:color w:val="auto"/>
          <w:sz w:val="20"/>
          <w:szCs w:val="20"/>
          <w:highlight w:val="none"/>
        </w:rPr>
        <w:t>元整（￥</w:t>
      </w:r>
      <w:r>
        <w:rPr>
          <w:rFonts w:hint="eastAsia" w:ascii="宋体" w:hAnsi="宋体" w:eastAsia="宋体" w:cs="宋体"/>
          <w:color w:val="auto"/>
          <w:sz w:val="20"/>
          <w:szCs w:val="20"/>
          <w:highlight w:val="none"/>
          <w:u w:val="single"/>
          <w:lang w:val="en-US"/>
        </w:rPr>
        <w:t xml:space="preserve">         </w:t>
      </w:r>
      <w:r>
        <w:rPr>
          <w:rFonts w:hint="eastAsia" w:ascii="宋体" w:hAnsi="宋体" w:eastAsia="宋体" w:cs="宋体"/>
          <w:color w:val="auto"/>
          <w:sz w:val="20"/>
          <w:szCs w:val="20"/>
          <w:highlight w:val="none"/>
        </w:rPr>
        <w:t>元）</w:t>
      </w:r>
      <w:r>
        <w:rPr>
          <w:rFonts w:hint="eastAsia" w:cs="宋体"/>
          <w:color w:val="auto"/>
          <w:sz w:val="20"/>
          <w:szCs w:val="20"/>
          <w:highlight w:val="none"/>
          <w:lang w:eastAsia="zh-CN"/>
        </w:rPr>
        <w:t>。</w:t>
      </w:r>
    </w:p>
    <w:p>
      <w:pPr>
        <w:pStyle w:val="16"/>
        <w:keepNext w:val="0"/>
        <w:keepLines w:val="0"/>
        <w:pageBreakBefore w:val="0"/>
        <w:widowControl/>
        <w:tabs>
          <w:tab w:val="left" w:pos="880"/>
        </w:tabs>
        <w:kinsoku/>
        <w:wordWrap/>
        <w:overflowPunct/>
        <w:bidi w:val="0"/>
        <w:spacing w:line="360" w:lineRule="auto"/>
        <w:ind w:left="105" w:leftChars="50" w:right="283" w:rightChars="0" w:firstLine="447" w:firstLineChars="0"/>
        <w:jc w:val="left"/>
        <w:textAlignment w:val="auto"/>
        <w:rPr>
          <w:rFonts w:hint="eastAsia" w:ascii="宋体" w:hAnsi="宋体" w:eastAsia="宋体" w:cs="宋体"/>
          <w:color w:val="auto"/>
          <w:kern w:val="0"/>
          <w:sz w:val="20"/>
          <w:szCs w:val="20"/>
          <w:highlight w:val="none"/>
        </w:rPr>
      </w:pPr>
      <w:r>
        <w:rPr>
          <w:rFonts w:hint="eastAsia"/>
          <w:color w:val="auto"/>
          <w:sz w:val="20"/>
          <w:szCs w:val="20"/>
          <w:highlight w:val="none"/>
        </w:rPr>
        <w:t>投标价（含设备费及安装费）含电扶梯供货及安装、调试、验收、24个月免费保修期内维修、保养（含零部件更换）及年度检测费、附属项目（即必须符合最新执行的国家规定的相关《电梯的制造与安装安全规范》并交付招标人使用的“交钥匙工程”）的全部费用，包括但不限于：设计费、制造费、材料采购费、备品、备件及专用工器具费、设备预（组）装费、出厂前测试和检测费、检验费、包装费、装卸费、搬运费、运达需方现场的保险及运费、进口部件的关税、专利费、以及设备安装（含安装开工申报、五方通话安装、轿厢内的视频监控安装、动力配电箱至电扶梯控制箱（柜）的线缆敷设（含线、管\桥架）费、调试费、试运行费、安装完毕检测申报、取得安装监督检验合格报告及特种设备使用标志费、验收前的管理、开通使用前每台设备的开荒清洁费、竣工验收、人员操作培训费、技术资料提交、技术服务费、成品保护费、安全文明施工费、企业管理费、利润、保险费、风险费、规费、增值税以及招标范围内所有附属项目（包括但不限于：井道及底坑整改（除结构改造外）、井道安全护栏、底坑垃圾、外呼面板及指示板底65 盒开凿（每层每站）、外呼盒电缆孔洞开凿（每层每站）、自动扶梯外包板、电梯安装完成之后厅门收边收口、现有广场、地下通道成品保护及恢复、配合智能化工程的相关安装工作、配合消防验收（联动）、备案，直至取得运行许可证并交付给招标人使用的相关费用等）</w:t>
      </w:r>
      <w:r>
        <w:rPr>
          <w:rFonts w:hint="eastAsia"/>
          <w:color w:val="auto"/>
          <w:sz w:val="20"/>
          <w:szCs w:val="20"/>
          <w:highlight w:val="none"/>
          <w:lang w:eastAsia="zh-CN"/>
        </w:rPr>
        <w:t>，</w:t>
      </w:r>
      <w:r>
        <w:rPr>
          <w:rFonts w:hint="eastAsia"/>
          <w:color w:val="auto"/>
          <w:sz w:val="20"/>
          <w:szCs w:val="20"/>
          <w:highlight w:val="none"/>
        </w:rPr>
        <w:t>均须包括在投标单台设备单价报价内。</w:t>
      </w:r>
    </w:p>
    <w:p>
      <w:pPr>
        <w:pStyle w:val="16"/>
        <w:keepNext w:val="0"/>
        <w:keepLines w:val="0"/>
        <w:pageBreakBefore w:val="0"/>
        <w:widowControl/>
        <w:tabs>
          <w:tab w:val="left" w:pos="880"/>
        </w:tabs>
        <w:kinsoku/>
        <w:wordWrap/>
        <w:overflowPunct/>
        <w:bidi w:val="0"/>
        <w:spacing w:line="360" w:lineRule="auto"/>
        <w:ind w:left="105" w:leftChars="50" w:right="283" w:rightChars="0" w:firstLine="447" w:firstLineChars="0"/>
        <w:jc w:val="left"/>
        <w:textAlignment w:val="auto"/>
        <w:rPr>
          <w:rFonts w:hint="eastAsia" w:ascii="宋体" w:hAnsi="宋体" w:eastAsia="宋体" w:cs="宋体"/>
          <w:color w:val="auto"/>
          <w:kern w:val="0"/>
          <w:sz w:val="20"/>
          <w:szCs w:val="20"/>
          <w:highlight w:val="none"/>
        </w:rPr>
      </w:pPr>
      <w:r>
        <w:rPr>
          <w:rFonts w:hint="eastAsia" w:ascii="宋体" w:hAnsi="宋体" w:cs="宋体"/>
          <w:color w:val="auto"/>
          <w:kern w:val="0"/>
          <w:sz w:val="20"/>
          <w:szCs w:val="20"/>
          <w:highlight w:val="none"/>
        </w:rPr>
        <w:t>4.1井道测量、预埋件、井道照明及检修所需的开关、插座、管、线、灯全部设备的供应和安装、井道搭架、安全设施费用，以及乙方对甲方提供的电梯井道、机房的相关土建图纸应充分了解、研究，土建若有设计缺陷、缺漏的预埋件和材料等，以及现有井道</w:t>
      </w:r>
      <w:r>
        <w:rPr>
          <w:rFonts w:hint="eastAsia" w:ascii="宋体" w:hAnsi="宋体" w:cs="宋体"/>
          <w:color w:val="auto"/>
          <w:kern w:val="0"/>
          <w:sz w:val="20"/>
          <w:szCs w:val="20"/>
          <w:highlight w:val="none"/>
          <w:lang w:eastAsia="zh-CN"/>
        </w:rPr>
        <w:t>、底坑</w:t>
      </w:r>
      <w:r>
        <w:rPr>
          <w:rFonts w:hint="eastAsia" w:ascii="宋体" w:hAnsi="宋体" w:cs="宋体"/>
          <w:color w:val="auto"/>
          <w:kern w:val="0"/>
          <w:sz w:val="20"/>
          <w:szCs w:val="20"/>
          <w:highlight w:val="none"/>
        </w:rPr>
        <w:t>土建尺寸不满足安装要求，无预留孔洞的整改</w:t>
      </w:r>
      <w:r>
        <w:rPr>
          <w:rFonts w:hint="eastAsia" w:ascii="宋体" w:hAnsi="宋体" w:cs="宋体"/>
          <w:color w:val="auto"/>
          <w:kern w:val="0"/>
          <w:sz w:val="20"/>
          <w:szCs w:val="20"/>
          <w:highlight w:val="none"/>
          <w:lang w:eastAsia="zh-CN"/>
        </w:rPr>
        <w:t>（除结构改造外）</w:t>
      </w:r>
      <w:r>
        <w:rPr>
          <w:rFonts w:hint="eastAsia" w:ascii="宋体" w:hAnsi="宋体" w:cs="宋体"/>
          <w:color w:val="auto"/>
          <w:kern w:val="0"/>
          <w:sz w:val="20"/>
          <w:szCs w:val="20"/>
          <w:highlight w:val="none"/>
        </w:rPr>
        <w:t>均由乙方统筹考虑完善，所需费用计入单台设备单价报价中，包干使用，合同另有约定除外。</w:t>
      </w:r>
    </w:p>
    <w:p>
      <w:pPr>
        <w:pStyle w:val="16"/>
        <w:keepNext w:val="0"/>
        <w:keepLines w:val="0"/>
        <w:pageBreakBefore w:val="0"/>
        <w:widowControl/>
        <w:tabs>
          <w:tab w:val="left" w:pos="880"/>
        </w:tabs>
        <w:kinsoku/>
        <w:wordWrap/>
        <w:overflowPunct/>
        <w:bidi w:val="0"/>
        <w:spacing w:line="360" w:lineRule="auto"/>
        <w:ind w:left="105" w:leftChars="50" w:right="283" w:rightChars="0" w:firstLine="447" w:firstLineChars="0"/>
        <w:jc w:val="left"/>
        <w:textAlignment w:val="auto"/>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4.2甲方提供的井道尺寸若有超高、超宽需增加的支架和轨道等材料费用已包含在单台设备单价报价中。</w:t>
      </w:r>
    </w:p>
    <w:p>
      <w:pPr>
        <w:pStyle w:val="16"/>
        <w:keepNext w:val="0"/>
        <w:keepLines w:val="0"/>
        <w:pageBreakBefore w:val="0"/>
        <w:widowControl/>
        <w:tabs>
          <w:tab w:val="left" w:pos="880"/>
        </w:tabs>
        <w:kinsoku/>
        <w:wordWrap/>
        <w:overflowPunct/>
        <w:bidi w:val="0"/>
        <w:spacing w:line="360" w:lineRule="auto"/>
        <w:ind w:left="105" w:leftChars="50" w:right="283" w:rightChars="0" w:firstLine="447" w:firstLineChars="0"/>
        <w:jc w:val="left"/>
        <w:textAlignment w:val="auto"/>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4.3安装调试完毕后，因实际装修标高发生变化时，需重新调整厅门地嵌高度，由此产生的调试费用已包含在单台设备单价报价中。</w:t>
      </w:r>
    </w:p>
    <w:p>
      <w:pPr>
        <w:pStyle w:val="16"/>
        <w:keepNext w:val="0"/>
        <w:keepLines w:val="0"/>
        <w:pageBreakBefore w:val="0"/>
        <w:widowControl/>
        <w:tabs>
          <w:tab w:val="left" w:pos="880"/>
        </w:tabs>
        <w:kinsoku/>
        <w:wordWrap/>
        <w:overflowPunct/>
        <w:bidi w:val="0"/>
        <w:spacing w:line="360" w:lineRule="auto"/>
        <w:ind w:left="105" w:leftChars="50" w:right="283" w:rightChars="0" w:firstLine="447" w:firstLineChars="0"/>
        <w:jc w:val="left"/>
        <w:textAlignment w:val="auto"/>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4.</w:t>
      </w:r>
      <w:r>
        <w:rPr>
          <w:rFonts w:hint="eastAsia" w:ascii="宋体" w:hAnsi="宋体" w:cs="宋体"/>
          <w:color w:val="auto"/>
          <w:kern w:val="0"/>
          <w:sz w:val="20"/>
          <w:szCs w:val="20"/>
          <w:highlight w:val="none"/>
          <w:lang w:val="en-US" w:eastAsia="zh-CN"/>
        </w:rPr>
        <w:t>4</w:t>
      </w:r>
      <w:r>
        <w:rPr>
          <w:rFonts w:hint="eastAsia" w:ascii="宋体" w:hAnsi="宋体" w:eastAsia="宋体" w:cs="宋体"/>
          <w:color w:val="auto"/>
          <w:kern w:val="0"/>
          <w:sz w:val="20"/>
          <w:szCs w:val="20"/>
          <w:highlight w:val="none"/>
        </w:rPr>
        <w:t>电梯施工是在改造、装修、安装等工程（包括但不限于此三项工程）同时并行施工，乙方已仔细踏勘现场，结合实际，确保施工质量、施工进度和施工安全，已充分考虑并行工程施工工序的配合工作等，其配合费已包含在单台设备单价报价中。</w:t>
      </w:r>
    </w:p>
    <w:p>
      <w:pPr>
        <w:pStyle w:val="16"/>
        <w:keepNext w:val="0"/>
        <w:keepLines w:val="0"/>
        <w:pageBreakBefore w:val="0"/>
        <w:widowControl/>
        <w:tabs>
          <w:tab w:val="left" w:pos="880"/>
        </w:tabs>
        <w:kinsoku/>
        <w:wordWrap/>
        <w:overflowPunct/>
        <w:bidi w:val="0"/>
        <w:spacing w:line="360" w:lineRule="auto"/>
        <w:ind w:left="105" w:leftChars="50" w:right="283" w:rightChars="0" w:firstLine="447" w:firstLineChars="0"/>
        <w:jc w:val="left"/>
        <w:textAlignment w:val="auto"/>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4.</w:t>
      </w:r>
      <w:r>
        <w:rPr>
          <w:rFonts w:hint="eastAsia" w:ascii="宋体" w:hAnsi="宋体" w:cs="宋体"/>
          <w:color w:val="auto"/>
          <w:kern w:val="0"/>
          <w:sz w:val="20"/>
          <w:szCs w:val="20"/>
          <w:highlight w:val="none"/>
          <w:lang w:val="en-US" w:eastAsia="zh-CN"/>
        </w:rPr>
        <w:t>5</w:t>
      </w:r>
      <w:r>
        <w:rPr>
          <w:rFonts w:hint="eastAsia" w:ascii="宋体" w:hAnsi="宋体" w:eastAsia="宋体" w:cs="宋体"/>
          <w:color w:val="auto"/>
          <w:kern w:val="0"/>
          <w:sz w:val="20"/>
          <w:szCs w:val="20"/>
          <w:highlight w:val="none"/>
        </w:rPr>
        <w:t>乙方在本工程中采取的施工措施包括但不限于（含踏勘现场后根据现场实际情况考虑需采取的吊装就位措施、</w:t>
      </w:r>
      <w:r>
        <w:rPr>
          <w:rFonts w:hint="eastAsia" w:ascii="宋体" w:hAnsi="宋体" w:eastAsia="宋体" w:cs="宋体"/>
          <w:color w:val="auto"/>
          <w:kern w:val="0"/>
          <w:sz w:val="20"/>
          <w:szCs w:val="22"/>
          <w:highlight w:val="none"/>
        </w:rPr>
        <w:t>场外以及枢纽既有建筑内的二次、多次转运措施</w:t>
      </w:r>
      <w:r>
        <w:rPr>
          <w:rFonts w:hint="eastAsia" w:ascii="宋体" w:hAnsi="宋体" w:eastAsia="宋体" w:cs="宋体"/>
          <w:color w:val="auto"/>
          <w:kern w:val="0"/>
          <w:sz w:val="20"/>
          <w:szCs w:val="20"/>
          <w:highlight w:val="none"/>
        </w:rPr>
        <w:t>）、工作平台、水平及垂直运输、施工临时用水用电、临时设施、设备运至施工现场，因工程进度影响不能及时安装，由招标人指定场地，由投标人自行保管产生的现场保管仓储费用、环保、设计联络、成品及半成品的保护、为保证交货期而采取的赶工措施费、工完场清的垃圾外运费、免费保修期服务费、本系统配合联合调试的相关工作项目、满足运营要求的设备标志标牌文件及图纸资料等所有费用均应包含在单台设备单价报价中，中标后不作调整。</w:t>
      </w:r>
    </w:p>
    <w:p>
      <w:pPr>
        <w:pStyle w:val="16"/>
        <w:keepNext w:val="0"/>
        <w:keepLines w:val="0"/>
        <w:pageBreakBefore w:val="0"/>
        <w:widowControl/>
        <w:tabs>
          <w:tab w:val="left" w:pos="880"/>
        </w:tabs>
        <w:kinsoku/>
        <w:wordWrap/>
        <w:overflowPunct/>
        <w:bidi w:val="0"/>
        <w:spacing w:line="360" w:lineRule="auto"/>
        <w:ind w:left="105" w:leftChars="50" w:right="283" w:rightChars="0" w:firstLine="447" w:firstLineChars="0"/>
        <w:jc w:val="left"/>
        <w:textAlignment w:val="auto"/>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5. 合同交货期：</w:t>
      </w:r>
    </w:p>
    <w:p>
      <w:pPr>
        <w:pStyle w:val="8"/>
        <w:keepNext w:val="0"/>
        <w:keepLines w:val="0"/>
        <w:pageBreakBefore w:val="0"/>
        <w:tabs>
          <w:tab w:val="left" w:pos="880"/>
        </w:tabs>
        <w:kinsoku/>
        <w:wordWrap/>
        <w:overflowPunct/>
        <w:bidi w:val="0"/>
        <w:adjustRightInd w:val="0"/>
        <w:snapToGrid w:val="0"/>
        <w:spacing w:line="360" w:lineRule="auto"/>
        <w:ind w:left="105" w:leftChars="50" w:right="283" w:rightChars="0" w:firstLine="447"/>
        <w:textAlignment w:val="auto"/>
        <w:rPr>
          <w:rFonts w:hint="eastAsia" w:ascii="宋体" w:hAnsi="宋体" w:eastAsia="宋体" w:cs="宋体"/>
          <w:color w:val="auto"/>
          <w:kern w:val="0"/>
          <w:sz w:val="20"/>
          <w:szCs w:val="20"/>
          <w:highlight w:val="none"/>
        </w:rPr>
      </w:pPr>
      <w:r>
        <w:rPr>
          <w:rFonts w:hint="eastAsia" w:hAnsi="宋体" w:cs="宋体"/>
          <w:color w:val="auto"/>
          <w:sz w:val="20"/>
          <w:szCs w:val="20"/>
          <w:highlight w:val="none"/>
          <w:lang w:val="en-US" w:eastAsia="zh-CN"/>
        </w:rPr>
        <w:t>本次</w:t>
      </w:r>
      <w:r>
        <w:rPr>
          <w:rFonts w:hint="eastAsia" w:ascii="宋体" w:hAnsi="宋体" w:eastAsia="宋体" w:cs="宋体"/>
          <w:color w:val="auto"/>
          <w:sz w:val="20"/>
          <w:szCs w:val="20"/>
          <w:highlight w:val="none"/>
        </w:rPr>
        <w:t>排产设备为5台垂直电梯。</w:t>
      </w:r>
      <w:r>
        <w:rPr>
          <w:rFonts w:hint="eastAsia" w:ascii="宋体" w:hAnsi="宋体" w:eastAsia="宋体" w:cs="宋体"/>
          <w:color w:val="auto"/>
          <w:kern w:val="0"/>
          <w:sz w:val="20"/>
          <w:szCs w:val="20"/>
          <w:highlight w:val="none"/>
        </w:rPr>
        <w:t>以甲方书面通知的排产时间起</w:t>
      </w:r>
      <w:r>
        <w:rPr>
          <w:rFonts w:hint="eastAsia" w:ascii="宋体" w:hAnsi="宋体" w:eastAsia="宋体" w:cs="宋体"/>
          <w:color w:val="auto"/>
          <w:sz w:val="20"/>
          <w:szCs w:val="20"/>
          <w:highlight w:val="none"/>
        </w:rPr>
        <w:t>计</w:t>
      </w:r>
      <w:r>
        <w:rPr>
          <w:rFonts w:hint="eastAsia" w:ascii="宋体" w:hAnsi="宋体" w:eastAsia="宋体" w:cs="宋体"/>
          <w:color w:val="auto"/>
          <w:kern w:val="0"/>
          <w:sz w:val="20"/>
          <w:szCs w:val="20"/>
          <w:highlight w:val="none"/>
        </w:rPr>
        <w:t>,</w:t>
      </w:r>
      <w:r>
        <w:rPr>
          <w:rFonts w:hint="eastAsia" w:hAnsi="宋体" w:cs="宋体"/>
          <w:color w:val="auto"/>
          <w:kern w:val="0"/>
          <w:sz w:val="20"/>
          <w:szCs w:val="20"/>
          <w:highlight w:val="none"/>
          <w:lang w:val="en-US" w:eastAsia="zh-CN"/>
        </w:rPr>
        <w:t>工期90</w:t>
      </w:r>
      <w:r>
        <w:rPr>
          <w:rFonts w:hint="eastAsia" w:ascii="宋体" w:hAnsi="宋体" w:eastAsia="宋体" w:cs="宋体"/>
          <w:color w:val="auto"/>
          <w:kern w:val="0"/>
          <w:sz w:val="20"/>
          <w:szCs w:val="20"/>
          <w:highlight w:val="none"/>
        </w:rPr>
        <w:t>日历天（包括生产、运输、安装、调试及验收投用）。</w:t>
      </w:r>
    </w:p>
    <w:p>
      <w:pPr>
        <w:pStyle w:val="8"/>
        <w:keepNext w:val="0"/>
        <w:keepLines w:val="0"/>
        <w:pageBreakBefore w:val="0"/>
        <w:tabs>
          <w:tab w:val="left" w:pos="880"/>
        </w:tabs>
        <w:kinsoku/>
        <w:wordWrap/>
        <w:overflowPunct/>
        <w:bidi w:val="0"/>
        <w:adjustRightInd w:val="0"/>
        <w:snapToGrid w:val="0"/>
        <w:spacing w:line="360" w:lineRule="auto"/>
        <w:ind w:left="105" w:leftChars="50" w:right="283" w:rightChars="0" w:firstLine="447"/>
        <w:textAlignment w:val="auto"/>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质保期：从设备取得运行许可证并移交运营签字接管使用，并试运行3个月后即进入保修期，保修期为24个月，在保修期内，制造商须按TSGT5002-2017的要求免费进行维修保养。</w:t>
      </w:r>
    </w:p>
    <w:p>
      <w:pPr>
        <w:pStyle w:val="8"/>
        <w:keepNext w:val="0"/>
        <w:keepLines w:val="0"/>
        <w:pageBreakBefore w:val="0"/>
        <w:tabs>
          <w:tab w:val="left" w:pos="880"/>
        </w:tabs>
        <w:kinsoku/>
        <w:wordWrap/>
        <w:overflowPunct/>
        <w:bidi w:val="0"/>
        <w:adjustRightInd w:val="0"/>
        <w:snapToGrid w:val="0"/>
        <w:spacing w:line="360" w:lineRule="auto"/>
        <w:ind w:left="105" w:leftChars="50" w:right="283" w:rightChars="0" w:firstLine="447"/>
        <w:textAlignment w:val="auto"/>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6.质量要求：全新，未用过。质量满足招标文件所有技术要求及我国最新及现行规范要求，通过所有第三方检测(包括消防检测及验收)、一次性验收合格，并取得当地特种设备监督检验部门颁发的正式运行许可证。</w:t>
      </w:r>
    </w:p>
    <w:p>
      <w:pPr>
        <w:pStyle w:val="16"/>
        <w:keepNext w:val="0"/>
        <w:keepLines w:val="0"/>
        <w:pageBreakBefore w:val="0"/>
        <w:widowControl/>
        <w:tabs>
          <w:tab w:val="left" w:pos="880"/>
        </w:tabs>
        <w:kinsoku/>
        <w:wordWrap/>
        <w:overflowPunct/>
        <w:bidi w:val="0"/>
        <w:spacing w:line="360" w:lineRule="auto"/>
        <w:ind w:left="105" w:leftChars="50" w:right="283" w:rightChars="0" w:firstLine="447" w:firstLineChars="0"/>
        <w:jc w:val="left"/>
        <w:textAlignment w:val="auto"/>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8. 合同结算原则：</w:t>
      </w:r>
    </w:p>
    <w:p>
      <w:pPr>
        <w:pStyle w:val="8"/>
        <w:keepNext w:val="0"/>
        <w:keepLines w:val="0"/>
        <w:pageBreakBefore w:val="0"/>
        <w:tabs>
          <w:tab w:val="left" w:pos="880"/>
        </w:tabs>
        <w:kinsoku/>
        <w:wordWrap/>
        <w:overflowPunct/>
        <w:bidi w:val="0"/>
        <w:adjustRightInd w:val="0"/>
        <w:snapToGrid w:val="0"/>
        <w:spacing w:line="360" w:lineRule="auto"/>
        <w:ind w:left="105" w:leftChars="50" w:right="283" w:rightChars="0" w:firstLine="447"/>
        <w:textAlignment w:val="auto"/>
        <w:rPr>
          <w:rFonts w:hint="eastAsia" w:ascii="宋体" w:hAnsi="宋体" w:eastAsia="宋体" w:cs="宋体"/>
          <w:color w:val="auto"/>
          <w:kern w:val="0"/>
          <w:sz w:val="20"/>
          <w:szCs w:val="20"/>
          <w:highlight w:val="none"/>
          <w:lang w:eastAsia="zh-CN"/>
        </w:rPr>
      </w:pPr>
      <w:r>
        <w:rPr>
          <w:rFonts w:hint="eastAsia" w:ascii="宋体" w:hAnsi="宋体" w:eastAsia="宋体" w:cs="宋体"/>
          <w:color w:val="auto"/>
          <w:kern w:val="0"/>
          <w:sz w:val="20"/>
          <w:szCs w:val="20"/>
          <w:highlight w:val="none"/>
        </w:rPr>
        <w:t>乙方的中</w:t>
      </w:r>
      <w:r>
        <w:rPr>
          <w:rFonts w:hint="eastAsia" w:hAnsi="宋体" w:cs="宋体"/>
          <w:color w:val="auto"/>
          <w:kern w:val="0"/>
          <w:sz w:val="20"/>
          <w:szCs w:val="20"/>
          <w:highlight w:val="none"/>
          <w:lang w:val="en-US" w:eastAsia="zh-CN"/>
        </w:rPr>
        <w:t>标</w:t>
      </w:r>
      <w:r>
        <w:rPr>
          <w:rFonts w:hint="eastAsia" w:ascii="宋体" w:hAnsi="宋体" w:eastAsia="宋体" w:cs="宋体"/>
          <w:color w:val="auto"/>
          <w:kern w:val="0"/>
          <w:sz w:val="20"/>
          <w:szCs w:val="20"/>
          <w:highlight w:val="none"/>
        </w:rPr>
        <w:t>价即为合同总价，在合同要求范围内包干使用，不因任何原因进行调整（甲方认可的变更除外）</w:t>
      </w:r>
      <w:r>
        <w:rPr>
          <w:rFonts w:hint="eastAsia" w:hAnsi="宋体" w:cs="宋体"/>
          <w:color w:val="auto"/>
          <w:kern w:val="0"/>
          <w:sz w:val="20"/>
          <w:szCs w:val="20"/>
          <w:highlight w:val="none"/>
          <w:lang w:eastAsia="zh-CN"/>
        </w:rPr>
        <w:t>。</w:t>
      </w:r>
    </w:p>
    <w:p>
      <w:pPr>
        <w:pStyle w:val="8"/>
        <w:keepNext w:val="0"/>
        <w:keepLines w:val="0"/>
        <w:pageBreakBefore w:val="0"/>
        <w:tabs>
          <w:tab w:val="left" w:pos="880"/>
        </w:tabs>
        <w:kinsoku/>
        <w:wordWrap/>
        <w:overflowPunct/>
        <w:bidi w:val="0"/>
        <w:adjustRightInd w:val="0"/>
        <w:snapToGrid w:val="0"/>
        <w:spacing w:line="360" w:lineRule="auto"/>
        <w:ind w:left="105" w:leftChars="50" w:right="283" w:rightChars="0" w:firstLine="447"/>
        <w:textAlignment w:val="auto"/>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甲方根据项目实际发生额按实结算，由甲方对乙方工作内容的完成情况实施认定，经核定后办理结算并支付。</w:t>
      </w:r>
    </w:p>
    <w:p>
      <w:pPr>
        <w:pStyle w:val="16"/>
        <w:keepNext w:val="0"/>
        <w:keepLines w:val="0"/>
        <w:pageBreakBefore w:val="0"/>
        <w:widowControl/>
        <w:tabs>
          <w:tab w:val="left" w:pos="880"/>
        </w:tabs>
        <w:kinsoku/>
        <w:wordWrap/>
        <w:overflowPunct/>
        <w:bidi w:val="0"/>
        <w:spacing w:line="360" w:lineRule="auto"/>
        <w:ind w:left="105" w:leftChars="50" w:right="283" w:rightChars="0" w:firstLine="447" w:firstLineChars="0"/>
        <w:jc w:val="left"/>
        <w:textAlignment w:val="auto"/>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9．乙方保证按合同条款的规定向甲方提供合格的设备并承担相应的责任及义务。</w:t>
      </w:r>
    </w:p>
    <w:p>
      <w:pPr>
        <w:pStyle w:val="16"/>
        <w:keepNext w:val="0"/>
        <w:keepLines w:val="0"/>
        <w:pageBreakBefore w:val="0"/>
        <w:widowControl/>
        <w:tabs>
          <w:tab w:val="left" w:pos="880"/>
        </w:tabs>
        <w:kinsoku/>
        <w:wordWrap/>
        <w:overflowPunct/>
        <w:bidi w:val="0"/>
        <w:spacing w:line="360" w:lineRule="auto"/>
        <w:ind w:left="105" w:leftChars="50" w:right="283" w:rightChars="0" w:firstLine="447" w:firstLineChars="0"/>
        <w:jc w:val="left"/>
        <w:textAlignment w:val="auto"/>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10．甲方保证按合同条款规定的时间和方式付给乙方到期应付的款项并承担相应的责任和义务。</w:t>
      </w:r>
    </w:p>
    <w:p>
      <w:pPr>
        <w:pStyle w:val="16"/>
        <w:keepNext w:val="0"/>
        <w:keepLines w:val="0"/>
        <w:pageBreakBefore w:val="0"/>
        <w:widowControl/>
        <w:tabs>
          <w:tab w:val="left" w:pos="880"/>
        </w:tabs>
        <w:kinsoku/>
        <w:wordWrap/>
        <w:overflowPunct/>
        <w:bidi w:val="0"/>
        <w:spacing w:line="360" w:lineRule="auto"/>
        <w:ind w:left="105" w:leftChars="50" w:right="283" w:rightChars="0" w:firstLine="447" w:firstLineChars="0"/>
        <w:jc w:val="left"/>
        <w:textAlignment w:val="auto"/>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11．履约担保形式：现金或银行保函或现金+银行保函的组合；采用银行保函形式的，保函必须为不可撤销且见索即付；</w:t>
      </w:r>
    </w:p>
    <w:p>
      <w:pPr>
        <w:pStyle w:val="16"/>
        <w:keepNext w:val="0"/>
        <w:keepLines w:val="0"/>
        <w:pageBreakBefore w:val="0"/>
        <w:widowControl/>
        <w:tabs>
          <w:tab w:val="left" w:pos="880"/>
        </w:tabs>
        <w:kinsoku/>
        <w:wordWrap/>
        <w:overflowPunct/>
        <w:bidi w:val="0"/>
        <w:spacing w:line="360" w:lineRule="auto"/>
        <w:ind w:left="105" w:leftChars="50" w:right="283" w:rightChars="0" w:firstLine="447" w:firstLineChars="0"/>
        <w:jc w:val="left"/>
        <w:textAlignment w:val="auto"/>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履约担保金额：排产设备的设备费及安装费合计费用的10％。</w:t>
      </w:r>
    </w:p>
    <w:p>
      <w:pPr>
        <w:pStyle w:val="16"/>
        <w:keepNext w:val="0"/>
        <w:keepLines w:val="0"/>
        <w:pageBreakBefore w:val="0"/>
        <w:widowControl/>
        <w:tabs>
          <w:tab w:val="left" w:pos="880"/>
        </w:tabs>
        <w:kinsoku/>
        <w:wordWrap/>
        <w:overflowPunct/>
        <w:bidi w:val="0"/>
        <w:spacing w:line="360" w:lineRule="auto"/>
        <w:ind w:left="105" w:leftChars="50" w:right="283" w:rightChars="0" w:firstLine="447" w:firstLineChars="0"/>
        <w:jc w:val="left"/>
        <w:textAlignment w:val="auto"/>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履约担保提交时间：中标人应在中标通知书发出后，合同签订前提供排产设备的设备费及安装费合计费用的10%的</w:t>
      </w:r>
      <w:r>
        <w:rPr>
          <w:rFonts w:hint="eastAsia" w:ascii="宋体" w:hAnsi="宋体" w:cs="宋体"/>
          <w:color w:val="auto"/>
          <w:kern w:val="0"/>
          <w:sz w:val="20"/>
          <w:szCs w:val="20"/>
          <w:highlight w:val="none"/>
          <w:lang w:eastAsia="zh-CN"/>
        </w:rPr>
        <w:t>履约保证金</w:t>
      </w:r>
      <w:r>
        <w:rPr>
          <w:rFonts w:hint="eastAsia" w:ascii="宋体" w:hAnsi="宋体" w:eastAsia="宋体" w:cs="宋体"/>
          <w:color w:val="auto"/>
          <w:kern w:val="0"/>
          <w:sz w:val="20"/>
          <w:szCs w:val="20"/>
          <w:highlight w:val="none"/>
        </w:rPr>
        <w:t>。若未按时提交第一批次排产设备的</w:t>
      </w:r>
      <w:r>
        <w:rPr>
          <w:rFonts w:hint="eastAsia" w:ascii="宋体" w:hAnsi="宋体" w:cs="宋体"/>
          <w:color w:val="auto"/>
          <w:kern w:val="0"/>
          <w:sz w:val="20"/>
          <w:szCs w:val="20"/>
          <w:highlight w:val="none"/>
          <w:lang w:eastAsia="zh-CN"/>
        </w:rPr>
        <w:t>履约保证金</w:t>
      </w:r>
      <w:r>
        <w:rPr>
          <w:rFonts w:hint="eastAsia" w:ascii="宋体" w:hAnsi="宋体" w:eastAsia="宋体" w:cs="宋体"/>
          <w:color w:val="auto"/>
          <w:kern w:val="0"/>
          <w:sz w:val="20"/>
          <w:szCs w:val="20"/>
          <w:highlight w:val="none"/>
        </w:rPr>
        <w:t>，则视为中标人放弃中标，对招标人造成损失的，招标人有权追究承包人的赔偿责任。</w:t>
      </w:r>
    </w:p>
    <w:p>
      <w:pPr>
        <w:pStyle w:val="16"/>
        <w:keepNext w:val="0"/>
        <w:keepLines w:val="0"/>
        <w:pageBreakBefore w:val="0"/>
        <w:widowControl/>
        <w:tabs>
          <w:tab w:val="left" w:pos="880"/>
        </w:tabs>
        <w:kinsoku/>
        <w:wordWrap/>
        <w:overflowPunct/>
        <w:bidi w:val="0"/>
        <w:spacing w:line="360" w:lineRule="auto"/>
        <w:ind w:left="105" w:leftChars="50" w:right="283" w:rightChars="0" w:firstLine="447" w:firstLineChars="0"/>
        <w:jc w:val="left"/>
        <w:textAlignment w:val="auto"/>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12．本合同发生争议时，按下列顺序解决：协商解决、工程所在地人民法院起诉。</w:t>
      </w:r>
    </w:p>
    <w:p>
      <w:pPr>
        <w:pStyle w:val="16"/>
        <w:keepNext w:val="0"/>
        <w:keepLines w:val="0"/>
        <w:pageBreakBefore w:val="0"/>
        <w:widowControl/>
        <w:tabs>
          <w:tab w:val="left" w:pos="880"/>
        </w:tabs>
        <w:kinsoku/>
        <w:wordWrap/>
        <w:overflowPunct/>
        <w:bidi w:val="0"/>
        <w:spacing w:line="360" w:lineRule="auto"/>
        <w:ind w:left="105" w:leftChars="50" w:right="283" w:rightChars="0" w:firstLine="447" w:firstLineChars="0"/>
        <w:jc w:val="left"/>
        <w:textAlignment w:val="auto"/>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13．误期赔偿除不可抗力外，如果乙方没有按照合同规定的期限交付验收，甲方将从设备费结算总金额中扣除误期赔偿费，且不会因此而影响在合同项下要求乙方采取其他补救措施。误期赔偿费的计算标准为：每延误七（7）天，赔偿百分之一（1％）迟交货物的设备费或延期服务的服务费，不足七（7）天时按七天计算，直至交货或提供服务为止。误期赔偿费的最高限额为合同结算总金额的百分之十（10％）。一旦达到误期赔偿的最高限额时，甲方有权终止合同。</w:t>
      </w:r>
    </w:p>
    <w:p>
      <w:pPr>
        <w:pStyle w:val="16"/>
        <w:keepNext w:val="0"/>
        <w:keepLines w:val="0"/>
        <w:pageBreakBefore w:val="0"/>
        <w:widowControl/>
        <w:tabs>
          <w:tab w:val="left" w:pos="880"/>
        </w:tabs>
        <w:kinsoku/>
        <w:wordWrap/>
        <w:overflowPunct/>
        <w:bidi w:val="0"/>
        <w:spacing w:line="360" w:lineRule="auto"/>
        <w:ind w:left="105" w:leftChars="50" w:right="283" w:rightChars="0" w:firstLine="447" w:firstLineChars="0"/>
        <w:jc w:val="left"/>
        <w:textAlignment w:val="auto"/>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14.在签订本协议书时，电梯制造商已清楚和明白安装协议内容，完全了解安装单位所签订的安装协议所有条款。电梯制造商须与安装单位互相配合，确保一切施工是符合此项工程的设计要求、质量要求、安全要求、工程进度、以及甲方要求的与现场改造、装饰、安装等各单位配合的工程进度要求，直至工程竣工。电梯制造商同意承诺安装协议中相关条款亦对其有同等约束力，且无论电梯制造商或其授权委托的安装单位任何一方违反本项目签订的合同，电梯制造商均须承担违约责任，甲方在任何时间或情况下有权向电梯制造商追究一切法律责任与经济责任。</w:t>
      </w:r>
    </w:p>
    <w:p>
      <w:pPr>
        <w:pStyle w:val="16"/>
        <w:keepNext w:val="0"/>
        <w:keepLines w:val="0"/>
        <w:pageBreakBefore w:val="0"/>
        <w:widowControl/>
        <w:tabs>
          <w:tab w:val="left" w:pos="880"/>
        </w:tabs>
        <w:kinsoku/>
        <w:wordWrap/>
        <w:overflowPunct/>
        <w:bidi w:val="0"/>
        <w:spacing w:line="360" w:lineRule="auto"/>
        <w:ind w:left="105" w:leftChars="50" w:right="283" w:rightChars="0" w:firstLine="447" w:firstLineChars="0"/>
        <w:jc w:val="left"/>
        <w:textAlignment w:val="auto"/>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15．合同生效及其他本合同在满足下列所有条件时即生效：</w:t>
      </w:r>
    </w:p>
    <w:p>
      <w:pPr>
        <w:pStyle w:val="16"/>
        <w:keepNext w:val="0"/>
        <w:keepLines w:val="0"/>
        <w:pageBreakBefore w:val="0"/>
        <w:widowControl/>
        <w:tabs>
          <w:tab w:val="left" w:pos="880"/>
        </w:tabs>
        <w:kinsoku/>
        <w:wordWrap/>
        <w:overflowPunct/>
        <w:bidi w:val="0"/>
        <w:spacing w:line="360" w:lineRule="auto"/>
        <w:ind w:left="105" w:leftChars="50" w:right="283" w:rightChars="0" w:firstLine="447" w:firstLineChars="0"/>
        <w:jc w:val="left"/>
        <w:textAlignment w:val="auto"/>
        <w:outlineLvl w:val="1"/>
        <w:rPr>
          <w:rFonts w:hint="eastAsia" w:ascii="宋体" w:hAnsi="宋体" w:eastAsia="宋体" w:cs="宋体"/>
          <w:color w:val="auto"/>
          <w:kern w:val="0"/>
          <w:sz w:val="20"/>
          <w:szCs w:val="20"/>
          <w:highlight w:val="none"/>
        </w:rPr>
      </w:pPr>
      <w:bookmarkStart w:id="2" w:name="_Toc5219"/>
      <w:bookmarkStart w:id="3" w:name="_Toc14961"/>
      <w:r>
        <w:rPr>
          <w:rFonts w:hint="eastAsia" w:ascii="宋体" w:hAnsi="宋体" w:eastAsia="宋体" w:cs="宋体"/>
          <w:color w:val="auto"/>
          <w:kern w:val="0"/>
          <w:sz w:val="20"/>
          <w:szCs w:val="20"/>
          <w:highlight w:val="none"/>
        </w:rPr>
        <w:t>（1）合同己由双方的法人代表或授权代表签字并加盖公章；</w:t>
      </w:r>
      <w:bookmarkEnd w:id="2"/>
      <w:bookmarkEnd w:id="3"/>
    </w:p>
    <w:p>
      <w:pPr>
        <w:pStyle w:val="16"/>
        <w:keepNext w:val="0"/>
        <w:keepLines w:val="0"/>
        <w:pageBreakBefore w:val="0"/>
        <w:tabs>
          <w:tab w:val="left" w:pos="880"/>
        </w:tabs>
        <w:kinsoku/>
        <w:wordWrap/>
        <w:overflowPunct/>
        <w:bidi w:val="0"/>
        <w:spacing w:line="360" w:lineRule="auto"/>
        <w:ind w:left="105" w:leftChars="50" w:right="283" w:rightChars="0" w:firstLine="447" w:firstLineChars="0"/>
        <w:jc w:val="left"/>
        <w:textAlignment w:val="auto"/>
        <w:outlineLvl w:val="1"/>
        <w:rPr>
          <w:rFonts w:hint="eastAsia" w:ascii="宋体" w:hAnsi="宋体" w:eastAsia="宋体" w:cs="宋体"/>
          <w:color w:val="auto"/>
          <w:kern w:val="0"/>
          <w:sz w:val="20"/>
          <w:szCs w:val="20"/>
          <w:highlight w:val="none"/>
        </w:rPr>
      </w:pPr>
      <w:bookmarkStart w:id="4" w:name="_Toc4580"/>
      <w:bookmarkStart w:id="5" w:name="_Toc23846"/>
      <w:r>
        <w:rPr>
          <w:rFonts w:hint="eastAsia" w:ascii="宋体" w:hAnsi="宋体" w:eastAsia="宋体" w:cs="宋体"/>
          <w:color w:val="auto"/>
          <w:kern w:val="0"/>
          <w:sz w:val="20"/>
          <w:szCs w:val="20"/>
          <w:highlight w:val="none"/>
        </w:rPr>
        <w:t>（2）乙方已按合同协议书约定递交了所需的第一批次履约保函。</w:t>
      </w:r>
      <w:bookmarkEnd w:id="4"/>
      <w:bookmarkEnd w:id="5"/>
    </w:p>
    <w:p>
      <w:pPr>
        <w:pStyle w:val="16"/>
        <w:keepNext w:val="0"/>
        <w:keepLines w:val="0"/>
        <w:pageBreakBefore w:val="0"/>
        <w:widowControl/>
        <w:tabs>
          <w:tab w:val="left" w:pos="880"/>
        </w:tabs>
        <w:kinsoku/>
        <w:wordWrap/>
        <w:overflowPunct/>
        <w:bidi w:val="0"/>
        <w:spacing w:line="360" w:lineRule="auto"/>
        <w:ind w:left="105" w:leftChars="50" w:right="283" w:rightChars="0" w:firstLine="447" w:firstLineChars="0"/>
        <w:jc w:val="left"/>
        <w:textAlignment w:val="auto"/>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16. 本协议书一式拾份。正本伍份，甲方执叄份、乙方执贰份；副本伍份，甲方执肆份，乙方执壹份。均具同等法律效力。当副本和正本不一致时，以正本为准。</w:t>
      </w:r>
    </w:p>
    <w:p>
      <w:pPr>
        <w:pStyle w:val="8"/>
        <w:keepNext w:val="0"/>
        <w:keepLines w:val="0"/>
        <w:pageBreakBefore w:val="0"/>
        <w:widowControl/>
        <w:tabs>
          <w:tab w:val="left" w:pos="880"/>
        </w:tabs>
        <w:kinsoku/>
        <w:wordWrap/>
        <w:overflowPunct/>
        <w:bidi w:val="0"/>
        <w:spacing w:line="360" w:lineRule="auto"/>
        <w:ind w:left="105" w:leftChars="50" w:right="283" w:rightChars="0" w:firstLine="447"/>
        <w:textAlignment w:val="auto"/>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17. 各类文书送达地址。</w:t>
      </w:r>
    </w:p>
    <w:p>
      <w:pPr>
        <w:pStyle w:val="8"/>
        <w:keepNext w:val="0"/>
        <w:keepLines w:val="0"/>
        <w:pageBreakBefore w:val="0"/>
        <w:widowControl/>
        <w:tabs>
          <w:tab w:val="left" w:pos="880"/>
        </w:tabs>
        <w:kinsoku/>
        <w:wordWrap/>
        <w:overflowPunct/>
        <w:bidi w:val="0"/>
        <w:spacing w:line="360" w:lineRule="auto"/>
        <w:ind w:left="105" w:leftChars="50" w:right="283" w:rightChars="0" w:firstLine="447"/>
        <w:textAlignment w:val="auto"/>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（1）本合同约定双方诉讼文书送达地址，该送达地址用于接受各类文书，包括但不限于诉讼文书。</w:t>
      </w:r>
    </w:p>
    <w:p>
      <w:pPr>
        <w:pStyle w:val="8"/>
        <w:keepNext w:val="0"/>
        <w:keepLines w:val="0"/>
        <w:pageBreakBefore w:val="0"/>
        <w:widowControl/>
        <w:tabs>
          <w:tab w:val="left" w:pos="880"/>
        </w:tabs>
        <w:kinsoku/>
        <w:wordWrap/>
        <w:overflowPunct/>
        <w:bidi w:val="0"/>
        <w:spacing w:line="360" w:lineRule="auto"/>
        <w:ind w:left="105" w:leftChars="50" w:right="283" w:rightChars="0" w:firstLine="447"/>
        <w:textAlignment w:val="auto"/>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甲方送达地址：                         送达方式</w:t>
      </w:r>
    </w:p>
    <w:p>
      <w:pPr>
        <w:pStyle w:val="8"/>
        <w:keepNext w:val="0"/>
        <w:keepLines w:val="0"/>
        <w:pageBreakBefore w:val="0"/>
        <w:widowControl/>
        <w:tabs>
          <w:tab w:val="left" w:pos="880"/>
        </w:tabs>
        <w:kinsoku/>
        <w:wordWrap/>
        <w:overflowPunct/>
        <w:bidi w:val="0"/>
        <w:spacing w:line="360" w:lineRule="auto"/>
        <w:ind w:left="105" w:leftChars="50" w:right="283" w:rightChars="0" w:firstLine="447"/>
        <w:textAlignment w:val="auto"/>
        <w:rPr>
          <w:rFonts w:hint="eastAsia" w:ascii="宋体" w:hAnsi="宋体" w:eastAsia="宋体" w:cs="宋体"/>
          <w:color w:val="auto"/>
          <w:kern w:val="0"/>
          <w:sz w:val="20"/>
          <w:szCs w:val="20"/>
          <w:highlight w:val="none"/>
          <w:u w:val="single"/>
        </w:rPr>
      </w:pPr>
      <w:r>
        <w:rPr>
          <w:rFonts w:hint="eastAsia" w:ascii="宋体" w:hAnsi="宋体" w:eastAsia="宋体" w:cs="宋体"/>
          <w:color w:val="auto"/>
          <w:kern w:val="0"/>
          <w:sz w:val="20"/>
          <w:szCs w:val="20"/>
          <w:highlight w:val="none"/>
        </w:rPr>
        <w:t>乙方送达地址：                         送达方式：</w:t>
      </w:r>
    </w:p>
    <w:p>
      <w:pPr>
        <w:pStyle w:val="8"/>
        <w:keepNext w:val="0"/>
        <w:keepLines w:val="0"/>
        <w:pageBreakBefore w:val="0"/>
        <w:widowControl/>
        <w:tabs>
          <w:tab w:val="left" w:pos="880"/>
        </w:tabs>
        <w:kinsoku/>
        <w:wordWrap/>
        <w:overflowPunct/>
        <w:bidi w:val="0"/>
        <w:spacing w:line="360" w:lineRule="auto"/>
        <w:ind w:left="105" w:leftChars="50" w:right="283" w:rightChars="0" w:firstLine="447"/>
        <w:textAlignment w:val="auto"/>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（2）在合同履行过程中发生诉讼时，按约定地址送达的视为当事人已签收，受送达人拒收的，不影响送达的效力。</w:t>
      </w:r>
    </w:p>
    <w:p>
      <w:pPr>
        <w:pStyle w:val="16"/>
        <w:keepNext w:val="0"/>
        <w:keepLines w:val="0"/>
        <w:pageBreakBefore w:val="0"/>
        <w:widowControl/>
        <w:tabs>
          <w:tab w:val="left" w:pos="880"/>
        </w:tabs>
        <w:kinsoku/>
        <w:wordWrap/>
        <w:overflowPunct/>
        <w:bidi w:val="0"/>
        <w:spacing w:line="360" w:lineRule="auto"/>
        <w:ind w:left="105" w:leftChars="50" w:right="283" w:rightChars="0" w:firstLine="447" w:firstLineChars="0"/>
        <w:jc w:val="left"/>
        <w:textAlignment w:val="auto"/>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（3）甲乙双方任何一方若需变更送达地址，应在地址变更后3日内书面通知对方当事人；未按约定方式通知的，原约定送达地址仍为有效送达地址。</w:t>
      </w:r>
    </w:p>
    <w:p>
      <w:pPr>
        <w:pStyle w:val="16"/>
        <w:keepNext w:val="0"/>
        <w:keepLines w:val="0"/>
        <w:pageBreakBefore w:val="0"/>
        <w:widowControl/>
        <w:kinsoku/>
        <w:wordWrap/>
        <w:overflowPunct/>
        <w:bidi w:val="0"/>
        <w:spacing w:line="360" w:lineRule="auto"/>
        <w:ind w:left="105" w:leftChars="50" w:right="283" w:rightChars="0" w:firstLine="426" w:firstLineChars="0"/>
        <w:jc w:val="left"/>
        <w:textAlignment w:val="auto"/>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（4）送达方式：以中国邮政EMS或挂号信方式送达，EMS寄出3日、挂号信寄出5日已视为送达。</w:t>
      </w:r>
    </w:p>
    <w:p>
      <w:pPr>
        <w:pStyle w:val="16"/>
        <w:keepNext w:val="0"/>
        <w:keepLines w:val="0"/>
        <w:pageBreakBefore w:val="0"/>
        <w:widowControl/>
        <w:tabs>
          <w:tab w:val="left" w:pos="880"/>
        </w:tabs>
        <w:kinsoku/>
        <w:wordWrap/>
        <w:overflowPunct/>
        <w:bidi w:val="0"/>
        <w:spacing w:line="360" w:lineRule="auto"/>
        <w:ind w:left="105" w:leftChars="50" w:right="283" w:rightChars="0" w:firstLine="447" w:firstLineChars="0"/>
        <w:jc w:val="left"/>
        <w:textAlignment w:val="auto"/>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18.  合同未尽事宜，双方另行签订补充协议。补充协议是合同的组成部分。</w:t>
      </w:r>
    </w:p>
    <w:p>
      <w:pPr>
        <w:pStyle w:val="16"/>
        <w:keepNext w:val="0"/>
        <w:keepLines w:val="0"/>
        <w:pageBreakBefore w:val="0"/>
        <w:widowControl/>
        <w:tabs>
          <w:tab w:val="left" w:pos="880"/>
        </w:tabs>
        <w:kinsoku/>
        <w:wordWrap/>
        <w:overflowPunct/>
        <w:bidi w:val="0"/>
        <w:spacing w:line="360" w:lineRule="auto"/>
        <w:ind w:left="105" w:leftChars="50" w:right="283" w:rightChars="0" w:firstLine="447" w:firstLineChars="0"/>
        <w:jc w:val="left"/>
        <w:textAlignment w:val="auto"/>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19.  协议书附件《合同暂定总价明细表》</w:t>
      </w:r>
    </w:p>
    <w:p>
      <w:pPr>
        <w:pStyle w:val="2"/>
        <w:keepNext w:val="0"/>
        <w:keepLines w:val="0"/>
        <w:pageBreakBefore w:val="0"/>
        <w:tabs>
          <w:tab w:val="left" w:pos="880"/>
        </w:tabs>
        <w:kinsoku/>
        <w:wordWrap/>
        <w:overflowPunct/>
        <w:bidi w:val="0"/>
        <w:spacing w:line="360" w:lineRule="auto"/>
        <w:ind w:left="105" w:leftChars="50" w:right="283" w:rightChars="0" w:firstLine="447"/>
        <w:textAlignment w:val="auto"/>
        <w:rPr>
          <w:rFonts w:hint="eastAsia" w:ascii="宋体" w:hAnsi="宋体" w:eastAsia="宋体" w:cs="宋体"/>
          <w:color w:val="auto"/>
          <w:sz w:val="20"/>
          <w:szCs w:val="20"/>
          <w:highlight w:val="none"/>
        </w:rPr>
      </w:pPr>
    </w:p>
    <w:p>
      <w:pPr>
        <w:keepNext w:val="0"/>
        <w:keepLines w:val="0"/>
        <w:pageBreakBefore w:val="0"/>
        <w:tabs>
          <w:tab w:val="left" w:pos="880"/>
          <w:tab w:val="left" w:pos="1060"/>
          <w:tab w:val="left" w:pos="2310"/>
          <w:tab w:val="left" w:pos="3675"/>
          <w:tab w:val="left" w:pos="5685"/>
          <w:tab w:val="left" w:pos="6405"/>
          <w:tab w:val="left" w:pos="7140"/>
        </w:tabs>
        <w:kinsoku/>
        <w:wordWrap/>
        <w:overflowPunct/>
        <w:bidi w:val="0"/>
        <w:adjustRightInd w:val="0"/>
        <w:snapToGrid w:val="0"/>
        <w:spacing w:line="360" w:lineRule="auto"/>
        <w:ind w:left="105" w:leftChars="50" w:right="283" w:rightChars="0" w:firstLine="447"/>
        <w:textAlignment w:val="auto"/>
        <w:rPr>
          <w:rFonts w:hint="eastAsia" w:ascii="宋体" w:hAnsi="宋体" w:eastAsia="宋体" w:cs="宋体"/>
          <w:color w:val="auto"/>
          <w:sz w:val="20"/>
          <w:szCs w:val="20"/>
          <w:highlight w:val="none"/>
        </w:rPr>
      </w:pPr>
      <w:r>
        <w:rPr>
          <w:rFonts w:hint="eastAsia" w:ascii="宋体" w:hAnsi="宋体" w:eastAsia="宋体" w:cs="宋体"/>
          <w:snapToGrid w:val="0"/>
          <w:color w:val="auto"/>
          <w:sz w:val="20"/>
          <w:szCs w:val="20"/>
          <w:highlight w:val="none"/>
        </w:rPr>
        <w:t>附件：</w:t>
      </w:r>
      <w:r>
        <w:rPr>
          <w:rFonts w:hint="eastAsia" w:cs="宋体"/>
          <w:snapToGrid w:val="0"/>
          <w:color w:val="auto"/>
          <w:sz w:val="20"/>
          <w:szCs w:val="20"/>
          <w:highlight w:val="none"/>
          <w:lang w:val="en-US" w:eastAsia="zh-CN"/>
        </w:rPr>
        <w:t>1.</w:t>
      </w:r>
      <w:r>
        <w:rPr>
          <w:rFonts w:hint="eastAsia" w:ascii="宋体" w:hAnsi="宋体" w:eastAsia="宋体" w:cs="宋体"/>
          <w:snapToGrid w:val="0"/>
          <w:color w:val="auto"/>
          <w:sz w:val="20"/>
          <w:szCs w:val="20"/>
          <w:highlight w:val="none"/>
        </w:rPr>
        <w:t>电梯设备采购合同</w:t>
      </w:r>
    </w:p>
    <w:p>
      <w:pPr>
        <w:keepNext w:val="0"/>
        <w:keepLines w:val="0"/>
        <w:pageBreakBefore w:val="0"/>
        <w:tabs>
          <w:tab w:val="left" w:pos="880"/>
          <w:tab w:val="left" w:pos="1060"/>
          <w:tab w:val="left" w:pos="2310"/>
          <w:tab w:val="left" w:pos="3675"/>
          <w:tab w:val="left" w:pos="5685"/>
          <w:tab w:val="left" w:pos="6405"/>
          <w:tab w:val="left" w:pos="7140"/>
        </w:tabs>
        <w:kinsoku/>
        <w:wordWrap/>
        <w:overflowPunct/>
        <w:bidi w:val="0"/>
        <w:adjustRightInd w:val="0"/>
        <w:snapToGrid w:val="0"/>
        <w:spacing w:line="360" w:lineRule="auto"/>
        <w:ind w:left="105" w:leftChars="50" w:right="283" w:rightChars="0" w:firstLine="447"/>
        <w:textAlignment w:val="auto"/>
        <w:rPr>
          <w:rFonts w:hint="eastAsia" w:ascii="宋体" w:hAnsi="宋体" w:eastAsia="宋体" w:cs="宋体"/>
          <w:color w:val="auto"/>
          <w:sz w:val="20"/>
          <w:szCs w:val="20"/>
          <w:highlight w:val="none"/>
        </w:rPr>
      </w:pPr>
      <w:r>
        <w:rPr>
          <w:rFonts w:hint="eastAsia" w:cs="宋体"/>
          <w:snapToGrid w:val="0"/>
          <w:color w:val="auto"/>
          <w:sz w:val="20"/>
          <w:szCs w:val="20"/>
          <w:highlight w:val="none"/>
          <w:lang w:val="en-US" w:eastAsia="zh-CN"/>
        </w:rPr>
        <w:t>2.</w:t>
      </w:r>
      <w:r>
        <w:rPr>
          <w:rFonts w:hint="eastAsia" w:ascii="宋体" w:hAnsi="宋体" w:eastAsia="宋体" w:cs="宋体"/>
          <w:snapToGrid w:val="0"/>
          <w:color w:val="auto"/>
          <w:sz w:val="20"/>
          <w:szCs w:val="20"/>
          <w:highlight w:val="none"/>
        </w:rPr>
        <w:t>电梯设备安装协议</w:t>
      </w:r>
    </w:p>
    <w:p>
      <w:pPr>
        <w:keepNext w:val="0"/>
        <w:keepLines w:val="0"/>
        <w:pageBreakBefore w:val="0"/>
        <w:tabs>
          <w:tab w:val="left" w:pos="880"/>
          <w:tab w:val="left" w:pos="1060"/>
          <w:tab w:val="left" w:pos="2310"/>
          <w:tab w:val="left" w:pos="3675"/>
          <w:tab w:val="left" w:pos="5685"/>
          <w:tab w:val="left" w:pos="6405"/>
          <w:tab w:val="left" w:pos="7140"/>
        </w:tabs>
        <w:kinsoku/>
        <w:wordWrap/>
        <w:overflowPunct/>
        <w:bidi w:val="0"/>
        <w:adjustRightInd w:val="0"/>
        <w:snapToGrid w:val="0"/>
        <w:spacing w:line="360" w:lineRule="auto"/>
        <w:ind w:left="105" w:leftChars="50" w:right="283" w:rightChars="0" w:firstLine="447"/>
        <w:textAlignment w:val="auto"/>
        <w:rPr>
          <w:rFonts w:hint="eastAsia" w:ascii="宋体" w:hAnsi="宋体" w:eastAsia="宋体" w:cs="宋体"/>
          <w:color w:val="auto"/>
          <w:sz w:val="20"/>
          <w:szCs w:val="20"/>
          <w:highlight w:val="none"/>
        </w:rPr>
      </w:pPr>
      <w:r>
        <w:rPr>
          <w:rFonts w:hint="eastAsia" w:cs="宋体"/>
          <w:snapToGrid w:val="0"/>
          <w:color w:val="auto"/>
          <w:sz w:val="20"/>
          <w:szCs w:val="20"/>
          <w:highlight w:val="none"/>
          <w:lang w:val="en-US" w:eastAsia="zh-CN"/>
        </w:rPr>
        <w:t>3.</w:t>
      </w:r>
      <w:r>
        <w:rPr>
          <w:rFonts w:hint="eastAsia" w:ascii="宋体" w:hAnsi="宋体" w:eastAsia="宋体" w:cs="宋体"/>
          <w:snapToGrid w:val="0"/>
          <w:color w:val="auto"/>
          <w:sz w:val="20"/>
          <w:szCs w:val="20"/>
          <w:highlight w:val="none"/>
        </w:rPr>
        <w:t>电梯免费维修保养协议</w:t>
      </w:r>
    </w:p>
    <w:p>
      <w:pPr>
        <w:keepNext w:val="0"/>
        <w:keepLines w:val="0"/>
        <w:pageBreakBefore w:val="0"/>
        <w:tabs>
          <w:tab w:val="left" w:pos="880"/>
          <w:tab w:val="left" w:pos="1060"/>
          <w:tab w:val="left" w:pos="2310"/>
          <w:tab w:val="left" w:pos="3675"/>
          <w:tab w:val="left" w:pos="5685"/>
          <w:tab w:val="left" w:pos="6405"/>
          <w:tab w:val="left" w:pos="7140"/>
        </w:tabs>
        <w:kinsoku/>
        <w:wordWrap/>
        <w:overflowPunct/>
        <w:bidi w:val="0"/>
        <w:adjustRightInd w:val="0"/>
        <w:snapToGrid w:val="0"/>
        <w:spacing w:line="360" w:lineRule="auto"/>
        <w:ind w:left="105" w:leftChars="50" w:right="283" w:rightChars="0" w:firstLine="447"/>
        <w:textAlignment w:val="auto"/>
        <w:rPr>
          <w:rFonts w:hint="eastAsia" w:ascii="宋体" w:hAnsi="宋体" w:eastAsia="宋体" w:cs="宋体"/>
          <w:color w:val="auto"/>
          <w:sz w:val="20"/>
          <w:szCs w:val="20"/>
          <w:highlight w:val="none"/>
        </w:rPr>
      </w:pPr>
      <w:r>
        <w:rPr>
          <w:rFonts w:hint="eastAsia" w:cs="宋体"/>
          <w:snapToGrid w:val="0"/>
          <w:color w:val="auto"/>
          <w:sz w:val="20"/>
          <w:szCs w:val="20"/>
          <w:highlight w:val="none"/>
          <w:lang w:val="en-US" w:eastAsia="zh-CN"/>
        </w:rPr>
        <w:t>4.</w:t>
      </w:r>
      <w:r>
        <w:rPr>
          <w:rFonts w:hint="eastAsia" w:ascii="宋体" w:hAnsi="宋体" w:eastAsia="宋体" w:cs="宋体"/>
          <w:snapToGrid w:val="0"/>
          <w:color w:val="auto"/>
          <w:sz w:val="20"/>
          <w:szCs w:val="20"/>
          <w:highlight w:val="none"/>
        </w:rPr>
        <w:t>廉政协议</w:t>
      </w:r>
    </w:p>
    <w:p>
      <w:pPr>
        <w:pStyle w:val="2"/>
        <w:keepNext w:val="0"/>
        <w:keepLines w:val="0"/>
        <w:pageBreakBefore w:val="0"/>
        <w:tabs>
          <w:tab w:val="left" w:pos="880"/>
        </w:tabs>
        <w:kinsoku/>
        <w:wordWrap/>
        <w:overflowPunct/>
        <w:bidi w:val="0"/>
        <w:spacing w:line="360" w:lineRule="auto"/>
        <w:ind w:left="105" w:leftChars="50" w:right="283" w:rightChars="0" w:firstLine="447"/>
        <w:textAlignment w:val="auto"/>
        <w:rPr>
          <w:rFonts w:hint="eastAsia" w:cs="宋体"/>
          <w:b w:val="0"/>
          <w:bCs w:val="0"/>
          <w:color w:val="auto"/>
          <w:sz w:val="20"/>
          <w:szCs w:val="20"/>
          <w:highlight w:val="none"/>
          <w:lang w:val="en-US" w:eastAsia="zh-CN"/>
        </w:rPr>
      </w:pPr>
      <w:r>
        <w:rPr>
          <w:rFonts w:hint="eastAsia" w:cs="宋体"/>
          <w:b w:val="0"/>
          <w:bCs w:val="0"/>
          <w:color w:val="auto"/>
          <w:sz w:val="20"/>
          <w:szCs w:val="20"/>
          <w:highlight w:val="none"/>
          <w:lang w:val="en-US" w:eastAsia="zh-CN"/>
        </w:rPr>
        <w:t>5.电梯基本参数表</w:t>
      </w:r>
    </w:p>
    <w:p>
      <w:pPr>
        <w:pStyle w:val="2"/>
        <w:keepNext w:val="0"/>
        <w:keepLines w:val="0"/>
        <w:pageBreakBefore w:val="0"/>
        <w:tabs>
          <w:tab w:val="left" w:pos="880"/>
        </w:tabs>
        <w:kinsoku/>
        <w:wordWrap/>
        <w:overflowPunct/>
        <w:bidi w:val="0"/>
        <w:spacing w:line="360" w:lineRule="auto"/>
        <w:ind w:left="105" w:leftChars="50" w:right="283" w:rightChars="0" w:firstLine="447"/>
        <w:textAlignment w:val="auto"/>
        <w:rPr>
          <w:rFonts w:hint="default" w:cs="宋体"/>
          <w:b w:val="0"/>
          <w:bCs w:val="0"/>
          <w:color w:val="auto"/>
          <w:sz w:val="20"/>
          <w:szCs w:val="20"/>
          <w:highlight w:val="none"/>
          <w:lang w:val="en-US" w:eastAsia="zh-CN"/>
        </w:rPr>
      </w:pPr>
      <w:r>
        <w:rPr>
          <w:rFonts w:hint="eastAsia" w:cs="宋体"/>
          <w:b w:val="0"/>
          <w:bCs w:val="0"/>
          <w:color w:val="auto"/>
          <w:sz w:val="20"/>
          <w:szCs w:val="20"/>
          <w:highlight w:val="none"/>
          <w:lang w:val="en-US" w:eastAsia="zh-CN"/>
        </w:rPr>
        <w:t>6.安全管理协议书</w:t>
      </w:r>
    </w:p>
    <w:p>
      <w:pPr>
        <w:pStyle w:val="2"/>
        <w:keepNext w:val="0"/>
        <w:keepLines w:val="0"/>
        <w:pageBreakBefore w:val="0"/>
        <w:tabs>
          <w:tab w:val="left" w:pos="880"/>
        </w:tabs>
        <w:kinsoku/>
        <w:wordWrap/>
        <w:overflowPunct/>
        <w:bidi w:val="0"/>
        <w:spacing w:line="360" w:lineRule="auto"/>
        <w:ind w:left="105" w:leftChars="50" w:right="283" w:rightChars="0" w:firstLine="0"/>
        <w:textAlignment w:val="auto"/>
        <w:rPr>
          <w:rFonts w:hint="eastAsia" w:ascii="宋体" w:hAnsi="宋体" w:eastAsia="宋体" w:cs="宋体"/>
          <w:color w:val="auto"/>
          <w:sz w:val="20"/>
          <w:szCs w:val="20"/>
          <w:highlight w:val="none"/>
        </w:rPr>
      </w:pPr>
    </w:p>
    <w:p>
      <w:pPr>
        <w:pStyle w:val="2"/>
        <w:keepNext w:val="0"/>
        <w:keepLines w:val="0"/>
        <w:pageBreakBefore w:val="0"/>
        <w:tabs>
          <w:tab w:val="left" w:pos="880"/>
        </w:tabs>
        <w:kinsoku/>
        <w:wordWrap/>
        <w:overflowPunct/>
        <w:bidi w:val="0"/>
        <w:spacing w:line="360" w:lineRule="auto"/>
        <w:ind w:left="105" w:leftChars="50" w:right="283" w:rightChars="0" w:firstLine="447"/>
        <w:textAlignment w:val="auto"/>
        <w:rPr>
          <w:rFonts w:hint="eastAsia" w:ascii="宋体" w:hAnsi="宋体" w:eastAsia="宋体" w:cs="宋体"/>
          <w:color w:val="auto"/>
          <w:sz w:val="20"/>
          <w:szCs w:val="20"/>
          <w:highlight w:val="none"/>
        </w:rPr>
      </w:pPr>
    </w:p>
    <w:p>
      <w:pPr>
        <w:pStyle w:val="2"/>
        <w:keepNext w:val="0"/>
        <w:keepLines w:val="0"/>
        <w:pageBreakBefore w:val="0"/>
        <w:tabs>
          <w:tab w:val="left" w:pos="880"/>
        </w:tabs>
        <w:kinsoku/>
        <w:wordWrap/>
        <w:overflowPunct/>
        <w:bidi w:val="0"/>
        <w:spacing w:line="360" w:lineRule="auto"/>
        <w:ind w:left="105" w:leftChars="50" w:right="283" w:rightChars="0" w:firstLine="447"/>
        <w:textAlignment w:val="auto"/>
        <w:rPr>
          <w:rFonts w:hint="eastAsia" w:ascii="宋体" w:hAnsi="宋体" w:eastAsia="宋体" w:cs="宋体"/>
          <w:color w:val="auto"/>
          <w:sz w:val="20"/>
          <w:szCs w:val="20"/>
          <w:highlight w:val="none"/>
        </w:rPr>
      </w:pPr>
    </w:p>
    <w:p>
      <w:pPr>
        <w:pStyle w:val="2"/>
        <w:keepNext w:val="0"/>
        <w:keepLines w:val="0"/>
        <w:pageBreakBefore w:val="0"/>
        <w:tabs>
          <w:tab w:val="left" w:pos="880"/>
        </w:tabs>
        <w:kinsoku/>
        <w:wordWrap/>
        <w:overflowPunct/>
        <w:bidi w:val="0"/>
        <w:spacing w:line="360" w:lineRule="auto"/>
        <w:ind w:left="105" w:leftChars="50" w:right="283" w:rightChars="0" w:firstLine="447"/>
        <w:textAlignment w:val="auto"/>
        <w:rPr>
          <w:rFonts w:hint="eastAsia" w:ascii="宋体" w:hAnsi="宋体" w:eastAsia="宋体" w:cs="宋体"/>
          <w:color w:val="auto"/>
          <w:sz w:val="20"/>
          <w:szCs w:val="20"/>
          <w:highlight w:val="none"/>
        </w:rPr>
      </w:pPr>
    </w:p>
    <w:p>
      <w:pPr>
        <w:pStyle w:val="2"/>
        <w:keepNext w:val="0"/>
        <w:keepLines w:val="0"/>
        <w:pageBreakBefore w:val="0"/>
        <w:tabs>
          <w:tab w:val="left" w:pos="880"/>
        </w:tabs>
        <w:kinsoku/>
        <w:wordWrap/>
        <w:overflowPunct/>
        <w:bidi w:val="0"/>
        <w:spacing w:line="360" w:lineRule="auto"/>
        <w:ind w:left="105" w:leftChars="50" w:right="283" w:rightChars="0" w:firstLine="447"/>
        <w:textAlignment w:val="auto"/>
        <w:rPr>
          <w:rFonts w:hint="eastAsia" w:ascii="宋体" w:hAnsi="宋体" w:eastAsia="宋体" w:cs="宋体"/>
          <w:color w:val="auto"/>
          <w:sz w:val="20"/>
          <w:szCs w:val="20"/>
          <w:highlight w:val="none"/>
        </w:rPr>
      </w:pPr>
    </w:p>
    <w:p>
      <w:pPr>
        <w:pStyle w:val="2"/>
        <w:keepNext w:val="0"/>
        <w:keepLines w:val="0"/>
        <w:pageBreakBefore w:val="0"/>
        <w:tabs>
          <w:tab w:val="left" w:pos="880"/>
        </w:tabs>
        <w:kinsoku/>
        <w:wordWrap/>
        <w:overflowPunct/>
        <w:bidi w:val="0"/>
        <w:spacing w:line="360" w:lineRule="auto"/>
        <w:ind w:left="105" w:leftChars="50" w:right="283" w:rightChars="0" w:firstLine="447"/>
        <w:textAlignment w:val="auto"/>
        <w:rPr>
          <w:rFonts w:hint="eastAsia" w:ascii="宋体" w:hAnsi="宋体" w:eastAsia="宋体" w:cs="宋体"/>
          <w:color w:val="auto"/>
          <w:sz w:val="20"/>
          <w:szCs w:val="20"/>
          <w:highlight w:val="none"/>
        </w:rPr>
      </w:pPr>
    </w:p>
    <w:p>
      <w:pPr>
        <w:pStyle w:val="2"/>
        <w:keepNext w:val="0"/>
        <w:keepLines w:val="0"/>
        <w:pageBreakBefore w:val="0"/>
        <w:tabs>
          <w:tab w:val="left" w:pos="880"/>
        </w:tabs>
        <w:kinsoku/>
        <w:wordWrap/>
        <w:overflowPunct/>
        <w:bidi w:val="0"/>
        <w:spacing w:line="360" w:lineRule="auto"/>
        <w:ind w:left="105" w:leftChars="50" w:right="283" w:rightChars="0" w:firstLine="447"/>
        <w:textAlignment w:val="auto"/>
        <w:rPr>
          <w:rFonts w:hint="eastAsia" w:ascii="宋体" w:hAnsi="宋体" w:eastAsia="宋体" w:cs="宋体"/>
          <w:color w:val="auto"/>
          <w:sz w:val="20"/>
          <w:szCs w:val="20"/>
          <w:highlight w:val="none"/>
        </w:rPr>
      </w:pPr>
    </w:p>
    <w:p>
      <w:pPr>
        <w:pStyle w:val="2"/>
        <w:keepNext w:val="0"/>
        <w:keepLines w:val="0"/>
        <w:pageBreakBefore w:val="0"/>
        <w:tabs>
          <w:tab w:val="left" w:pos="880"/>
        </w:tabs>
        <w:kinsoku/>
        <w:wordWrap/>
        <w:overflowPunct/>
        <w:bidi w:val="0"/>
        <w:spacing w:line="360" w:lineRule="auto"/>
        <w:ind w:left="105" w:leftChars="50" w:right="283" w:rightChars="0" w:firstLine="447"/>
        <w:textAlignment w:val="auto"/>
        <w:rPr>
          <w:rFonts w:hint="eastAsia" w:ascii="宋体" w:hAnsi="宋体" w:eastAsia="宋体" w:cs="宋体"/>
          <w:color w:val="auto"/>
          <w:sz w:val="20"/>
          <w:szCs w:val="20"/>
          <w:highlight w:val="none"/>
        </w:rPr>
      </w:pPr>
    </w:p>
    <w:p>
      <w:pPr>
        <w:pStyle w:val="2"/>
        <w:keepNext w:val="0"/>
        <w:keepLines w:val="0"/>
        <w:pageBreakBefore w:val="0"/>
        <w:tabs>
          <w:tab w:val="left" w:pos="880"/>
        </w:tabs>
        <w:kinsoku/>
        <w:wordWrap/>
        <w:overflowPunct/>
        <w:bidi w:val="0"/>
        <w:spacing w:line="360" w:lineRule="auto"/>
        <w:ind w:left="105" w:leftChars="50" w:right="283" w:rightChars="0" w:firstLine="447"/>
        <w:textAlignment w:val="auto"/>
        <w:rPr>
          <w:rFonts w:hint="eastAsia" w:ascii="宋体" w:hAnsi="宋体" w:eastAsia="宋体" w:cs="宋体"/>
          <w:color w:val="auto"/>
          <w:sz w:val="20"/>
          <w:szCs w:val="20"/>
          <w:highlight w:val="none"/>
        </w:rPr>
      </w:pPr>
    </w:p>
    <w:p>
      <w:pPr>
        <w:pStyle w:val="2"/>
        <w:keepNext w:val="0"/>
        <w:keepLines w:val="0"/>
        <w:pageBreakBefore w:val="0"/>
        <w:tabs>
          <w:tab w:val="left" w:pos="880"/>
        </w:tabs>
        <w:kinsoku/>
        <w:wordWrap/>
        <w:overflowPunct/>
        <w:bidi w:val="0"/>
        <w:spacing w:line="360" w:lineRule="auto"/>
        <w:ind w:left="105" w:leftChars="50" w:right="283" w:rightChars="0" w:firstLine="447"/>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（此页无正文）</w:t>
      </w:r>
    </w:p>
    <w:p>
      <w:pPr>
        <w:pStyle w:val="2"/>
        <w:keepNext w:val="0"/>
        <w:keepLines w:val="0"/>
        <w:pageBreakBefore w:val="0"/>
        <w:tabs>
          <w:tab w:val="left" w:pos="880"/>
        </w:tabs>
        <w:kinsoku/>
        <w:wordWrap/>
        <w:overflowPunct/>
        <w:bidi w:val="0"/>
        <w:spacing w:line="360" w:lineRule="auto"/>
        <w:ind w:left="105" w:leftChars="50" w:right="283" w:rightChars="0" w:firstLine="447"/>
        <w:textAlignment w:val="auto"/>
        <w:rPr>
          <w:rFonts w:hint="eastAsia" w:ascii="宋体" w:hAnsi="宋体" w:eastAsia="宋体" w:cs="宋体"/>
          <w:color w:val="auto"/>
          <w:sz w:val="20"/>
          <w:szCs w:val="20"/>
          <w:highlight w:val="none"/>
        </w:rPr>
      </w:pPr>
    </w:p>
    <w:p>
      <w:pPr>
        <w:keepNext w:val="0"/>
        <w:keepLines w:val="0"/>
        <w:pageBreakBefore w:val="0"/>
        <w:tabs>
          <w:tab w:val="left" w:pos="880"/>
        </w:tabs>
        <w:kinsoku/>
        <w:wordWrap/>
        <w:overflowPunct/>
        <w:bidi w:val="0"/>
        <w:adjustRightInd w:val="0"/>
        <w:snapToGrid w:val="0"/>
        <w:spacing w:line="360" w:lineRule="auto"/>
        <w:ind w:left="105" w:leftChars="50" w:right="283" w:rightChars="0" w:firstLine="447"/>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甲方（盖章）：                       乙方（盖章）：</w:t>
      </w:r>
    </w:p>
    <w:p>
      <w:pPr>
        <w:keepNext w:val="0"/>
        <w:keepLines w:val="0"/>
        <w:pageBreakBefore w:val="0"/>
        <w:tabs>
          <w:tab w:val="left" w:pos="880"/>
        </w:tabs>
        <w:kinsoku/>
        <w:wordWrap/>
        <w:overflowPunct/>
        <w:bidi w:val="0"/>
        <w:adjustRightInd w:val="0"/>
        <w:snapToGrid w:val="0"/>
        <w:spacing w:line="360" w:lineRule="auto"/>
        <w:ind w:left="105" w:leftChars="50" w:right="283" w:rightChars="0" w:firstLine="447"/>
        <w:textAlignment w:val="auto"/>
        <w:rPr>
          <w:rFonts w:hint="eastAsia" w:ascii="宋体" w:hAnsi="宋体" w:eastAsia="宋体" w:cs="宋体"/>
          <w:color w:val="auto"/>
          <w:sz w:val="20"/>
          <w:szCs w:val="20"/>
          <w:highlight w:val="none"/>
        </w:rPr>
      </w:pPr>
    </w:p>
    <w:p>
      <w:pPr>
        <w:keepNext w:val="0"/>
        <w:keepLines w:val="0"/>
        <w:pageBreakBefore w:val="0"/>
        <w:tabs>
          <w:tab w:val="left" w:pos="880"/>
        </w:tabs>
        <w:kinsoku/>
        <w:wordWrap/>
        <w:overflowPunct/>
        <w:bidi w:val="0"/>
        <w:adjustRightInd w:val="0"/>
        <w:snapToGrid w:val="0"/>
        <w:spacing w:line="360" w:lineRule="auto"/>
        <w:ind w:left="105" w:leftChars="50" w:right="283" w:rightChars="0" w:firstLine="447"/>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甲方法定代表人：                     乙方法定代表人：</w:t>
      </w:r>
    </w:p>
    <w:p>
      <w:pPr>
        <w:keepNext w:val="0"/>
        <w:keepLines w:val="0"/>
        <w:pageBreakBefore w:val="0"/>
        <w:tabs>
          <w:tab w:val="left" w:pos="880"/>
        </w:tabs>
        <w:kinsoku/>
        <w:wordWrap/>
        <w:overflowPunct/>
        <w:bidi w:val="0"/>
        <w:adjustRightInd w:val="0"/>
        <w:snapToGrid w:val="0"/>
        <w:spacing w:line="360" w:lineRule="auto"/>
        <w:ind w:left="105" w:leftChars="50" w:right="283" w:rightChars="0" w:firstLine="447"/>
        <w:textAlignment w:val="auto"/>
        <w:rPr>
          <w:rFonts w:hint="eastAsia" w:ascii="宋体" w:hAnsi="宋体" w:eastAsia="宋体" w:cs="宋体"/>
          <w:color w:val="auto"/>
          <w:sz w:val="20"/>
          <w:szCs w:val="20"/>
          <w:highlight w:val="none"/>
        </w:rPr>
      </w:pPr>
    </w:p>
    <w:p>
      <w:pPr>
        <w:keepNext w:val="0"/>
        <w:keepLines w:val="0"/>
        <w:pageBreakBefore w:val="0"/>
        <w:tabs>
          <w:tab w:val="left" w:pos="880"/>
        </w:tabs>
        <w:kinsoku/>
        <w:wordWrap/>
        <w:overflowPunct/>
        <w:bidi w:val="0"/>
        <w:adjustRightInd w:val="0"/>
        <w:snapToGrid w:val="0"/>
        <w:spacing w:line="360" w:lineRule="auto"/>
        <w:ind w:left="105" w:leftChars="50" w:right="283" w:rightChars="0" w:firstLine="447"/>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委托代理人（签字）：                 委托代理人（签字）：</w:t>
      </w:r>
    </w:p>
    <w:p>
      <w:pPr>
        <w:pStyle w:val="2"/>
        <w:keepNext w:val="0"/>
        <w:keepLines w:val="0"/>
        <w:pageBreakBefore w:val="0"/>
        <w:tabs>
          <w:tab w:val="left" w:pos="880"/>
        </w:tabs>
        <w:kinsoku/>
        <w:wordWrap/>
        <w:overflowPunct/>
        <w:bidi w:val="0"/>
        <w:spacing w:line="360" w:lineRule="auto"/>
        <w:ind w:left="105" w:leftChars="50" w:right="283" w:rightChars="0" w:firstLine="447"/>
        <w:textAlignment w:val="auto"/>
        <w:rPr>
          <w:rFonts w:hint="eastAsia" w:ascii="宋体" w:hAnsi="宋体" w:eastAsia="宋体" w:cs="宋体"/>
          <w:color w:val="auto"/>
          <w:sz w:val="20"/>
          <w:szCs w:val="20"/>
          <w:highlight w:val="none"/>
        </w:rPr>
      </w:pPr>
    </w:p>
    <w:p>
      <w:pPr>
        <w:pStyle w:val="2"/>
        <w:keepNext w:val="0"/>
        <w:keepLines w:val="0"/>
        <w:pageBreakBefore w:val="0"/>
        <w:tabs>
          <w:tab w:val="left" w:pos="880"/>
        </w:tabs>
        <w:kinsoku/>
        <w:wordWrap/>
        <w:overflowPunct/>
        <w:bidi w:val="0"/>
        <w:spacing w:line="360" w:lineRule="auto"/>
        <w:ind w:left="105" w:leftChars="50" w:right="283" w:rightChars="0" w:firstLine="447"/>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 xml:space="preserve">  经办人：                              经办人： </w:t>
      </w:r>
    </w:p>
    <w:p>
      <w:pPr>
        <w:pStyle w:val="2"/>
        <w:keepNext w:val="0"/>
        <w:keepLines w:val="0"/>
        <w:pageBreakBefore w:val="0"/>
        <w:tabs>
          <w:tab w:val="left" w:pos="880"/>
        </w:tabs>
        <w:kinsoku/>
        <w:wordWrap/>
        <w:overflowPunct/>
        <w:bidi w:val="0"/>
        <w:spacing w:line="360" w:lineRule="auto"/>
        <w:ind w:left="105" w:leftChars="50" w:right="283" w:rightChars="0" w:firstLine="447"/>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 xml:space="preserve">                      </w:t>
      </w:r>
    </w:p>
    <w:p>
      <w:pPr>
        <w:keepNext w:val="0"/>
        <w:keepLines w:val="0"/>
        <w:pageBreakBefore w:val="0"/>
        <w:tabs>
          <w:tab w:val="left" w:pos="880"/>
        </w:tabs>
        <w:kinsoku/>
        <w:wordWrap/>
        <w:overflowPunct/>
        <w:bidi w:val="0"/>
        <w:adjustRightInd w:val="0"/>
        <w:snapToGrid w:val="0"/>
        <w:spacing w:line="360" w:lineRule="auto"/>
        <w:ind w:left="105" w:leftChars="50" w:right="283" w:rightChars="0" w:firstLine="447"/>
        <w:textAlignment w:val="auto"/>
        <w:rPr>
          <w:rFonts w:hint="eastAsia" w:ascii="宋体" w:hAnsi="宋体" w:eastAsia="宋体" w:cs="宋体"/>
          <w:color w:val="auto"/>
          <w:sz w:val="20"/>
          <w:szCs w:val="20"/>
          <w:highlight w:val="none"/>
        </w:rPr>
      </w:pPr>
    </w:p>
    <w:p>
      <w:pPr>
        <w:keepNext w:val="0"/>
        <w:keepLines w:val="0"/>
        <w:pageBreakBefore w:val="0"/>
        <w:tabs>
          <w:tab w:val="left" w:pos="880"/>
        </w:tabs>
        <w:kinsoku/>
        <w:wordWrap/>
        <w:overflowPunct/>
        <w:bidi w:val="0"/>
        <w:adjustRightInd w:val="0"/>
        <w:snapToGrid w:val="0"/>
        <w:spacing w:line="360" w:lineRule="auto"/>
        <w:ind w:left="105" w:leftChars="50" w:right="283" w:rightChars="0" w:firstLine="447"/>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日期：    年     月    日            日期：    年    月    日</w:t>
      </w:r>
    </w:p>
    <w:p>
      <w:pPr>
        <w:keepNext w:val="0"/>
        <w:keepLines w:val="0"/>
        <w:pageBreakBefore w:val="0"/>
        <w:widowControl/>
        <w:tabs>
          <w:tab w:val="left" w:pos="880"/>
        </w:tabs>
        <w:kinsoku/>
        <w:wordWrap/>
        <w:overflowPunct/>
        <w:autoSpaceDE/>
        <w:autoSpaceDN/>
        <w:bidi w:val="0"/>
        <w:spacing w:line="360" w:lineRule="auto"/>
        <w:ind w:left="105" w:leftChars="50" w:right="283" w:rightChars="0" w:firstLine="447"/>
        <w:textAlignment w:val="auto"/>
        <w:rPr>
          <w:rFonts w:hint="eastAsia" w:ascii="宋体" w:hAnsi="宋体" w:eastAsia="宋体" w:cs="宋体"/>
          <w:color w:val="auto"/>
          <w:sz w:val="20"/>
          <w:szCs w:val="20"/>
          <w:highlight w:val="none"/>
        </w:rPr>
      </w:pPr>
    </w:p>
    <w:p>
      <w:pPr>
        <w:keepNext w:val="0"/>
        <w:keepLines w:val="0"/>
        <w:pageBreakBefore w:val="0"/>
        <w:widowControl/>
        <w:tabs>
          <w:tab w:val="left" w:pos="880"/>
        </w:tabs>
        <w:kinsoku/>
        <w:wordWrap/>
        <w:overflowPunct/>
        <w:autoSpaceDE/>
        <w:autoSpaceDN/>
        <w:bidi w:val="0"/>
        <w:spacing w:line="360" w:lineRule="auto"/>
        <w:ind w:left="105" w:leftChars="50" w:right="283" w:rightChars="0" w:firstLine="447"/>
        <w:textAlignment w:val="auto"/>
        <w:rPr>
          <w:rFonts w:hint="eastAsia" w:ascii="宋体" w:hAnsi="宋体" w:eastAsia="宋体" w:cs="宋体"/>
          <w:color w:val="auto"/>
          <w:szCs w:val="21"/>
          <w:highlight w:val="none"/>
        </w:rPr>
        <w:sectPr>
          <w:headerReference r:id="rId3" w:type="default"/>
          <w:footerReference r:id="rId4" w:type="default"/>
          <w:pgSz w:w="11910" w:h="16850"/>
          <w:pgMar w:top="1440" w:right="1800" w:bottom="1440" w:left="1800" w:header="0" w:footer="881" w:gutter="0"/>
          <w:pgNumType w:fmt="decimal"/>
          <w:cols w:space="720" w:num="1"/>
        </w:sectPr>
      </w:pPr>
    </w:p>
    <w:p>
      <w:pPr>
        <w:widowControl/>
        <w:tabs>
          <w:tab w:val="left" w:pos="880"/>
        </w:tabs>
        <w:spacing w:line="360" w:lineRule="auto"/>
        <w:ind w:left="-7" w:firstLine="447"/>
        <w:outlineLvl w:val="1"/>
        <w:rPr>
          <w:rFonts w:hint="eastAsia" w:ascii="宋体" w:hAnsi="宋体" w:eastAsia="宋体" w:cs="宋体"/>
          <w:b/>
          <w:bCs/>
          <w:color w:val="auto"/>
          <w:sz w:val="24"/>
          <w:szCs w:val="24"/>
          <w:highlight w:val="none"/>
        </w:rPr>
      </w:pPr>
      <w:bookmarkStart w:id="6" w:name="_Toc10037"/>
      <w:bookmarkStart w:id="7" w:name="_Toc26088"/>
      <w:r>
        <w:rPr>
          <w:rFonts w:hint="eastAsia" w:ascii="宋体" w:hAnsi="宋体" w:eastAsia="宋体" w:cs="宋体"/>
          <w:b/>
          <w:bCs/>
          <w:color w:val="auto"/>
          <w:sz w:val="24"/>
          <w:szCs w:val="24"/>
          <w:highlight w:val="none"/>
        </w:rPr>
        <w:t>协议书附件《合同暂定总价明细表》</w:t>
      </w:r>
      <w:bookmarkEnd w:id="6"/>
      <w:bookmarkEnd w:id="7"/>
    </w:p>
    <w:tbl>
      <w:tblPr>
        <w:tblStyle w:val="11"/>
        <w:tblpPr w:leftFromText="180" w:rightFromText="180" w:vertAnchor="text" w:horzAnchor="margin" w:tblpXSpec="center" w:tblpY="114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559"/>
        <w:gridCol w:w="1134"/>
        <w:gridCol w:w="993"/>
        <w:gridCol w:w="1060"/>
        <w:gridCol w:w="1349"/>
        <w:gridCol w:w="1418"/>
        <w:gridCol w:w="1134"/>
        <w:gridCol w:w="1417"/>
        <w:gridCol w:w="1560"/>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4709" w:type="dxa"/>
            <w:gridSpan w:val="11"/>
            <w:shd w:val="clear" w:color="auto" w:fill="auto"/>
            <w:vAlign w:val="center"/>
          </w:tcPr>
          <w:p>
            <w:pPr>
              <w:widowControl/>
              <w:tabs>
                <w:tab w:val="left" w:pos="880"/>
              </w:tabs>
              <w:spacing w:line="360" w:lineRule="auto"/>
              <w:ind w:left="0"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电梯数量，参数及价格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817" w:type="dxa"/>
            <w:shd w:val="clear" w:color="auto" w:fill="auto"/>
            <w:vAlign w:val="center"/>
          </w:tcPr>
          <w:p>
            <w:pPr>
              <w:widowControl/>
              <w:tabs>
                <w:tab w:val="left" w:pos="880"/>
              </w:tabs>
              <w:spacing w:line="360" w:lineRule="auto"/>
              <w:ind w:left="-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559" w:type="dxa"/>
            <w:shd w:val="clear" w:color="auto" w:fill="auto"/>
            <w:vAlign w:val="center"/>
          </w:tcPr>
          <w:p>
            <w:pPr>
              <w:widowControl/>
              <w:tabs>
                <w:tab w:val="left" w:pos="880"/>
              </w:tabs>
              <w:spacing w:line="360" w:lineRule="auto"/>
              <w:ind w:left="-7" w:firstLine="44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梯型</w:t>
            </w:r>
          </w:p>
        </w:tc>
        <w:tc>
          <w:tcPr>
            <w:tcW w:w="1134" w:type="dxa"/>
            <w:shd w:val="clear" w:color="auto" w:fill="auto"/>
            <w:vAlign w:val="center"/>
          </w:tcPr>
          <w:p>
            <w:pPr>
              <w:widowControl/>
              <w:tabs>
                <w:tab w:val="left" w:pos="880"/>
              </w:tabs>
              <w:spacing w:line="360" w:lineRule="auto"/>
              <w:ind w:left="-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层站</w:t>
            </w:r>
          </w:p>
        </w:tc>
        <w:tc>
          <w:tcPr>
            <w:tcW w:w="993" w:type="dxa"/>
            <w:shd w:val="clear" w:color="auto" w:fill="auto"/>
            <w:vAlign w:val="center"/>
          </w:tcPr>
          <w:p>
            <w:pPr>
              <w:widowControl/>
              <w:tabs>
                <w:tab w:val="left" w:pos="880"/>
              </w:tabs>
              <w:spacing w:line="360" w:lineRule="auto"/>
              <w:ind w:left="-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载重</w:t>
            </w:r>
          </w:p>
        </w:tc>
        <w:tc>
          <w:tcPr>
            <w:tcW w:w="1060" w:type="dxa"/>
            <w:shd w:val="clear" w:color="auto" w:fill="auto"/>
            <w:vAlign w:val="center"/>
          </w:tcPr>
          <w:p>
            <w:pPr>
              <w:widowControl/>
              <w:tabs>
                <w:tab w:val="left" w:pos="880"/>
              </w:tabs>
              <w:spacing w:line="360" w:lineRule="auto"/>
              <w:ind w:left="-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速度</w:t>
            </w:r>
          </w:p>
        </w:tc>
        <w:tc>
          <w:tcPr>
            <w:tcW w:w="1349" w:type="dxa"/>
            <w:shd w:val="clear" w:color="auto" w:fill="auto"/>
            <w:vAlign w:val="center"/>
          </w:tcPr>
          <w:p>
            <w:pPr>
              <w:widowControl/>
              <w:tabs>
                <w:tab w:val="left" w:pos="880"/>
              </w:tabs>
              <w:spacing w:line="360" w:lineRule="auto"/>
              <w:ind w:left="-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设备费单价（元）</w:t>
            </w:r>
          </w:p>
        </w:tc>
        <w:tc>
          <w:tcPr>
            <w:tcW w:w="1418" w:type="dxa"/>
            <w:shd w:val="clear" w:color="auto" w:fill="auto"/>
            <w:vAlign w:val="center"/>
          </w:tcPr>
          <w:p>
            <w:pPr>
              <w:widowControl/>
              <w:tabs>
                <w:tab w:val="left" w:pos="880"/>
              </w:tabs>
              <w:spacing w:line="360" w:lineRule="auto"/>
              <w:ind w:left="-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安装费单价（元）</w:t>
            </w:r>
          </w:p>
        </w:tc>
        <w:tc>
          <w:tcPr>
            <w:tcW w:w="1134" w:type="dxa"/>
            <w:shd w:val="clear" w:color="auto" w:fill="auto"/>
            <w:vAlign w:val="center"/>
          </w:tcPr>
          <w:p>
            <w:pPr>
              <w:widowControl/>
              <w:tabs>
                <w:tab w:val="left" w:pos="880"/>
              </w:tabs>
              <w:spacing w:line="360" w:lineRule="auto"/>
              <w:ind w:left="-7"/>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数量（台）</w:t>
            </w:r>
          </w:p>
        </w:tc>
        <w:tc>
          <w:tcPr>
            <w:tcW w:w="1417" w:type="dxa"/>
            <w:shd w:val="clear" w:color="auto" w:fill="auto"/>
            <w:vAlign w:val="center"/>
          </w:tcPr>
          <w:p>
            <w:pPr>
              <w:widowControl/>
              <w:tabs>
                <w:tab w:val="left" w:pos="880"/>
              </w:tabs>
              <w:spacing w:line="360" w:lineRule="auto"/>
              <w:ind w:left="-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设备费合计（元）</w:t>
            </w:r>
          </w:p>
        </w:tc>
        <w:tc>
          <w:tcPr>
            <w:tcW w:w="1560" w:type="dxa"/>
            <w:shd w:val="clear" w:color="auto" w:fill="auto"/>
            <w:vAlign w:val="center"/>
          </w:tcPr>
          <w:p>
            <w:pPr>
              <w:widowControl/>
              <w:tabs>
                <w:tab w:val="left" w:pos="880"/>
              </w:tabs>
              <w:spacing w:line="360" w:lineRule="auto"/>
              <w:ind w:left="-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安装费合计（元）</w:t>
            </w:r>
          </w:p>
        </w:tc>
        <w:tc>
          <w:tcPr>
            <w:tcW w:w="2268" w:type="dxa"/>
            <w:shd w:val="clear" w:color="auto" w:fill="auto"/>
            <w:vAlign w:val="center"/>
          </w:tcPr>
          <w:p>
            <w:pPr>
              <w:widowControl/>
              <w:tabs>
                <w:tab w:val="left" w:pos="880"/>
              </w:tabs>
              <w:spacing w:line="360" w:lineRule="auto"/>
              <w:ind w:left="-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设备费+安装费合计（元）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817" w:type="dxa"/>
            <w:shd w:val="clear" w:color="auto" w:fill="auto"/>
            <w:vAlign w:val="center"/>
          </w:tcPr>
          <w:p>
            <w:pPr>
              <w:widowControl/>
              <w:tabs>
                <w:tab w:val="left" w:pos="880"/>
              </w:tabs>
              <w:spacing w:line="360" w:lineRule="auto"/>
              <w:ind w:left="-7" w:firstLine="447"/>
              <w:jc w:val="center"/>
              <w:rPr>
                <w:rFonts w:hint="eastAsia" w:ascii="宋体" w:hAnsi="宋体" w:eastAsia="宋体" w:cs="宋体"/>
                <w:color w:val="auto"/>
                <w:sz w:val="24"/>
                <w:szCs w:val="24"/>
                <w:highlight w:val="none"/>
              </w:rPr>
            </w:pPr>
          </w:p>
        </w:tc>
        <w:tc>
          <w:tcPr>
            <w:tcW w:w="1559" w:type="dxa"/>
            <w:shd w:val="clear" w:color="auto" w:fill="auto"/>
            <w:vAlign w:val="center"/>
          </w:tcPr>
          <w:p>
            <w:pPr>
              <w:widowControl/>
              <w:tabs>
                <w:tab w:val="left" w:pos="880"/>
              </w:tabs>
              <w:spacing w:line="360" w:lineRule="auto"/>
              <w:ind w:left="-7" w:firstLine="447"/>
              <w:jc w:val="center"/>
              <w:rPr>
                <w:rFonts w:hint="eastAsia" w:ascii="宋体" w:hAnsi="宋体" w:eastAsia="宋体" w:cs="宋体"/>
                <w:color w:val="auto"/>
                <w:sz w:val="24"/>
                <w:szCs w:val="24"/>
                <w:highlight w:val="none"/>
              </w:rPr>
            </w:pPr>
          </w:p>
        </w:tc>
        <w:tc>
          <w:tcPr>
            <w:tcW w:w="1134" w:type="dxa"/>
            <w:shd w:val="clear" w:color="auto" w:fill="auto"/>
            <w:vAlign w:val="center"/>
          </w:tcPr>
          <w:p>
            <w:pPr>
              <w:widowControl/>
              <w:tabs>
                <w:tab w:val="left" w:pos="880"/>
              </w:tabs>
              <w:spacing w:line="360" w:lineRule="auto"/>
              <w:ind w:left="-7" w:firstLine="447"/>
              <w:jc w:val="center"/>
              <w:rPr>
                <w:rFonts w:hint="eastAsia" w:ascii="宋体" w:hAnsi="宋体" w:eastAsia="宋体" w:cs="宋体"/>
                <w:color w:val="auto"/>
                <w:sz w:val="24"/>
                <w:szCs w:val="24"/>
                <w:highlight w:val="none"/>
              </w:rPr>
            </w:pPr>
          </w:p>
        </w:tc>
        <w:tc>
          <w:tcPr>
            <w:tcW w:w="993" w:type="dxa"/>
            <w:shd w:val="clear" w:color="auto" w:fill="auto"/>
            <w:vAlign w:val="center"/>
          </w:tcPr>
          <w:p>
            <w:pPr>
              <w:widowControl/>
              <w:tabs>
                <w:tab w:val="left" w:pos="880"/>
              </w:tabs>
              <w:spacing w:line="360" w:lineRule="auto"/>
              <w:ind w:left="-7" w:firstLine="447"/>
              <w:jc w:val="center"/>
              <w:rPr>
                <w:rFonts w:hint="eastAsia" w:ascii="宋体" w:hAnsi="宋体" w:eastAsia="宋体" w:cs="宋体"/>
                <w:color w:val="auto"/>
                <w:sz w:val="24"/>
                <w:szCs w:val="24"/>
                <w:highlight w:val="none"/>
              </w:rPr>
            </w:pPr>
          </w:p>
        </w:tc>
        <w:tc>
          <w:tcPr>
            <w:tcW w:w="1060" w:type="dxa"/>
            <w:shd w:val="clear" w:color="auto" w:fill="auto"/>
            <w:vAlign w:val="center"/>
          </w:tcPr>
          <w:p>
            <w:pPr>
              <w:widowControl/>
              <w:tabs>
                <w:tab w:val="left" w:pos="880"/>
              </w:tabs>
              <w:spacing w:line="360" w:lineRule="auto"/>
              <w:ind w:left="-7" w:firstLine="447"/>
              <w:jc w:val="center"/>
              <w:rPr>
                <w:rFonts w:hint="eastAsia" w:ascii="宋体" w:hAnsi="宋体" w:eastAsia="宋体" w:cs="宋体"/>
                <w:color w:val="auto"/>
                <w:sz w:val="24"/>
                <w:szCs w:val="24"/>
                <w:highlight w:val="none"/>
              </w:rPr>
            </w:pPr>
          </w:p>
        </w:tc>
        <w:tc>
          <w:tcPr>
            <w:tcW w:w="1349" w:type="dxa"/>
            <w:shd w:val="clear" w:color="auto" w:fill="auto"/>
            <w:vAlign w:val="center"/>
          </w:tcPr>
          <w:p>
            <w:pPr>
              <w:widowControl/>
              <w:tabs>
                <w:tab w:val="left" w:pos="880"/>
              </w:tabs>
              <w:spacing w:line="360" w:lineRule="auto"/>
              <w:ind w:left="-7" w:firstLine="447"/>
              <w:jc w:val="center"/>
              <w:rPr>
                <w:rFonts w:hint="eastAsia" w:ascii="宋体" w:hAnsi="宋体" w:eastAsia="宋体" w:cs="宋体"/>
                <w:color w:val="auto"/>
                <w:sz w:val="24"/>
                <w:szCs w:val="24"/>
                <w:highlight w:val="none"/>
              </w:rPr>
            </w:pPr>
          </w:p>
        </w:tc>
        <w:tc>
          <w:tcPr>
            <w:tcW w:w="1418" w:type="dxa"/>
            <w:shd w:val="clear" w:color="auto" w:fill="auto"/>
            <w:vAlign w:val="center"/>
          </w:tcPr>
          <w:p>
            <w:pPr>
              <w:widowControl/>
              <w:tabs>
                <w:tab w:val="left" w:pos="880"/>
              </w:tabs>
              <w:spacing w:line="360" w:lineRule="auto"/>
              <w:ind w:left="-7" w:firstLine="447"/>
              <w:jc w:val="center"/>
              <w:rPr>
                <w:rFonts w:hint="eastAsia" w:ascii="宋体" w:hAnsi="宋体" w:eastAsia="宋体" w:cs="宋体"/>
                <w:color w:val="auto"/>
                <w:sz w:val="24"/>
                <w:szCs w:val="24"/>
                <w:highlight w:val="none"/>
              </w:rPr>
            </w:pPr>
          </w:p>
        </w:tc>
        <w:tc>
          <w:tcPr>
            <w:tcW w:w="1134" w:type="dxa"/>
            <w:shd w:val="clear" w:color="auto" w:fill="auto"/>
            <w:vAlign w:val="center"/>
          </w:tcPr>
          <w:p>
            <w:pPr>
              <w:widowControl/>
              <w:tabs>
                <w:tab w:val="left" w:pos="880"/>
              </w:tabs>
              <w:spacing w:line="360" w:lineRule="auto"/>
              <w:ind w:left="-7" w:firstLine="447"/>
              <w:jc w:val="center"/>
              <w:rPr>
                <w:rFonts w:hint="eastAsia" w:ascii="宋体" w:hAnsi="宋体" w:eastAsia="宋体" w:cs="宋体"/>
                <w:color w:val="auto"/>
                <w:sz w:val="24"/>
                <w:szCs w:val="24"/>
                <w:highlight w:val="none"/>
              </w:rPr>
            </w:pPr>
          </w:p>
        </w:tc>
        <w:tc>
          <w:tcPr>
            <w:tcW w:w="1417" w:type="dxa"/>
            <w:shd w:val="clear" w:color="auto" w:fill="auto"/>
            <w:vAlign w:val="center"/>
          </w:tcPr>
          <w:p>
            <w:pPr>
              <w:widowControl/>
              <w:tabs>
                <w:tab w:val="left" w:pos="880"/>
              </w:tabs>
              <w:spacing w:line="360" w:lineRule="auto"/>
              <w:ind w:left="-7" w:firstLine="447"/>
              <w:rPr>
                <w:rFonts w:hint="eastAsia" w:ascii="宋体" w:hAnsi="宋体" w:eastAsia="宋体" w:cs="宋体"/>
                <w:color w:val="auto"/>
                <w:sz w:val="24"/>
                <w:szCs w:val="24"/>
                <w:highlight w:val="none"/>
              </w:rPr>
            </w:pPr>
          </w:p>
        </w:tc>
        <w:tc>
          <w:tcPr>
            <w:tcW w:w="1560" w:type="dxa"/>
            <w:shd w:val="clear" w:color="auto" w:fill="auto"/>
            <w:vAlign w:val="center"/>
          </w:tcPr>
          <w:p>
            <w:pPr>
              <w:widowControl/>
              <w:tabs>
                <w:tab w:val="left" w:pos="880"/>
              </w:tabs>
              <w:spacing w:line="360" w:lineRule="auto"/>
              <w:ind w:left="-7" w:firstLine="447"/>
              <w:rPr>
                <w:rFonts w:hint="eastAsia" w:ascii="宋体" w:hAnsi="宋体" w:eastAsia="宋体" w:cs="宋体"/>
                <w:color w:val="auto"/>
                <w:sz w:val="24"/>
                <w:szCs w:val="24"/>
                <w:highlight w:val="none"/>
              </w:rPr>
            </w:pPr>
          </w:p>
        </w:tc>
        <w:tc>
          <w:tcPr>
            <w:tcW w:w="2268" w:type="dxa"/>
            <w:shd w:val="clear" w:color="auto" w:fill="auto"/>
            <w:vAlign w:val="center"/>
          </w:tcPr>
          <w:p>
            <w:pPr>
              <w:widowControl/>
              <w:tabs>
                <w:tab w:val="left" w:pos="880"/>
              </w:tabs>
              <w:spacing w:line="360" w:lineRule="auto"/>
              <w:ind w:left="-7" w:firstLine="447"/>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817" w:type="dxa"/>
            <w:shd w:val="clear" w:color="auto" w:fill="auto"/>
            <w:vAlign w:val="center"/>
          </w:tcPr>
          <w:p>
            <w:pPr>
              <w:widowControl/>
              <w:tabs>
                <w:tab w:val="left" w:pos="880"/>
              </w:tabs>
              <w:spacing w:line="360" w:lineRule="auto"/>
              <w:ind w:left="-7" w:firstLine="447"/>
              <w:jc w:val="center"/>
              <w:rPr>
                <w:rFonts w:hint="eastAsia" w:ascii="宋体" w:hAnsi="宋体" w:eastAsia="宋体" w:cs="宋体"/>
                <w:color w:val="auto"/>
                <w:sz w:val="24"/>
                <w:szCs w:val="24"/>
                <w:highlight w:val="none"/>
              </w:rPr>
            </w:pPr>
          </w:p>
        </w:tc>
        <w:tc>
          <w:tcPr>
            <w:tcW w:w="1559" w:type="dxa"/>
            <w:shd w:val="clear" w:color="auto" w:fill="auto"/>
            <w:vAlign w:val="center"/>
          </w:tcPr>
          <w:p>
            <w:pPr>
              <w:widowControl/>
              <w:tabs>
                <w:tab w:val="left" w:pos="880"/>
              </w:tabs>
              <w:spacing w:line="360" w:lineRule="auto"/>
              <w:ind w:left="-7" w:firstLine="447"/>
              <w:jc w:val="center"/>
              <w:rPr>
                <w:rFonts w:hint="eastAsia" w:ascii="宋体" w:hAnsi="宋体" w:eastAsia="宋体" w:cs="宋体"/>
                <w:color w:val="auto"/>
                <w:sz w:val="24"/>
                <w:szCs w:val="24"/>
                <w:highlight w:val="none"/>
              </w:rPr>
            </w:pPr>
          </w:p>
        </w:tc>
        <w:tc>
          <w:tcPr>
            <w:tcW w:w="1134" w:type="dxa"/>
            <w:shd w:val="clear" w:color="auto" w:fill="auto"/>
            <w:vAlign w:val="center"/>
          </w:tcPr>
          <w:p>
            <w:pPr>
              <w:widowControl/>
              <w:tabs>
                <w:tab w:val="left" w:pos="880"/>
              </w:tabs>
              <w:spacing w:line="360" w:lineRule="auto"/>
              <w:ind w:left="-7" w:firstLine="447"/>
              <w:jc w:val="center"/>
              <w:rPr>
                <w:rFonts w:hint="eastAsia" w:ascii="宋体" w:hAnsi="宋体" w:eastAsia="宋体" w:cs="宋体"/>
                <w:color w:val="auto"/>
                <w:sz w:val="24"/>
                <w:szCs w:val="24"/>
                <w:highlight w:val="none"/>
              </w:rPr>
            </w:pPr>
          </w:p>
        </w:tc>
        <w:tc>
          <w:tcPr>
            <w:tcW w:w="993" w:type="dxa"/>
            <w:shd w:val="clear" w:color="auto" w:fill="auto"/>
            <w:vAlign w:val="center"/>
          </w:tcPr>
          <w:p>
            <w:pPr>
              <w:widowControl/>
              <w:tabs>
                <w:tab w:val="left" w:pos="880"/>
              </w:tabs>
              <w:spacing w:line="360" w:lineRule="auto"/>
              <w:ind w:left="-7" w:firstLine="447"/>
              <w:jc w:val="center"/>
              <w:rPr>
                <w:rFonts w:hint="eastAsia" w:ascii="宋体" w:hAnsi="宋体" w:eastAsia="宋体" w:cs="宋体"/>
                <w:color w:val="auto"/>
                <w:sz w:val="24"/>
                <w:szCs w:val="24"/>
                <w:highlight w:val="none"/>
              </w:rPr>
            </w:pPr>
          </w:p>
        </w:tc>
        <w:tc>
          <w:tcPr>
            <w:tcW w:w="1060" w:type="dxa"/>
            <w:shd w:val="clear" w:color="auto" w:fill="auto"/>
            <w:vAlign w:val="center"/>
          </w:tcPr>
          <w:p>
            <w:pPr>
              <w:widowControl/>
              <w:tabs>
                <w:tab w:val="left" w:pos="880"/>
              </w:tabs>
              <w:spacing w:line="360" w:lineRule="auto"/>
              <w:ind w:left="-7" w:firstLine="447"/>
              <w:jc w:val="center"/>
              <w:rPr>
                <w:rFonts w:hint="eastAsia" w:ascii="宋体" w:hAnsi="宋体" w:eastAsia="宋体" w:cs="宋体"/>
                <w:color w:val="auto"/>
                <w:sz w:val="24"/>
                <w:szCs w:val="24"/>
                <w:highlight w:val="none"/>
              </w:rPr>
            </w:pPr>
          </w:p>
        </w:tc>
        <w:tc>
          <w:tcPr>
            <w:tcW w:w="1349" w:type="dxa"/>
            <w:shd w:val="clear" w:color="auto" w:fill="auto"/>
            <w:vAlign w:val="center"/>
          </w:tcPr>
          <w:p>
            <w:pPr>
              <w:widowControl/>
              <w:tabs>
                <w:tab w:val="left" w:pos="880"/>
              </w:tabs>
              <w:spacing w:line="360" w:lineRule="auto"/>
              <w:ind w:left="-7" w:firstLine="447"/>
              <w:jc w:val="center"/>
              <w:rPr>
                <w:rFonts w:hint="eastAsia" w:ascii="宋体" w:hAnsi="宋体" w:eastAsia="宋体" w:cs="宋体"/>
                <w:color w:val="auto"/>
                <w:sz w:val="24"/>
                <w:szCs w:val="24"/>
                <w:highlight w:val="none"/>
              </w:rPr>
            </w:pPr>
          </w:p>
        </w:tc>
        <w:tc>
          <w:tcPr>
            <w:tcW w:w="1418" w:type="dxa"/>
            <w:shd w:val="clear" w:color="auto" w:fill="auto"/>
            <w:vAlign w:val="center"/>
          </w:tcPr>
          <w:p>
            <w:pPr>
              <w:widowControl/>
              <w:tabs>
                <w:tab w:val="left" w:pos="880"/>
              </w:tabs>
              <w:spacing w:line="360" w:lineRule="auto"/>
              <w:ind w:left="-7" w:firstLine="447"/>
              <w:jc w:val="center"/>
              <w:rPr>
                <w:rFonts w:hint="eastAsia" w:ascii="宋体" w:hAnsi="宋体" w:eastAsia="宋体" w:cs="宋体"/>
                <w:color w:val="auto"/>
                <w:sz w:val="24"/>
                <w:szCs w:val="24"/>
                <w:highlight w:val="none"/>
              </w:rPr>
            </w:pPr>
          </w:p>
        </w:tc>
        <w:tc>
          <w:tcPr>
            <w:tcW w:w="1134" w:type="dxa"/>
            <w:shd w:val="clear" w:color="auto" w:fill="auto"/>
            <w:vAlign w:val="center"/>
          </w:tcPr>
          <w:p>
            <w:pPr>
              <w:widowControl/>
              <w:tabs>
                <w:tab w:val="left" w:pos="880"/>
              </w:tabs>
              <w:spacing w:line="360" w:lineRule="auto"/>
              <w:ind w:left="-7" w:firstLine="447"/>
              <w:jc w:val="center"/>
              <w:rPr>
                <w:rFonts w:hint="eastAsia" w:ascii="宋体" w:hAnsi="宋体" w:eastAsia="宋体" w:cs="宋体"/>
                <w:color w:val="auto"/>
                <w:sz w:val="24"/>
                <w:szCs w:val="24"/>
                <w:highlight w:val="none"/>
              </w:rPr>
            </w:pPr>
          </w:p>
        </w:tc>
        <w:tc>
          <w:tcPr>
            <w:tcW w:w="1417" w:type="dxa"/>
            <w:shd w:val="clear" w:color="auto" w:fill="auto"/>
            <w:vAlign w:val="center"/>
          </w:tcPr>
          <w:p>
            <w:pPr>
              <w:widowControl/>
              <w:tabs>
                <w:tab w:val="left" w:pos="880"/>
              </w:tabs>
              <w:spacing w:line="360" w:lineRule="auto"/>
              <w:ind w:left="-7" w:firstLine="447"/>
              <w:rPr>
                <w:rFonts w:hint="eastAsia" w:ascii="宋体" w:hAnsi="宋体" w:eastAsia="宋体" w:cs="宋体"/>
                <w:color w:val="auto"/>
                <w:sz w:val="24"/>
                <w:szCs w:val="24"/>
                <w:highlight w:val="none"/>
              </w:rPr>
            </w:pPr>
          </w:p>
        </w:tc>
        <w:tc>
          <w:tcPr>
            <w:tcW w:w="1560" w:type="dxa"/>
            <w:shd w:val="clear" w:color="auto" w:fill="auto"/>
            <w:vAlign w:val="center"/>
          </w:tcPr>
          <w:p>
            <w:pPr>
              <w:widowControl/>
              <w:tabs>
                <w:tab w:val="left" w:pos="880"/>
              </w:tabs>
              <w:spacing w:line="360" w:lineRule="auto"/>
              <w:ind w:left="-7" w:firstLine="447"/>
              <w:rPr>
                <w:rFonts w:hint="eastAsia" w:ascii="宋体" w:hAnsi="宋体" w:eastAsia="宋体" w:cs="宋体"/>
                <w:color w:val="auto"/>
                <w:sz w:val="24"/>
                <w:szCs w:val="24"/>
                <w:highlight w:val="none"/>
              </w:rPr>
            </w:pPr>
          </w:p>
        </w:tc>
        <w:tc>
          <w:tcPr>
            <w:tcW w:w="2268" w:type="dxa"/>
            <w:shd w:val="clear" w:color="auto" w:fill="auto"/>
            <w:vAlign w:val="center"/>
          </w:tcPr>
          <w:p>
            <w:pPr>
              <w:widowControl/>
              <w:tabs>
                <w:tab w:val="left" w:pos="880"/>
              </w:tabs>
              <w:spacing w:line="360" w:lineRule="auto"/>
              <w:ind w:left="-7" w:firstLine="447"/>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817" w:type="dxa"/>
            <w:shd w:val="clear" w:color="auto" w:fill="auto"/>
            <w:vAlign w:val="center"/>
          </w:tcPr>
          <w:p>
            <w:pPr>
              <w:widowControl/>
              <w:tabs>
                <w:tab w:val="left" w:pos="880"/>
              </w:tabs>
              <w:spacing w:line="360" w:lineRule="auto"/>
              <w:ind w:left="-7" w:firstLine="447"/>
              <w:jc w:val="center"/>
              <w:rPr>
                <w:rFonts w:hint="eastAsia" w:ascii="宋体" w:hAnsi="宋体" w:eastAsia="宋体" w:cs="宋体"/>
                <w:color w:val="auto"/>
                <w:sz w:val="24"/>
                <w:szCs w:val="24"/>
                <w:highlight w:val="none"/>
              </w:rPr>
            </w:pPr>
          </w:p>
        </w:tc>
        <w:tc>
          <w:tcPr>
            <w:tcW w:w="1559" w:type="dxa"/>
            <w:shd w:val="clear" w:color="auto" w:fill="auto"/>
            <w:vAlign w:val="center"/>
          </w:tcPr>
          <w:p>
            <w:pPr>
              <w:widowControl/>
              <w:tabs>
                <w:tab w:val="left" w:pos="880"/>
              </w:tabs>
              <w:spacing w:line="360" w:lineRule="auto"/>
              <w:ind w:left="-7" w:firstLine="447"/>
              <w:jc w:val="center"/>
              <w:rPr>
                <w:rFonts w:hint="eastAsia" w:ascii="宋体" w:hAnsi="宋体" w:eastAsia="宋体" w:cs="宋体"/>
                <w:color w:val="auto"/>
                <w:sz w:val="24"/>
                <w:szCs w:val="24"/>
                <w:highlight w:val="none"/>
              </w:rPr>
            </w:pPr>
          </w:p>
        </w:tc>
        <w:tc>
          <w:tcPr>
            <w:tcW w:w="1134" w:type="dxa"/>
            <w:shd w:val="clear" w:color="auto" w:fill="auto"/>
            <w:vAlign w:val="center"/>
          </w:tcPr>
          <w:p>
            <w:pPr>
              <w:widowControl/>
              <w:tabs>
                <w:tab w:val="left" w:pos="880"/>
              </w:tabs>
              <w:spacing w:line="360" w:lineRule="auto"/>
              <w:ind w:left="-7" w:firstLine="447"/>
              <w:jc w:val="center"/>
              <w:rPr>
                <w:rFonts w:hint="eastAsia" w:ascii="宋体" w:hAnsi="宋体" w:eastAsia="宋体" w:cs="宋体"/>
                <w:color w:val="auto"/>
                <w:sz w:val="24"/>
                <w:szCs w:val="24"/>
                <w:highlight w:val="none"/>
              </w:rPr>
            </w:pPr>
          </w:p>
        </w:tc>
        <w:tc>
          <w:tcPr>
            <w:tcW w:w="993" w:type="dxa"/>
            <w:shd w:val="clear" w:color="auto" w:fill="auto"/>
            <w:vAlign w:val="center"/>
          </w:tcPr>
          <w:p>
            <w:pPr>
              <w:widowControl/>
              <w:tabs>
                <w:tab w:val="left" w:pos="880"/>
              </w:tabs>
              <w:spacing w:line="360" w:lineRule="auto"/>
              <w:ind w:left="-7" w:firstLine="447"/>
              <w:jc w:val="center"/>
              <w:rPr>
                <w:rFonts w:hint="eastAsia" w:ascii="宋体" w:hAnsi="宋体" w:eastAsia="宋体" w:cs="宋体"/>
                <w:color w:val="auto"/>
                <w:sz w:val="24"/>
                <w:szCs w:val="24"/>
                <w:highlight w:val="none"/>
              </w:rPr>
            </w:pPr>
          </w:p>
        </w:tc>
        <w:tc>
          <w:tcPr>
            <w:tcW w:w="1060" w:type="dxa"/>
            <w:shd w:val="clear" w:color="auto" w:fill="auto"/>
            <w:vAlign w:val="center"/>
          </w:tcPr>
          <w:p>
            <w:pPr>
              <w:widowControl/>
              <w:tabs>
                <w:tab w:val="left" w:pos="880"/>
              </w:tabs>
              <w:spacing w:line="360" w:lineRule="auto"/>
              <w:ind w:left="-7" w:firstLine="447"/>
              <w:jc w:val="center"/>
              <w:rPr>
                <w:rFonts w:hint="eastAsia" w:ascii="宋体" w:hAnsi="宋体" w:eastAsia="宋体" w:cs="宋体"/>
                <w:color w:val="auto"/>
                <w:sz w:val="24"/>
                <w:szCs w:val="24"/>
                <w:highlight w:val="none"/>
              </w:rPr>
            </w:pPr>
          </w:p>
        </w:tc>
        <w:tc>
          <w:tcPr>
            <w:tcW w:w="1349" w:type="dxa"/>
            <w:shd w:val="clear" w:color="auto" w:fill="auto"/>
            <w:vAlign w:val="center"/>
          </w:tcPr>
          <w:p>
            <w:pPr>
              <w:widowControl/>
              <w:tabs>
                <w:tab w:val="left" w:pos="880"/>
              </w:tabs>
              <w:spacing w:line="360" w:lineRule="auto"/>
              <w:ind w:left="-7" w:firstLine="447"/>
              <w:jc w:val="center"/>
              <w:rPr>
                <w:rFonts w:hint="eastAsia" w:ascii="宋体" w:hAnsi="宋体" w:eastAsia="宋体" w:cs="宋体"/>
                <w:color w:val="auto"/>
                <w:sz w:val="24"/>
                <w:szCs w:val="24"/>
                <w:highlight w:val="none"/>
              </w:rPr>
            </w:pPr>
          </w:p>
        </w:tc>
        <w:tc>
          <w:tcPr>
            <w:tcW w:w="1418" w:type="dxa"/>
            <w:shd w:val="clear" w:color="auto" w:fill="auto"/>
            <w:vAlign w:val="center"/>
          </w:tcPr>
          <w:p>
            <w:pPr>
              <w:widowControl/>
              <w:tabs>
                <w:tab w:val="left" w:pos="880"/>
              </w:tabs>
              <w:spacing w:line="360" w:lineRule="auto"/>
              <w:ind w:left="-7" w:firstLine="447"/>
              <w:jc w:val="center"/>
              <w:rPr>
                <w:rFonts w:hint="eastAsia" w:ascii="宋体" w:hAnsi="宋体" w:eastAsia="宋体" w:cs="宋体"/>
                <w:color w:val="auto"/>
                <w:sz w:val="24"/>
                <w:szCs w:val="24"/>
                <w:highlight w:val="none"/>
              </w:rPr>
            </w:pPr>
          </w:p>
        </w:tc>
        <w:tc>
          <w:tcPr>
            <w:tcW w:w="1134" w:type="dxa"/>
            <w:shd w:val="clear" w:color="auto" w:fill="auto"/>
            <w:vAlign w:val="center"/>
          </w:tcPr>
          <w:p>
            <w:pPr>
              <w:widowControl/>
              <w:tabs>
                <w:tab w:val="left" w:pos="880"/>
              </w:tabs>
              <w:spacing w:line="360" w:lineRule="auto"/>
              <w:ind w:left="-7" w:firstLine="447"/>
              <w:jc w:val="center"/>
              <w:rPr>
                <w:rFonts w:hint="eastAsia" w:ascii="宋体" w:hAnsi="宋体" w:eastAsia="宋体" w:cs="宋体"/>
                <w:color w:val="auto"/>
                <w:sz w:val="24"/>
                <w:szCs w:val="24"/>
                <w:highlight w:val="none"/>
              </w:rPr>
            </w:pPr>
          </w:p>
        </w:tc>
        <w:tc>
          <w:tcPr>
            <w:tcW w:w="1417" w:type="dxa"/>
            <w:shd w:val="clear" w:color="auto" w:fill="auto"/>
            <w:vAlign w:val="center"/>
          </w:tcPr>
          <w:p>
            <w:pPr>
              <w:widowControl/>
              <w:tabs>
                <w:tab w:val="left" w:pos="880"/>
              </w:tabs>
              <w:spacing w:line="360" w:lineRule="auto"/>
              <w:ind w:left="-7" w:firstLine="447"/>
              <w:rPr>
                <w:rFonts w:hint="eastAsia" w:ascii="宋体" w:hAnsi="宋体" w:eastAsia="宋体" w:cs="宋体"/>
                <w:color w:val="auto"/>
                <w:sz w:val="24"/>
                <w:szCs w:val="24"/>
                <w:highlight w:val="none"/>
              </w:rPr>
            </w:pPr>
          </w:p>
        </w:tc>
        <w:tc>
          <w:tcPr>
            <w:tcW w:w="1560" w:type="dxa"/>
            <w:shd w:val="clear" w:color="auto" w:fill="auto"/>
            <w:vAlign w:val="center"/>
          </w:tcPr>
          <w:p>
            <w:pPr>
              <w:widowControl/>
              <w:tabs>
                <w:tab w:val="left" w:pos="880"/>
              </w:tabs>
              <w:spacing w:line="360" w:lineRule="auto"/>
              <w:ind w:left="-7" w:firstLine="447"/>
              <w:rPr>
                <w:rFonts w:hint="eastAsia" w:ascii="宋体" w:hAnsi="宋体" w:eastAsia="宋体" w:cs="宋体"/>
                <w:color w:val="auto"/>
                <w:sz w:val="24"/>
                <w:szCs w:val="24"/>
                <w:highlight w:val="none"/>
              </w:rPr>
            </w:pPr>
          </w:p>
        </w:tc>
        <w:tc>
          <w:tcPr>
            <w:tcW w:w="2268" w:type="dxa"/>
            <w:shd w:val="clear" w:color="auto" w:fill="auto"/>
            <w:vAlign w:val="center"/>
          </w:tcPr>
          <w:p>
            <w:pPr>
              <w:widowControl/>
              <w:tabs>
                <w:tab w:val="left" w:pos="880"/>
              </w:tabs>
              <w:spacing w:line="360" w:lineRule="auto"/>
              <w:ind w:left="-7" w:firstLine="447"/>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817" w:type="dxa"/>
            <w:shd w:val="clear" w:color="auto" w:fill="auto"/>
            <w:vAlign w:val="center"/>
          </w:tcPr>
          <w:p>
            <w:pPr>
              <w:widowControl/>
              <w:tabs>
                <w:tab w:val="left" w:pos="880"/>
              </w:tabs>
              <w:spacing w:line="360" w:lineRule="auto"/>
              <w:ind w:left="-7" w:firstLine="447"/>
              <w:jc w:val="center"/>
              <w:rPr>
                <w:rFonts w:hint="eastAsia" w:ascii="宋体" w:hAnsi="宋体" w:eastAsia="宋体" w:cs="宋体"/>
                <w:color w:val="auto"/>
                <w:sz w:val="24"/>
                <w:szCs w:val="24"/>
                <w:highlight w:val="none"/>
              </w:rPr>
            </w:pPr>
          </w:p>
        </w:tc>
        <w:tc>
          <w:tcPr>
            <w:tcW w:w="1559" w:type="dxa"/>
            <w:shd w:val="clear" w:color="auto" w:fill="auto"/>
            <w:vAlign w:val="center"/>
          </w:tcPr>
          <w:p>
            <w:pPr>
              <w:widowControl/>
              <w:tabs>
                <w:tab w:val="left" w:pos="880"/>
              </w:tabs>
              <w:spacing w:line="360" w:lineRule="auto"/>
              <w:ind w:left="-7" w:firstLine="447"/>
              <w:jc w:val="center"/>
              <w:rPr>
                <w:rFonts w:hint="eastAsia" w:ascii="宋体" w:hAnsi="宋体" w:eastAsia="宋体" w:cs="宋体"/>
                <w:color w:val="auto"/>
                <w:sz w:val="24"/>
                <w:szCs w:val="24"/>
                <w:highlight w:val="none"/>
              </w:rPr>
            </w:pPr>
          </w:p>
        </w:tc>
        <w:tc>
          <w:tcPr>
            <w:tcW w:w="1134" w:type="dxa"/>
            <w:shd w:val="clear" w:color="auto" w:fill="auto"/>
            <w:vAlign w:val="center"/>
          </w:tcPr>
          <w:p>
            <w:pPr>
              <w:widowControl/>
              <w:tabs>
                <w:tab w:val="left" w:pos="880"/>
              </w:tabs>
              <w:spacing w:line="360" w:lineRule="auto"/>
              <w:ind w:left="-7" w:firstLine="447"/>
              <w:jc w:val="center"/>
              <w:rPr>
                <w:rFonts w:hint="eastAsia" w:ascii="宋体" w:hAnsi="宋体" w:eastAsia="宋体" w:cs="宋体"/>
                <w:color w:val="auto"/>
                <w:sz w:val="24"/>
                <w:szCs w:val="24"/>
                <w:highlight w:val="none"/>
              </w:rPr>
            </w:pPr>
          </w:p>
        </w:tc>
        <w:tc>
          <w:tcPr>
            <w:tcW w:w="993" w:type="dxa"/>
            <w:shd w:val="clear" w:color="auto" w:fill="auto"/>
            <w:vAlign w:val="center"/>
          </w:tcPr>
          <w:p>
            <w:pPr>
              <w:widowControl/>
              <w:tabs>
                <w:tab w:val="left" w:pos="880"/>
              </w:tabs>
              <w:spacing w:line="360" w:lineRule="auto"/>
              <w:ind w:left="-7" w:firstLine="447"/>
              <w:jc w:val="center"/>
              <w:rPr>
                <w:rFonts w:hint="eastAsia" w:ascii="宋体" w:hAnsi="宋体" w:eastAsia="宋体" w:cs="宋体"/>
                <w:color w:val="auto"/>
                <w:sz w:val="24"/>
                <w:szCs w:val="24"/>
                <w:highlight w:val="none"/>
              </w:rPr>
            </w:pPr>
          </w:p>
        </w:tc>
        <w:tc>
          <w:tcPr>
            <w:tcW w:w="1060" w:type="dxa"/>
            <w:shd w:val="clear" w:color="auto" w:fill="auto"/>
            <w:vAlign w:val="center"/>
          </w:tcPr>
          <w:p>
            <w:pPr>
              <w:widowControl/>
              <w:tabs>
                <w:tab w:val="left" w:pos="880"/>
              </w:tabs>
              <w:spacing w:line="360" w:lineRule="auto"/>
              <w:ind w:left="-7" w:firstLine="447"/>
              <w:jc w:val="center"/>
              <w:rPr>
                <w:rFonts w:hint="eastAsia" w:ascii="宋体" w:hAnsi="宋体" w:eastAsia="宋体" w:cs="宋体"/>
                <w:color w:val="auto"/>
                <w:sz w:val="24"/>
                <w:szCs w:val="24"/>
                <w:highlight w:val="none"/>
              </w:rPr>
            </w:pPr>
          </w:p>
        </w:tc>
        <w:tc>
          <w:tcPr>
            <w:tcW w:w="1349" w:type="dxa"/>
            <w:shd w:val="clear" w:color="auto" w:fill="auto"/>
            <w:vAlign w:val="center"/>
          </w:tcPr>
          <w:p>
            <w:pPr>
              <w:widowControl/>
              <w:tabs>
                <w:tab w:val="left" w:pos="880"/>
              </w:tabs>
              <w:spacing w:line="360" w:lineRule="auto"/>
              <w:ind w:left="-7" w:firstLine="447"/>
              <w:jc w:val="center"/>
              <w:rPr>
                <w:rFonts w:hint="eastAsia" w:ascii="宋体" w:hAnsi="宋体" w:eastAsia="宋体" w:cs="宋体"/>
                <w:color w:val="auto"/>
                <w:sz w:val="24"/>
                <w:szCs w:val="24"/>
                <w:highlight w:val="none"/>
              </w:rPr>
            </w:pPr>
          </w:p>
        </w:tc>
        <w:tc>
          <w:tcPr>
            <w:tcW w:w="1418" w:type="dxa"/>
            <w:shd w:val="clear" w:color="auto" w:fill="auto"/>
            <w:vAlign w:val="center"/>
          </w:tcPr>
          <w:p>
            <w:pPr>
              <w:widowControl/>
              <w:tabs>
                <w:tab w:val="left" w:pos="880"/>
              </w:tabs>
              <w:spacing w:line="360" w:lineRule="auto"/>
              <w:ind w:left="-7" w:firstLine="447"/>
              <w:jc w:val="center"/>
              <w:rPr>
                <w:rFonts w:hint="eastAsia" w:ascii="宋体" w:hAnsi="宋体" w:eastAsia="宋体" w:cs="宋体"/>
                <w:color w:val="auto"/>
                <w:sz w:val="24"/>
                <w:szCs w:val="24"/>
                <w:highlight w:val="none"/>
              </w:rPr>
            </w:pPr>
          </w:p>
        </w:tc>
        <w:tc>
          <w:tcPr>
            <w:tcW w:w="1134" w:type="dxa"/>
            <w:shd w:val="clear" w:color="auto" w:fill="auto"/>
            <w:vAlign w:val="center"/>
          </w:tcPr>
          <w:p>
            <w:pPr>
              <w:widowControl/>
              <w:tabs>
                <w:tab w:val="left" w:pos="880"/>
              </w:tabs>
              <w:spacing w:line="360" w:lineRule="auto"/>
              <w:ind w:left="-7" w:firstLine="447"/>
              <w:jc w:val="center"/>
              <w:rPr>
                <w:rFonts w:hint="eastAsia" w:ascii="宋体" w:hAnsi="宋体" w:eastAsia="宋体" w:cs="宋体"/>
                <w:color w:val="auto"/>
                <w:sz w:val="24"/>
                <w:szCs w:val="24"/>
                <w:highlight w:val="none"/>
              </w:rPr>
            </w:pPr>
          </w:p>
        </w:tc>
        <w:tc>
          <w:tcPr>
            <w:tcW w:w="1417" w:type="dxa"/>
            <w:shd w:val="clear" w:color="auto" w:fill="auto"/>
            <w:vAlign w:val="center"/>
          </w:tcPr>
          <w:p>
            <w:pPr>
              <w:widowControl/>
              <w:tabs>
                <w:tab w:val="left" w:pos="880"/>
              </w:tabs>
              <w:spacing w:line="360" w:lineRule="auto"/>
              <w:ind w:left="-7" w:firstLine="447"/>
              <w:rPr>
                <w:rFonts w:hint="eastAsia" w:ascii="宋体" w:hAnsi="宋体" w:eastAsia="宋体" w:cs="宋体"/>
                <w:color w:val="auto"/>
                <w:sz w:val="24"/>
                <w:szCs w:val="24"/>
                <w:highlight w:val="none"/>
              </w:rPr>
            </w:pPr>
          </w:p>
        </w:tc>
        <w:tc>
          <w:tcPr>
            <w:tcW w:w="1560" w:type="dxa"/>
            <w:shd w:val="clear" w:color="auto" w:fill="auto"/>
            <w:vAlign w:val="center"/>
          </w:tcPr>
          <w:p>
            <w:pPr>
              <w:widowControl/>
              <w:tabs>
                <w:tab w:val="left" w:pos="880"/>
              </w:tabs>
              <w:spacing w:line="360" w:lineRule="auto"/>
              <w:ind w:left="-7" w:firstLine="447"/>
              <w:rPr>
                <w:rFonts w:hint="eastAsia" w:ascii="宋体" w:hAnsi="宋体" w:eastAsia="宋体" w:cs="宋体"/>
                <w:color w:val="auto"/>
                <w:sz w:val="24"/>
                <w:szCs w:val="24"/>
                <w:highlight w:val="none"/>
              </w:rPr>
            </w:pPr>
          </w:p>
        </w:tc>
        <w:tc>
          <w:tcPr>
            <w:tcW w:w="2268" w:type="dxa"/>
            <w:shd w:val="clear" w:color="auto" w:fill="auto"/>
            <w:vAlign w:val="center"/>
          </w:tcPr>
          <w:p>
            <w:pPr>
              <w:widowControl/>
              <w:tabs>
                <w:tab w:val="left" w:pos="880"/>
              </w:tabs>
              <w:spacing w:line="360" w:lineRule="auto"/>
              <w:ind w:left="-7" w:firstLine="447"/>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817" w:type="dxa"/>
            <w:shd w:val="clear" w:color="auto" w:fill="auto"/>
            <w:vAlign w:val="center"/>
          </w:tcPr>
          <w:p>
            <w:pPr>
              <w:widowControl/>
              <w:tabs>
                <w:tab w:val="left" w:pos="880"/>
              </w:tabs>
              <w:spacing w:line="360" w:lineRule="auto"/>
              <w:ind w:left="-7" w:firstLine="447"/>
              <w:jc w:val="center"/>
              <w:rPr>
                <w:rFonts w:hint="eastAsia" w:ascii="宋体" w:hAnsi="宋体" w:eastAsia="宋体" w:cs="宋体"/>
                <w:color w:val="auto"/>
                <w:sz w:val="24"/>
                <w:szCs w:val="24"/>
                <w:highlight w:val="none"/>
              </w:rPr>
            </w:pPr>
          </w:p>
        </w:tc>
        <w:tc>
          <w:tcPr>
            <w:tcW w:w="1559" w:type="dxa"/>
            <w:shd w:val="clear" w:color="auto" w:fill="auto"/>
            <w:vAlign w:val="center"/>
          </w:tcPr>
          <w:p>
            <w:pPr>
              <w:widowControl/>
              <w:tabs>
                <w:tab w:val="left" w:pos="880"/>
              </w:tabs>
              <w:spacing w:line="360" w:lineRule="auto"/>
              <w:ind w:left="-7" w:firstLine="447"/>
              <w:jc w:val="center"/>
              <w:rPr>
                <w:rFonts w:hint="eastAsia" w:ascii="宋体" w:hAnsi="宋体" w:eastAsia="宋体" w:cs="宋体"/>
                <w:color w:val="auto"/>
                <w:sz w:val="24"/>
                <w:szCs w:val="24"/>
                <w:highlight w:val="none"/>
              </w:rPr>
            </w:pPr>
          </w:p>
        </w:tc>
        <w:tc>
          <w:tcPr>
            <w:tcW w:w="1134" w:type="dxa"/>
            <w:shd w:val="clear" w:color="auto" w:fill="auto"/>
            <w:vAlign w:val="center"/>
          </w:tcPr>
          <w:p>
            <w:pPr>
              <w:widowControl/>
              <w:tabs>
                <w:tab w:val="left" w:pos="880"/>
              </w:tabs>
              <w:spacing w:line="360" w:lineRule="auto"/>
              <w:ind w:left="-7" w:firstLine="447"/>
              <w:jc w:val="center"/>
              <w:rPr>
                <w:rFonts w:hint="eastAsia" w:ascii="宋体" w:hAnsi="宋体" w:eastAsia="宋体" w:cs="宋体"/>
                <w:color w:val="auto"/>
                <w:sz w:val="24"/>
                <w:szCs w:val="24"/>
                <w:highlight w:val="none"/>
              </w:rPr>
            </w:pPr>
          </w:p>
        </w:tc>
        <w:tc>
          <w:tcPr>
            <w:tcW w:w="993" w:type="dxa"/>
            <w:shd w:val="clear" w:color="auto" w:fill="auto"/>
            <w:vAlign w:val="center"/>
          </w:tcPr>
          <w:p>
            <w:pPr>
              <w:widowControl/>
              <w:tabs>
                <w:tab w:val="left" w:pos="880"/>
              </w:tabs>
              <w:spacing w:line="360" w:lineRule="auto"/>
              <w:ind w:left="-7" w:firstLine="447"/>
              <w:jc w:val="center"/>
              <w:rPr>
                <w:rFonts w:hint="eastAsia" w:ascii="宋体" w:hAnsi="宋体" w:eastAsia="宋体" w:cs="宋体"/>
                <w:color w:val="auto"/>
                <w:sz w:val="24"/>
                <w:szCs w:val="24"/>
                <w:highlight w:val="none"/>
              </w:rPr>
            </w:pPr>
          </w:p>
        </w:tc>
        <w:tc>
          <w:tcPr>
            <w:tcW w:w="1060" w:type="dxa"/>
            <w:shd w:val="clear" w:color="auto" w:fill="auto"/>
            <w:vAlign w:val="center"/>
          </w:tcPr>
          <w:p>
            <w:pPr>
              <w:widowControl/>
              <w:tabs>
                <w:tab w:val="left" w:pos="880"/>
              </w:tabs>
              <w:spacing w:line="360" w:lineRule="auto"/>
              <w:ind w:left="-7" w:firstLine="447"/>
              <w:jc w:val="center"/>
              <w:rPr>
                <w:rFonts w:hint="eastAsia" w:ascii="宋体" w:hAnsi="宋体" w:eastAsia="宋体" w:cs="宋体"/>
                <w:color w:val="auto"/>
                <w:sz w:val="24"/>
                <w:szCs w:val="24"/>
                <w:highlight w:val="none"/>
              </w:rPr>
            </w:pPr>
          </w:p>
        </w:tc>
        <w:tc>
          <w:tcPr>
            <w:tcW w:w="1349" w:type="dxa"/>
            <w:shd w:val="clear" w:color="auto" w:fill="auto"/>
            <w:vAlign w:val="center"/>
          </w:tcPr>
          <w:p>
            <w:pPr>
              <w:widowControl/>
              <w:tabs>
                <w:tab w:val="left" w:pos="880"/>
              </w:tabs>
              <w:spacing w:line="360" w:lineRule="auto"/>
              <w:ind w:left="-7" w:firstLine="447"/>
              <w:jc w:val="center"/>
              <w:rPr>
                <w:rFonts w:hint="eastAsia" w:ascii="宋体" w:hAnsi="宋体" w:eastAsia="宋体" w:cs="宋体"/>
                <w:color w:val="auto"/>
                <w:sz w:val="24"/>
                <w:szCs w:val="24"/>
                <w:highlight w:val="none"/>
              </w:rPr>
            </w:pPr>
          </w:p>
        </w:tc>
        <w:tc>
          <w:tcPr>
            <w:tcW w:w="1418" w:type="dxa"/>
            <w:shd w:val="clear" w:color="auto" w:fill="auto"/>
            <w:vAlign w:val="center"/>
          </w:tcPr>
          <w:p>
            <w:pPr>
              <w:widowControl/>
              <w:tabs>
                <w:tab w:val="left" w:pos="880"/>
              </w:tabs>
              <w:spacing w:line="360" w:lineRule="auto"/>
              <w:ind w:left="-7" w:firstLine="447"/>
              <w:jc w:val="center"/>
              <w:rPr>
                <w:rFonts w:hint="eastAsia" w:ascii="宋体" w:hAnsi="宋体" w:eastAsia="宋体" w:cs="宋体"/>
                <w:color w:val="auto"/>
                <w:sz w:val="24"/>
                <w:szCs w:val="24"/>
                <w:highlight w:val="none"/>
              </w:rPr>
            </w:pPr>
          </w:p>
        </w:tc>
        <w:tc>
          <w:tcPr>
            <w:tcW w:w="1134" w:type="dxa"/>
            <w:shd w:val="clear" w:color="auto" w:fill="auto"/>
            <w:vAlign w:val="center"/>
          </w:tcPr>
          <w:p>
            <w:pPr>
              <w:widowControl/>
              <w:tabs>
                <w:tab w:val="left" w:pos="880"/>
              </w:tabs>
              <w:spacing w:line="360" w:lineRule="auto"/>
              <w:ind w:left="-7" w:firstLine="447"/>
              <w:jc w:val="center"/>
              <w:rPr>
                <w:rFonts w:hint="eastAsia" w:ascii="宋体" w:hAnsi="宋体" w:eastAsia="宋体" w:cs="宋体"/>
                <w:color w:val="auto"/>
                <w:sz w:val="24"/>
                <w:szCs w:val="24"/>
                <w:highlight w:val="none"/>
              </w:rPr>
            </w:pPr>
          </w:p>
        </w:tc>
        <w:tc>
          <w:tcPr>
            <w:tcW w:w="1417" w:type="dxa"/>
            <w:shd w:val="clear" w:color="auto" w:fill="auto"/>
            <w:vAlign w:val="center"/>
          </w:tcPr>
          <w:p>
            <w:pPr>
              <w:widowControl/>
              <w:tabs>
                <w:tab w:val="left" w:pos="880"/>
              </w:tabs>
              <w:spacing w:line="360" w:lineRule="auto"/>
              <w:ind w:left="-7" w:firstLine="447"/>
              <w:rPr>
                <w:rFonts w:hint="eastAsia" w:ascii="宋体" w:hAnsi="宋体" w:eastAsia="宋体" w:cs="宋体"/>
                <w:color w:val="auto"/>
                <w:sz w:val="24"/>
                <w:szCs w:val="24"/>
                <w:highlight w:val="none"/>
              </w:rPr>
            </w:pPr>
          </w:p>
        </w:tc>
        <w:tc>
          <w:tcPr>
            <w:tcW w:w="1560" w:type="dxa"/>
            <w:shd w:val="clear" w:color="auto" w:fill="auto"/>
            <w:vAlign w:val="center"/>
          </w:tcPr>
          <w:p>
            <w:pPr>
              <w:widowControl/>
              <w:tabs>
                <w:tab w:val="left" w:pos="880"/>
              </w:tabs>
              <w:spacing w:line="360" w:lineRule="auto"/>
              <w:ind w:left="-7" w:firstLine="447"/>
              <w:rPr>
                <w:rFonts w:hint="eastAsia" w:ascii="宋体" w:hAnsi="宋体" w:eastAsia="宋体" w:cs="宋体"/>
                <w:color w:val="auto"/>
                <w:sz w:val="24"/>
                <w:szCs w:val="24"/>
                <w:highlight w:val="none"/>
              </w:rPr>
            </w:pPr>
          </w:p>
        </w:tc>
        <w:tc>
          <w:tcPr>
            <w:tcW w:w="2268" w:type="dxa"/>
            <w:shd w:val="clear" w:color="auto" w:fill="auto"/>
            <w:vAlign w:val="center"/>
          </w:tcPr>
          <w:p>
            <w:pPr>
              <w:widowControl/>
              <w:tabs>
                <w:tab w:val="left" w:pos="880"/>
              </w:tabs>
              <w:spacing w:line="360" w:lineRule="auto"/>
              <w:ind w:left="-7" w:firstLine="447"/>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2441" w:type="dxa"/>
            <w:gridSpan w:val="10"/>
            <w:shd w:val="clear" w:color="auto" w:fill="auto"/>
            <w:vAlign w:val="center"/>
          </w:tcPr>
          <w:p>
            <w:pPr>
              <w:widowControl/>
              <w:tabs>
                <w:tab w:val="left" w:pos="880"/>
              </w:tabs>
              <w:spacing w:line="360" w:lineRule="auto"/>
              <w:ind w:left="-7" w:firstLine="447"/>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合同总价</w:t>
            </w:r>
          </w:p>
          <w:p>
            <w:pPr>
              <w:widowControl/>
              <w:tabs>
                <w:tab w:val="left" w:pos="880"/>
              </w:tabs>
              <w:spacing w:line="360" w:lineRule="auto"/>
              <w:ind w:left="-7" w:firstLine="44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tc>
        <w:tc>
          <w:tcPr>
            <w:tcW w:w="2268" w:type="dxa"/>
            <w:shd w:val="clear" w:color="auto" w:fill="auto"/>
            <w:vAlign w:val="center"/>
          </w:tcPr>
          <w:p>
            <w:pPr>
              <w:widowControl/>
              <w:tabs>
                <w:tab w:val="left" w:pos="880"/>
              </w:tabs>
              <w:spacing w:line="360" w:lineRule="auto"/>
              <w:ind w:left="-7" w:firstLine="44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tc>
      </w:tr>
    </w:tbl>
    <w:p>
      <w:pPr>
        <w:widowControl/>
        <w:tabs>
          <w:tab w:val="left" w:pos="880"/>
        </w:tabs>
        <w:autoSpaceDE/>
        <w:autoSpaceDN/>
        <w:spacing w:line="360" w:lineRule="auto"/>
        <w:ind w:left="-7" w:firstLine="447"/>
        <w:rPr>
          <w:rFonts w:hint="eastAsia" w:ascii="宋体" w:hAnsi="宋体" w:eastAsia="宋体" w:cs="宋体"/>
          <w:color w:val="auto"/>
          <w:szCs w:val="21"/>
          <w:highlight w:val="none"/>
        </w:rPr>
      </w:pPr>
    </w:p>
    <w:p>
      <w:pPr>
        <w:tabs>
          <w:tab w:val="left" w:pos="880"/>
        </w:tabs>
        <w:adjustRightInd w:val="0"/>
        <w:snapToGrid w:val="0"/>
        <w:spacing w:line="360" w:lineRule="auto"/>
        <w:ind w:left="-7" w:right="-20" w:firstLine="447"/>
        <w:rPr>
          <w:rFonts w:hint="eastAsia" w:ascii="宋体" w:hAnsi="宋体" w:eastAsia="宋体" w:cs="宋体"/>
          <w:color w:val="auto"/>
          <w:szCs w:val="21"/>
          <w:highlight w:val="none"/>
        </w:rPr>
      </w:pPr>
    </w:p>
    <w:p>
      <w:pPr>
        <w:tabs>
          <w:tab w:val="left" w:pos="880"/>
          <w:tab w:val="left" w:pos="1060"/>
          <w:tab w:val="left" w:pos="2310"/>
          <w:tab w:val="left" w:pos="3675"/>
          <w:tab w:val="left" w:pos="5685"/>
          <w:tab w:val="left" w:pos="6405"/>
          <w:tab w:val="left" w:pos="7140"/>
        </w:tabs>
        <w:adjustRightInd w:val="0"/>
        <w:snapToGrid w:val="0"/>
        <w:spacing w:line="360" w:lineRule="auto"/>
        <w:ind w:left="-7" w:right="-20" w:firstLine="447"/>
        <w:rPr>
          <w:rFonts w:hint="eastAsia" w:ascii="宋体" w:hAnsi="宋体" w:eastAsia="宋体" w:cs="宋体"/>
          <w:snapToGrid w:val="0"/>
          <w:color w:val="auto"/>
          <w:szCs w:val="21"/>
          <w:highlight w:val="none"/>
        </w:rPr>
      </w:pPr>
    </w:p>
    <w:p>
      <w:pPr>
        <w:pStyle w:val="4"/>
        <w:widowControl/>
        <w:tabs>
          <w:tab w:val="left" w:pos="880"/>
        </w:tabs>
        <w:spacing w:line="360" w:lineRule="auto"/>
        <w:ind w:left="-7" w:firstLine="447"/>
        <w:rPr>
          <w:rFonts w:hint="eastAsia" w:ascii="宋体" w:hAnsi="宋体" w:eastAsia="宋体" w:cs="宋体"/>
          <w:color w:val="auto"/>
          <w:sz w:val="24"/>
          <w:szCs w:val="24"/>
          <w:highlight w:val="none"/>
        </w:rPr>
        <w:sectPr>
          <w:pgSz w:w="16850" w:h="11910" w:orient="landscape"/>
          <w:pgMar w:top="1134" w:right="1361" w:bottom="1276" w:left="1162" w:header="0" w:footer="879" w:gutter="0"/>
          <w:pgNumType w:fmt="decimal"/>
          <w:cols w:space="720" w:num="1"/>
        </w:sectPr>
      </w:pPr>
    </w:p>
    <w:p>
      <w:pPr>
        <w:widowControl/>
        <w:tabs>
          <w:tab w:val="left" w:pos="880"/>
        </w:tabs>
        <w:spacing w:line="360" w:lineRule="auto"/>
        <w:ind w:left="283" w:right="105" w:rightChars="50" w:firstLine="448"/>
        <w:jc w:val="center"/>
        <w:outlineLvl w:val="1"/>
        <w:rPr>
          <w:rFonts w:hint="eastAsia" w:ascii="宋体" w:hAnsi="宋体" w:eastAsia="宋体" w:cs="宋体"/>
          <w:b/>
          <w:bCs/>
          <w:color w:val="auto"/>
          <w:sz w:val="24"/>
          <w:szCs w:val="24"/>
          <w:highlight w:val="none"/>
        </w:rPr>
      </w:pPr>
      <w:bookmarkStart w:id="8" w:name="_Toc25764"/>
      <w:bookmarkStart w:id="9" w:name="_Toc32414"/>
      <w:r>
        <w:rPr>
          <w:rFonts w:hint="eastAsia" w:cs="宋体"/>
          <w:b/>
          <w:bCs/>
          <w:color w:val="auto"/>
          <w:sz w:val="24"/>
          <w:szCs w:val="24"/>
          <w:highlight w:val="none"/>
          <w:lang w:val="en-US" w:eastAsia="zh-CN"/>
        </w:rPr>
        <w:t>陈庹路公交站场</w:t>
      </w:r>
      <w:bookmarkEnd w:id="8"/>
      <w:bookmarkEnd w:id="9"/>
      <w:bookmarkStart w:id="10" w:name="_Toc29613"/>
      <w:bookmarkStart w:id="11" w:name="_Toc1546"/>
      <w:r>
        <w:rPr>
          <w:rFonts w:hint="eastAsia" w:ascii="宋体" w:hAnsi="宋体" w:eastAsia="宋体" w:cs="宋体"/>
          <w:b/>
          <w:bCs/>
          <w:color w:val="auto"/>
          <w:sz w:val="24"/>
          <w:szCs w:val="24"/>
          <w:highlight w:val="none"/>
        </w:rPr>
        <w:t>电梯设备采购合同</w:t>
      </w:r>
      <w:bookmarkEnd w:id="10"/>
      <w:bookmarkEnd w:id="11"/>
    </w:p>
    <w:p>
      <w:pPr>
        <w:tabs>
          <w:tab w:val="left" w:pos="880"/>
          <w:tab w:val="left" w:pos="2430"/>
          <w:tab w:val="left" w:pos="3240"/>
        </w:tabs>
        <w:topLinePunct/>
        <w:adjustRightInd w:val="0"/>
        <w:spacing w:line="360" w:lineRule="auto"/>
        <w:ind w:left="283" w:right="105" w:rightChars="50" w:firstLine="448"/>
        <w:rPr>
          <w:rFonts w:hint="eastAsia" w:ascii="宋体" w:hAnsi="宋体" w:eastAsia="宋体" w:cs="宋体"/>
          <w:color w:val="auto"/>
          <w:sz w:val="20"/>
          <w:szCs w:val="20"/>
          <w:highlight w:val="none"/>
          <w:u w:val="single"/>
        </w:rPr>
      </w:pPr>
      <w:r>
        <w:rPr>
          <w:rFonts w:hint="eastAsia" w:ascii="宋体" w:hAnsi="宋体" w:eastAsia="宋体" w:cs="宋体"/>
          <w:color w:val="auto"/>
          <w:sz w:val="20"/>
          <w:szCs w:val="20"/>
          <w:highlight w:val="none"/>
        </w:rPr>
        <w:t>买方：</w:t>
      </w:r>
      <w:r>
        <w:rPr>
          <w:rFonts w:hint="eastAsia" w:ascii="宋体" w:hAnsi="宋体" w:eastAsia="宋体" w:cs="宋体"/>
          <w:color w:val="auto"/>
          <w:sz w:val="20"/>
          <w:szCs w:val="20"/>
          <w:highlight w:val="none"/>
          <w:u w:val="single"/>
        </w:rPr>
        <w:t>（以下简称甲方）</w:t>
      </w:r>
    </w:p>
    <w:p>
      <w:pPr>
        <w:tabs>
          <w:tab w:val="left" w:pos="880"/>
        </w:tabs>
        <w:topLinePunct/>
        <w:adjustRightInd w:val="0"/>
        <w:spacing w:line="360" w:lineRule="auto"/>
        <w:ind w:left="283" w:right="105" w:rightChars="50" w:firstLine="448"/>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卖方：</w:t>
      </w:r>
      <w:r>
        <w:rPr>
          <w:rFonts w:hint="eastAsia" w:ascii="宋体" w:hAnsi="宋体" w:eastAsia="宋体" w:cs="宋体"/>
          <w:color w:val="auto"/>
          <w:sz w:val="20"/>
          <w:szCs w:val="20"/>
          <w:highlight w:val="none"/>
          <w:u w:val="single"/>
        </w:rPr>
        <w:t>（以下简称乙方）</w:t>
      </w:r>
    </w:p>
    <w:p>
      <w:pPr>
        <w:pStyle w:val="4"/>
        <w:widowControl/>
        <w:tabs>
          <w:tab w:val="left" w:pos="880"/>
        </w:tabs>
        <w:spacing w:line="360" w:lineRule="auto"/>
        <w:ind w:left="283" w:right="105" w:rightChars="50" w:firstLine="448"/>
        <w:jc w:val="both"/>
        <w:rPr>
          <w:rFonts w:hint="eastAsia" w:ascii="宋体" w:hAnsi="宋体" w:eastAsia="宋体" w:cs="宋体"/>
          <w:color w:val="auto"/>
          <w:sz w:val="20"/>
          <w:szCs w:val="20"/>
          <w:highlight w:val="none"/>
        </w:rPr>
      </w:pPr>
      <w:bookmarkStart w:id="12" w:name="_Toc31464"/>
      <w:bookmarkStart w:id="13" w:name="_Toc7884"/>
      <w:r>
        <w:rPr>
          <w:rFonts w:hint="eastAsia" w:ascii="宋体" w:hAnsi="宋体" w:eastAsia="宋体" w:cs="宋体"/>
          <w:color w:val="auto"/>
          <w:sz w:val="20"/>
          <w:szCs w:val="20"/>
          <w:highlight w:val="none"/>
        </w:rPr>
        <w:t>甲乙双方根据</w:t>
      </w:r>
      <w:r>
        <w:rPr>
          <w:rFonts w:hint="eastAsia" w:ascii="宋体" w:hAnsi="宋体" w:eastAsia="宋体" w:cs="宋体"/>
          <w:color w:val="auto"/>
          <w:sz w:val="20"/>
          <w:szCs w:val="20"/>
          <w:highlight w:val="none"/>
          <w:lang w:val="en-US" w:eastAsia="zh-CN"/>
        </w:rPr>
        <w:t>陈庹路公交站场</w:t>
      </w:r>
      <w:r>
        <w:rPr>
          <w:rFonts w:hint="eastAsia" w:ascii="宋体" w:hAnsi="宋体" w:eastAsia="宋体" w:cs="宋体"/>
          <w:color w:val="auto"/>
          <w:sz w:val="20"/>
          <w:szCs w:val="20"/>
          <w:highlight w:val="none"/>
        </w:rPr>
        <w:t>电梯采购及安装工程合同协议书要求，经双方友好协商，达成以下合同内容：</w:t>
      </w:r>
      <w:bookmarkEnd w:id="12"/>
      <w:bookmarkEnd w:id="13"/>
    </w:p>
    <w:p>
      <w:pPr>
        <w:pStyle w:val="8"/>
        <w:widowControl/>
        <w:tabs>
          <w:tab w:val="left" w:pos="880"/>
        </w:tabs>
        <w:spacing w:line="360" w:lineRule="auto"/>
        <w:ind w:left="283" w:right="105" w:rightChars="50" w:firstLine="448"/>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1、电扶梯的数量、参数及合同价格：</w:t>
      </w:r>
    </w:p>
    <w:p>
      <w:pPr>
        <w:pStyle w:val="8"/>
        <w:widowControl/>
        <w:tabs>
          <w:tab w:val="left" w:pos="880"/>
        </w:tabs>
        <w:spacing w:line="360" w:lineRule="auto"/>
        <w:ind w:left="283" w:right="105" w:rightChars="50" w:firstLine="448"/>
        <w:rPr>
          <w:rFonts w:hint="eastAsia" w:ascii="宋体" w:hAnsi="宋体" w:eastAsia="宋体" w:cs="宋体"/>
          <w:color w:val="auto"/>
          <w:kern w:val="0"/>
          <w:sz w:val="20"/>
          <w:szCs w:val="20"/>
          <w:highlight w:val="none"/>
          <w:u w:val="single"/>
        </w:rPr>
      </w:pPr>
      <w:r>
        <w:rPr>
          <w:rFonts w:hint="eastAsia" w:ascii="宋体" w:hAnsi="宋体" w:eastAsia="宋体" w:cs="宋体"/>
          <w:color w:val="auto"/>
          <w:kern w:val="0"/>
          <w:sz w:val="20"/>
          <w:szCs w:val="20"/>
          <w:highlight w:val="none"/>
        </w:rPr>
        <w:t>1.1 本合同电梯、扶梯品牌为：</w:t>
      </w:r>
    </w:p>
    <w:p>
      <w:pPr>
        <w:pStyle w:val="8"/>
        <w:widowControl/>
        <w:tabs>
          <w:tab w:val="left" w:pos="880"/>
        </w:tabs>
        <w:spacing w:line="360" w:lineRule="auto"/>
        <w:ind w:left="283" w:right="105" w:rightChars="50" w:firstLine="448"/>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1.2设备采购合同金额（大写</w:t>
      </w:r>
      <w:r>
        <w:rPr>
          <w:rFonts w:hint="eastAsia" w:ascii="宋体" w:hAnsi="宋体" w:eastAsia="宋体" w:cs="宋体"/>
          <w:color w:val="auto"/>
          <w:kern w:val="0"/>
          <w:sz w:val="20"/>
          <w:szCs w:val="20"/>
          <w:highlight w:val="none"/>
          <w:u w:val="single"/>
        </w:rPr>
        <w:t xml:space="preserve">      </w:t>
      </w:r>
      <w:r>
        <w:rPr>
          <w:rFonts w:hint="eastAsia" w:ascii="宋体" w:hAnsi="宋体" w:eastAsia="宋体" w:cs="宋体"/>
          <w:color w:val="auto"/>
          <w:kern w:val="0"/>
          <w:sz w:val="20"/>
          <w:szCs w:val="20"/>
          <w:highlight w:val="none"/>
        </w:rPr>
        <w:t>）元整（￥</w:t>
      </w:r>
      <w:r>
        <w:rPr>
          <w:rFonts w:hint="eastAsia" w:ascii="宋体" w:hAnsi="宋体" w:eastAsia="宋体" w:cs="宋体"/>
          <w:color w:val="auto"/>
          <w:kern w:val="0"/>
          <w:sz w:val="20"/>
          <w:szCs w:val="20"/>
          <w:highlight w:val="none"/>
          <w:u w:val="single"/>
        </w:rPr>
        <w:t xml:space="preserve">     </w:t>
      </w:r>
      <w:r>
        <w:rPr>
          <w:rFonts w:hint="eastAsia" w:ascii="宋体" w:hAnsi="宋体" w:eastAsia="宋体" w:cs="宋体"/>
          <w:color w:val="auto"/>
          <w:kern w:val="0"/>
          <w:sz w:val="20"/>
          <w:szCs w:val="20"/>
          <w:highlight w:val="none"/>
        </w:rPr>
        <w:t>元）电梯数量，参数及单台设备的设备费单价详见《</w:t>
      </w:r>
      <w:r>
        <w:rPr>
          <w:rFonts w:hint="eastAsia" w:ascii="宋体" w:hAnsi="宋体" w:eastAsia="宋体" w:cs="宋体"/>
          <w:color w:val="auto"/>
          <w:sz w:val="20"/>
          <w:szCs w:val="20"/>
          <w:highlight w:val="none"/>
        </w:rPr>
        <w:t>电梯采购及安装工程合同协议书</w:t>
      </w:r>
      <w:r>
        <w:rPr>
          <w:rFonts w:hint="eastAsia" w:ascii="宋体" w:hAnsi="宋体" w:eastAsia="宋体" w:cs="宋体"/>
          <w:color w:val="auto"/>
          <w:kern w:val="0"/>
          <w:sz w:val="20"/>
          <w:szCs w:val="20"/>
          <w:highlight w:val="none"/>
        </w:rPr>
        <w:t>》附件《合同暂定总价明细表》</w:t>
      </w:r>
    </w:p>
    <w:p>
      <w:pPr>
        <w:tabs>
          <w:tab w:val="left" w:pos="880"/>
        </w:tabs>
        <w:spacing w:line="360" w:lineRule="auto"/>
        <w:ind w:left="283" w:right="105" w:rightChars="50" w:firstLine="448"/>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2、根据《电梯采购及安装工程合同协议书》约定，</w:t>
      </w:r>
      <w:r>
        <w:rPr>
          <w:rFonts w:hint="eastAsia" w:ascii="宋体" w:hAnsi="宋体" w:eastAsia="宋体" w:cs="宋体"/>
          <w:color w:val="auto"/>
          <w:sz w:val="20"/>
          <w:szCs w:val="20"/>
          <w:highlight w:val="none"/>
          <w:lang w:bidi="ar-SA"/>
        </w:rPr>
        <w:t>本合</w:t>
      </w:r>
      <w:r>
        <w:rPr>
          <w:rFonts w:hint="eastAsia" w:ascii="宋体" w:hAnsi="宋体" w:eastAsia="宋体" w:cs="宋体"/>
          <w:color w:val="auto"/>
          <w:sz w:val="20"/>
          <w:szCs w:val="20"/>
          <w:highlight w:val="none"/>
        </w:rPr>
        <w:t>同电梯设备采购付款方式为：</w:t>
      </w:r>
    </w:p>
    <w:p>
      <w:pPr>
        <w:tabs>
          <w:tab w:val="left" w:pos="880"/>
        </w:tabs>
        <w:spacing w:line="360" w:lineRule="auto"/>
        <w:ind w:left="283" w:right="105" w:rightChars="50" w:firstLine="448"/>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a、合同签订后，并且甲方在已收到乙方提供的排产设备的设备费及安装费合计费用的10%</w:t>
      </w:r>
      <w:r>
        <w:rPr>
          <w:rFonts w:hint="eastAsia" w:cs="宋体"/>
          <w:color w:val="auto"/>
          <w:sz w:val="20"/>
          <w:szCs w:val="20"/>
          <w:highlight w:val="none"/>
          <w:lang w:eastAsia="zh-CN"/>
        </w:rPr>
        <w:t>的履约保证金</w:t>
      </w:r>
      <w:r>
        <w:rPr>
          <w:rFonts w:hint="eastAsia" w:ascii="宋体" w:hAnsi="宋体" w:eastAsia="宋体" w:cs="宋体"/>
          <w:color w:val="auto"/>
          <w:sz w:val="20"/>
          <w:szCs w:val="20"/>
          <w:highlight w:val="none"/>
        </w:rPr>
        <w:t>后，支付本批次排产设备的设备费10％作为预付款。</w:t>
      </w:r>
    </w:p>
    <w:p>
      <w:pPr>
        <w:tabs>
          <w:tab w:val="left" w:pos="880"/>
        </w:tabs>
        <w:spacing w:line="360" w:lineRule="auto"/>
        <w:ind w:left="283" w:right="105" w:rightChars="50" w:firstLine="448"/>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b、甲方根据排产计划，在设备生产前10日内</w:t>
      </w:r>
      <w:r>
        <w:rPr>
          <w:rFonts w:hint="eastAsia" w:ascii="宋体" w:hAnsi="宋体" w:eastAsia="宋体" w:cs="宋体"/>
          <w:color w:val="FF0000"/>
          <w:sz w:val="20"/>
          <w:szCs w:val="20"/>
          <w:highlight w:val="none"/>
        </w:rPr>
        <w:t>支付</w:t>
      </w:r>
      <w:r>
        <w:rPr>
          <w:rFonts w:hint="eastAsia" w:ascii="宋体" w:hAnsi="宋体" w:cs="宋体"/>
          <w:color w:val="FF0000"/>
          <w:sz w:val="20"/>
          <w:szCs w:val="20"/>
          <w:highlight w:val="none"/>
          <w:lang w:val="en-US" w:eastAsia="zh-CN"/>
        </w:rPr>
        <w:t>至</w:t>
      </w:r>
      <w:r>
        <w:rPr>
          <w:rFonts w:hint="eastAsia" w:ascii="宋体" w:hAnsi="宋体" w:eastAsia="宋体" w:cs="宋体"/>
          <w:color w:val="auto"/>
          <w:sz w:val="20"/>
          <w:szCs w:val="20"/>
          <w:highlight w:val="none"/>
        </w:rPr>
        <w:t>本批次排产设备的设备费</w:t>
      </w:r>
      <w:r>
        <w:rPr>
          <w:rFonts w:hint="eastAsia" w:ascii="宋体" w:hAnsi="宋体" w:cs="宋体"/>
          <w:color w:val="auto"/>
          <w:sz w:val="20"/>
          <w:szCs w:val="20"/>
          <w:highlight w:val="none"/>
          <w:lang w:val="en-US" w:eastAsia="zh-CN"/>
        </w:rPr>
        <w:t>30</w:t>
      </w:r>
      <w:r>
        <w:rPr>
          <w:rFonts w:hint="eastAsia" w:ascii="宋体" w:hAnsi="宋体" w:eastAsia="宋体" w:cs="宋体"/>
          <w:color w:val="auto"/>
          <w:sz w:val="20"/>
          <w:szCs w:val="20"/>
          <w:highlight w:val="none"/>
        </w:rPr>
        <w:t>%的排产款。</w:t>
      </w:r>
    </w:p>
    <w:p>
      <w:pPr>
        <w:tabs>
          <w:tab w:val="left" w:pos="880"/>
        </w:tabs>
        <w:spacing w:line="360" w:lineRule="auto"/>
        <w:ind w:left="283" w:right="105" w:rightChars="50" w:firstLine="448"/>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c、设备运至现场经监理、发包人验收无误后</w:t>
      </w:r>
      <w:r>
        <w:rPr>
          <w:rFonts w:hint="eastAsia" w:ascii="宋体" w:hAnsi="宋体" w:eastAsia="宋体" w:cs="宋体"/>
          <w:color w:val="FF0000"/>
          <w:sz w:val="20"/>
          <w:szCs w:val="20"/>
          <w:highlight w:val="none"/>
        </w:rPr>
        <w:t>支付</w:t>
      </w:r>
      <w:r>
        <w:rPr>
          <w:rFonts w:hint="eastAsia" w:ascii="宋体" w:hAnsi="宋体" w:cs="宋体"/>
          <w:color w:val="FF0000"/>
          <w:sz w:val="20"/>
          <w:szCs w:val="20"/>
          <w:highlight w:val="none"/>
          <w:lang w:val="en-US" w:eastAsia="zh-CN"/>
        </w:rPr>
        <w:t>至</w:t>
      </w:r>
      <w:r>
        <w:rPr>
          <w:rFonts w:hint="eastAsia" w:ascii="宋体" w:hAnsi="宋体" w:eastAsia="宋体" w:cs="宋体"/>
          <w:color w:val="auto"/>
          <w:sz w:val="20"/>
          <w:szCs w:val="20"/>
          <w:highlight w:val="none"/>
        </w:rPr>
        <w:t>本批次排产设备的设备费</w:t>
      </w:r>
      <w:r>
        <w:rPr>
          <w:rFonts w:hint="eastAsia" w:cs="宋体"/>
          <w:color w:val="auto"/>
          <w:sz w:val="20"/>
          <w:szCs w:val="20"/>
          <w:highlight w:val="none"/>
          <w:lang w:val="en-US" w:eastAsia="zh-CN"/>
        </w:rPr>
        <w:t>的7</w:t>
      </w:r>
      <w:r>
        <w:rPr>
          <w:rFonts w:hint="eastAsia" w:ascii="宋体" w:hAnsi="宋体" w:eastAsia="宋体" w:cs="宋体"/>
          <w:color w:val="auto"/>
          <w:sz w:val="20"/>
          <w:szCs w:val="20"/>
          <w:highlight w:val="none"/>
        </w:rPr>
        <w:t>0%。</w:t>
      </w:r>
    </w:p>
    <w:p>
      <w:pPr>
        <w:tabs>
          <w:tab w:val="left" w:pos="880"/>
        </w:tabs>
        <w:spacing w:line="360" w:lineRule="auto"/>
        <w:ind w:left="283" w:right="105" w:rightChars="50" w:firstLine="448"/>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d、本批次设备安装完毕，经重庆市法定检验机构验收合格并取得电梯设备运行许可证后，并在乙方将本批次设备所有完善的竣工资料提交齐全办完工程结算，</w:t>
      </w:r>
      <w:r>
        <w:rPr>
          <w:rFonts w:hint="eastAsia" w:ascii="宋体" w:hAnsi="宋体" w:eastAsia="宋体" w:cs="宋体"/>
          <w:color w:val="FF0000"/>
          <w:sz w:val="20"/>
          <w:szCs w:val="20"/>
          <w:highlight w:val="none"/>
        </w:rPr>
        <w:t>支付至</w:t>
      </w:r>
      <w:r>
        <w:rPr>
          <w:rFonts w:hint="eastAsia" w:ascii="宋体" w:hAnsi="宋体" w:eastAsia="宋体" w:cs="宋体"/>
          <w:color w:val="auto"/>
          <w:sz w:val="20"/>
          <w:szCs w:val="20"/>
          <w:highlight w:val="none"/>
        </w:rPr>
        <w:t>本批次设备的设备费结算总金额的97%；留3%的质量保证金，电梯、扶梯免费保修期从设备取得运行许可证并移交运营签字接管使用，并试运行3个月后进入保修期，保修期为24个月（以中标人响应的保修期为准），在保修期内，电梯制造商须按TSGT5002-2017的要求免费进行维修保养。满12个月后支付质保金总额的40%，保修期满，无质量问题，15个工作日内支付余款（质保金不计利息）。</w:t>
      </w:r>
    </w:p>
    <w:p>
      <w:pPr>
        <w:tabs>
          <w:tab w:val="left" w:pos="880"/>
        </w:tabs>
        <w:spacing w:line="360" w:lineRule="auto"/>
        <w:ind w:left="283" w:right="105" w:rightChars="50" w:firstLine="448"/>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e、每次付款前乙方须向甲方提交期中计量支付申请，同时须向甲方提供本次应收款项的正规合格增值税发票，经监理人、甲方签字确认后支付。若乙方未能按要求提供发票，则甲方有权拒绝付款。</w:t>
      </w:r>
    </w:p>
    <w:p>
      <w:pPr>
        <w:pStyle w:val="8"/>
        <w:widowControl/>
        <w:tabs>
          <w:tab w:val="left" w:pos="880"/>
        </w:tabs>
        <w:spacing w:line="360" w:lineRule="auto"/>
        <w:ind w:left="283" w:right="105" w:rightChars="50" w:firstLine="448"/>
        <w:rPr>
          <w:rFonts w:hint="eastAsia" w:ascii="宋体" w:hAnsi="宋体" w:eastAsia="宋体" w:cs="宋体"/>
          <w:b/>
          <w:color w:val="auto"/>
          <w:kern w:val="0"/>
          <w:sz w:val="20"/>
          <w:szCs w:val="20"/>
          <w:highlight w:val="none"/>
        </w:rPr>
      </w:pPr>
      <w:r>
        <w:rPr>
          <w:rFonts w:hint="eastAsia" w:ascii="宋体" w:hAnsi="宋体" w:eastAsia="宋体" w:cs="宋体"/>
          <w:color w:val="auto"/>
          <w:kern w:val="0"/>
          <w:sz w:val="20"/>
          <w:szCs w:val="20"/>
          <w:highlight w:val="none"/>
        </w:rPr>
        <w:t>3、</w:t>
      </w:r>
      <w:r>
        <w:rPr>
          <w:rFonts w:hint="eastAsia" w:ascii="宋体" w:hAnsi="宋体" w:eastAsia="宋体" w:cs="宋体"/>
          <w:b/>
          <w:color w:val="auto"/>
          <w:kern w:val="0"/>
          <w:sz w:val="20"/>
          <w:szCs w:val="20"/>
          <w:highlight w:val="none"/>
        </w:rPr>
        <w:t>产品质量保证</w:t>
      </w:r>
    </w:p>
    <w:p>
      <w:pPr>
        <w:tabs>
          <w:tab w:val="left" w:pos="880"/>
        </w:tabs>
        <w:spacing w:line="360" w:lineRule="auto"/>
        <w:ind w:left="283" w:right="105" w:rightChars="50" w:firstLine="448"/>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3.1 乙方须按合同协议书附件《电梯技术规格书》的要求，向甲方提供全新的、未曾使用过的（包括专用工具等）合同设备和零部件材料，并完全符合质量检测标准和国家计量检测标准、行业标准。乙方负责办理所有货物的进口及商品检测手续。技术规格书中要求主要进口部件必须是原产国、原品牌进口产品的，应提供原产地证明、原厂合格证、商检证明、进口报关单。</w:t>
      </w:r>
    </w:p>
    <w:p>
      <w:pPr>
        <w:tabs>
          <w:tab w:val="left" w:pos="880"/>
        </w:tabs>
        <w:spacing w:line="360" w:lineRule="auto"/>
        <w:ind w:left="283" w:right="105" w:rightChars="50" w:firstLine="448"/>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3.2进口的设施设备和零部件等及其有关服务必须符合原产地和中华人民共和国的设计和制造生产或行业标准。进口的货物须是具有合法的进口手续和途径，并通过了中华人民共和国商检部门的检验。</w:t>
      </w:r>
    </w:p>
    <w:p>
      <w:pPr>
        <w:tabs>
          <w:tab w:val="left" w:pos="880"/>
        </w:tabs>
        <w:spacing w:line="360" w:lineRule="auto"/>
        <w:ind w:left="283" w:right="105" w:rightChars="50" w:firstLine="448"/>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3.3 乙方提供的设备必须符合中华人民共和国国家现行有关电梯制造和安装的国家标准及规程、规范。生产制造、运输、保管、二次转运和安装中发生的所有质量问题，均由乙方负全责。</w:t>
      </w:r>
    </w:p>
    <w:p>
      <w:pPr>
        <w:tabs>
          <w:tab w:val="left" w:pos="880"/>
        </w:tabs>
        <w:spacing w:line="360" w:lineRule="auto"/>
        <w:ind w:left="283" w:right="105" w:rightChars="50" w:firstLine="448"/>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3.4电梯、扶梯的安装质量以重庆市质量技术监督局验收合格为准。</w:t>
      </w:r>
    </w:p>
    <w:p>
      <w:pPr>
        <w:tabs>
          <w:tab w:val="left" w:pos="880"/>
        </w:tabs>
        <w:spacing w:line="360" w:lineRule="auto"/>
        <w:ind w:left="283" w:right="105" w:rightChars="50" w:firstLine="448"/>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3.5乙方应保证，甲方在使用设施设备和零部件等其中任何一部分时，不承担由第三方提出的侵犯其专利权、商标权、工业设计权、侵犯所有权和工业产权、著作权（版权）等知识产权的起诉。</w:t>
      </w:r>
    </w:p>
    <w:p>
      <w:pPr>
        <w:tabs>
          <w:tab w:val="left" w:pos="880"/>
        </w:tabs>
        <w:spacing w:line="360" w:lineRule="auto"/>
        <w:ind w:left="283" w:right="105" w:rightChars="50" w:firstLine="448"/>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3.6技术资料:电梯、扶梯交货时，乙方向甲方提供的资料有：电器原理图、安装接线图、操作维修手册、电梯使用说明书、成套设备质量合格证、设备出厂质量保证书及制造厂检测报告等全套技术资料。</w:t>
      </w:r>
    </w:p>
    <w:p>
      <w:pPr>
        <w:tabs>
          <w:tab w:val="left" w:pos="880"/>
        </w:tabs>
        <w:spacing w:line="360" w:lineRule="auto"/>
        <w:ind w:left="283" w:right="105" w:rightChars="50" w:firstLine="448"/>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3.7符合电梯、扶梯技术规格书中的规范要求。</w:t>
      </w:r>
    </w:p>
    <w:p>
      <w:pPr>
        <w:pStyle w:val="8"/>
        <w:widowControl/>
        <w:tabs>
          <w:tab w:val="left" w:pos="880"/>
        </w:tabs>
        <w:spacing w:line="360" w:lineRule="auto"/>
        <w:ind w:left="283" w:right="105" w:rightChars="50" w:firstLine="448"/>
        <w:rPr>
          <w:rFonts w:hint="eastAsia" w:ascii="宋体" w:hAnsi="宋体" w:eastAsia="宋体" w:cs="宋体"/>
          <w:b/>
          <w:color w:val="auto"/>
          <w:kern w:val="0"/>
          <w:sz w:val="20"/>
          <w:szCs w:val="20"/>
          <w:highlight w:val="none"/>
        </w:rPr>
      </w:pPr>
      <w:r>
        <w:rPr>
          <w:rFonts w:hint="eastAsia" w:ascii="宋体" w:hAnsi="宋体" w:eastAsia="宋体" w:cs="宋体"/>
          <w:b/>
          <w:color w:val="auto"/>
          <w:kern w:val="0"/>
          <w:sz w:val="20"/>
          <w:szCs w:val="20"/>
          <w:highlight w:val="none"/>
        </w:rPr>
        <w:t>4、产品包装及运输方式</w:t>
      </w:r>
    </w:p>
    <w:p>
      <w:pPr>
        <w:tabs>
          <w:tab w:val="left" w:pos="880"/>
        </w:tabs>
        <w:adjustRightInd w:val="0"/>
        <w:spacing w:line="360" w:lineRule="auto"/>
        <w:ind w:left="283" w:right="105" w:rightChars="50" w:firstLine="448"/>
        <w:rPr>
          <w:rFonts w:hint="eastAsia" w:ascii="宋体" w:hAnsi="宋体" w:eastAsia="宋体" w:cs="宋体"/>
          <w:b/>
          <w:color w:val="auto"/>
          <w:sz w:val="20"/>
          <w:szCs w:val="20"/>
          <w:highlight w:val="none"/>
        </w:rPr>
      </w:pPr>
      <w:r>
        <w:rPr>
          <w:rFonts w:hint="eastAsia" w:ascii="宋体" w:hAnsi="宋体" w:eastAsia="宋体" w:cs="宋体"/>
          <w:color w:val="auto"/>
          <w:sz w:val="20"/>
          <w:szCs w:val="20"/>
          <w:highlight w:val="none"/>
        </w:rPr>
        <w:t>4.1 乙方以合理的包装，保障产品符合正常运输的要求。</w:t>
      </w:r>
    </w:p>
    <w:p>
      <w:pPr>
        <w:tabs>
          <w:tab w:val="left" w:pos="880"/>
        </w:tabs>
        <w:adjustRightInd w:val="0"/>
        <w:spacing w:line="360" w:lineRule="auto"/>
        <w:ind w:left="283" w:right="105" w:rightChars="50" w:firstLine="448"/>
        <w:rPr>
          <w:rFonts w:hint="eastAsia" w:ascii="宋体" w:hAnsi="宋体" w:eastAsia="宋体" w:cs="宋体"/>
          <w:b/>
          <w:color w:val="auto"/>
          <w:sz w:val="20"/>
          <w:szCs w:val="20"/>
          <w:highlight w:val="none"/>
        </w:rPr>
      </w:pPr>
      <w:r>
        <w:rPr>
          <w:rFonts w:hint="eastAsia" w:ascii="宋体" w:hAnsi="宋体" w:eastAsia="宋体" w:cs="宋体"/>
          <w:color w:val="auto"/>
          <w:sz w:val="20"/>
          <w:szCs w:val="20"/>
          <w:highlight w:val="none"/>
        </w:rPr>
        <w:t>4.2 乙方将本合同产品运到甲方工程现场的指定地点后，应按甲方指定的位置进行卸货并采取相应的防淋、防潮、防窃、防震、防锈、防腐和防强光的保管措施，防止任何锈蚀、损失和损害。</w:t>
      </w:r>
    </w:p>
    <w:p>
      <w:pPr>
        <w:tabs>
          <w:tab w:val="left" w:pos="880"/>
        </w:tabs>
        <w:adjustRightInd w:val="0"/>
        <w:spacing w:line="360" w:lineRule="auto"/>
        <w:ind w:left="283" w:right="105" w:rightChars="50" w:firstLine="448"/>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4.3 若因乙方对合同内设备包装（防护措施）不当，造成货物的损坏、锈蚀、损失或包装破损等责任事故，均由乙方负责完全赔偿。</w:t>
      </w:r>
    </w:p>
    <w:p>
      <w:pPr>
        <w:tabs>
          <w:tab w:val="left" w:pos="880"/>
        </w:tabs>
        <w:adjustRightInd w:val="0"/>
        <w:spacing w:line="360" w:lineRule="auto"/>
        <w:ind w:left="283" w:right="105" w:rightChars="50" w:firstLine="448"/>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4.4  乙方还应负责到工地的下车、枢纽既有建筑楼内的二次、多次转运及保管等，费用包含在合同单台设备单价中。</w:t>
      </w:r>
    </w:p>
    <w:p>
      <w:pPr>
        <w:pStyle w:val="8"/>
        <w:widowControl/>
        <w:tabs>
          <w:tab w:val="left" w:pos="880"/>
        </w:tabs>
        <w:spacing w:line="360" w:lineRule="auto"/>
        <w:ind w:left="283" w:right="105" w:rightChars="50" w:firstLine="448"/>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4.5 运输方式：铁路、公路。</w:t>
      </w:r>
    </w:p>
    <w:p>
      <w:pPr>
        <w:pStyle w:val="8"/>
        <w:widowControl/>
        <w:tabs>
          <w:tab w:val="left" w:pos="880"/>
        </w:tabs>
        <w:spacing w:line="360" w:lineRule="auto"/>
        <w:ind w:left="283" w:right="105" w:rightChars="50" w:firstLine="448"/>
        <w:rPr>
          <w:rFonts w:hint="eastAsia" w:ascii="宋体" w:hAnsi="宋体" w:eastAsia="宋体" w:cs="宋体"/>
          <w:b/>
          <w:bCs/>
          <w:color w:val="auto"/>
          <w:kern w:val="0"/>
          <w:sz w:val="20"/>
          <w:szCs w:val="20"/>
          <w:highlight w:val="none"/>
        </w:rPr>
      </w:pPr>
      <w:r>
        <w:rPr>
          <w:rFonts w:hint="eastAsia" w:ascii="宋体" w:hAnsi="宋体" w:eastAsia="宋体" w:cs="宋体"/>
          <w:b/>
          <w:color w:val="auto"/>
          <w:kern w:val="0"/>
          <w:sz w:val="20"/>
          <w:szCs w:val="20"/>
          <w:highlight w:val="none"/>
        </w:rPr>
        <w:t>5、</w:t>
      </w:r>
      <w:r>
        <w:rPr>
          <w:rFonts w:hint="eastAsia" w:ascii="宋体" w:hAnsi="宋体" w:eastAsia="宋体" w:cs="宋体"/>
          <w:b/>
          <w:bCs/>
          <w:color w:val="auto"/>
          <w:kern w:val="0"/>
          <w:sz w:val="20"/>
          <w:szCs w:val="20"/>
          <w:highlight w:val="none"/>
        </w:rPr>
        <w:t>设备交付与查验</w:t>
      </w:r>
    </w:p>
    <w:p>
      <w:pPr>
        <w:tabs>
          <w:tab w:val="left" w:pos="880"/>
        </w:tabs>
        <w:spacing w:line="360" w:lineRule="auto"/>
        <w:ind w:left="283" w:right="105" w:rightChars="50" w:firstLine="448"/>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5.1、设备的交付</w:t>
      </w:r>
    </w:p>
    <w:p>
      <w:pPr>
        <w:tabs>
          <w:tab w:val="left" w:pos="880"/>
        </w:tabs>
        <w:spacing w:line="360" w:lineRule="auto"/>
        <w:ind w:left="283" w:right="105" w:rightChars="50" w:firstLine="448"/>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5.1.1 设备交付方式：</w:t>
      </w:r>
    </w:p>
    <w:p>
      <w:pPr>
        <w:tabs>
          <w:tab w:val="left" w:pos="880"/>
        </w:tabs>
        <w:spacing w:line="360" w:lineRule="auto"/>
        <w:ind w:left="283" w:right="105" w:rightChars="50" w:firstLine="448"/>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交货地点：重庆市</w:t>
      </w:r>
      <w:r>
        <w:rPr>
          <w:rFonts w:hint="eastAsia" w:cs="宋体"/>
          <w:color w:val="auto"/>
          <w:sz w:val="20"/>
          <w:szCs w:val="20"/>
          <w:highlight w:val="none"/>
          <w:lang w:val="en-US" w:eastAsia="zh-CN"/>
        </w:rPr>
        <w:t>大渡口区陈庹路公交站场</w:t>
      </w:r>
      <w:r>
        <w:rPr>
          <w:rFonts w:hint="eastAsia" w:ascii="宋体" w:hAnsi="宋体" w:eastAsia="宋体" w:cs="宋体"/>
          <w:color w:val="auto"/>
          <w:sz w:val="20"/>
          <w:szCs w:val="20"/>
          <w:highlight w:val="none"/>
        </w:rPr>
        <w:t>项目现场甲方指定地点。</w:t>
      </w:r>
    </w:p>
    <w:p>
      <w:pPr>
        <w:tabs>
          <w:tab w:val="left" w:pos="880"/>
        </w:tabs>
        <w:spacing w:line="360" w:lineRule="auto"/>
        <w:ind w:left="283" w:right="105" w:rightChars="50" w:firstLine="448"/>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乙方负责办理运输和保险，将货物运抵现场并装卸。有关运输、装卸和保险的一切费用由乙方承担。所有货物运抵现场后的保管及设备的查验工作由乙方负责，且经甲方书面签收的日期为交货日期。</w:t>
      </w:r>
    </w:p>
    <w:p>
      <w:pPr>
        <w:tabs>
          <w:tab w:val="left" w:pos="880"/>
        </w:tabs>
        <w:spacing w:line="360" w:lineRule="auto"/>
        <w:ind w:left="283" w:right="105" w:rightChars="50" w:firstLine="448"/>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5.1.2 乙方应根据合同交货期的约定及甲方书面发出的排产及完工计划,将合同设备按时交货,以配合合同设备的安装和保证交付使用的时间。</w:t>
      </w:r>
    </w:p>
    <w:p>
      <w:pPr>
        <w:tabs>
          <w:tab w:val="left" w:pos="880"/>
        </w:tabs>
        <w:spacing w:line="360" w:lineRule="auto"/>
        <w:ind w:left="283" w:right="105" w:rightChars="50" w:firstLine="448"/>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5.2、设备的查验</w:t>
      </w:r>
    </w:p>
    <w:p>
      <w:pPr>
        <w:tabs>
          <w:tab w:val="left" w:pos="880"/>
        </w:tabs>
        <w:spacing w:line="360" w:lineRule="auto"/>
        <w:ind w:left="283" w:right="105" w:rightChars="50" w:firstLine="448"/>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5.2.1 设备到货后，乙方应在3天内检查设备及附件的完整性、技术资料和图纸是否符合要求，若有损坏、受潮、缺箱等问题，应及时弥补，以完善本合同的设备。</w:t>
      </w:r>
    </w:p>
    <w:p>
      <w:pPr>
        <w:tabs>
          <w:tab w:val="left" w:pos="880"/>
        </w:tabs>
        <w:spacing w:line="360" w:lineRule="auto"/>
        <w:ind w:left="283" w:right="105" w:rightChars="50" w:firstLine="448"/>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5.2.2 乙方初验后应通知甲方、监理人开箱查验，如电扶梯设备的品质、技术参数、规格型号或数量等与合同所规定的不符，则乙方应予以无条件更换、补发所短缺的部件。若甲方未能参加验收，可视为货物的初验合格，仅为满足到货款支付的节点，但甲方以技术监督局验收合格为最终验收。</w:t>
      </w:r>
    </w:p>
    <w:p>
      <w:pPr>
        <w:pStyle w:val="8"/>
        <w:widowControl/>
        <w:tabs>
          <w:tab w:val="left" w:pos="880"/>
        </w:tabs>
        <w:spacing w:line="360" w:lineRule="auto"/>
        <w:ind w:left="283" w:right="105" w:rightChars="50" w:firstLine="448"/>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5.2.3 甲方有权对出厂前的电扶梯设备到厂检查，其人员(1-3人/次)到厂检查的差旅费由乙方承担。</w:t>
      </w:r>
    </w:p>
    <w:p>
      <w:pPr>
        <w:pStyle w:val="8"/>
        <w:widowControl/>
        <w:tabs>
          <w:tab w:val="left" w:pos="880"/>
        </w:tabs>
        <w:spacing w:line="360" w:lineRule="auto"/>
        <w:ind w:left="283" w:right="105" w:rightChars="50" w:firstLine="448"/>
        <w:rPr>
          <w:rFonts w:hint="eastAsia" w:ascii="宋体" w:hAnsi="宋体" w:eastAsia="宋体" w:cs="宋体"/>
          <w:b/>
          <w:color w:val="auto"/>
          <w:kern w:val="0"/>
          <w:sz w:val="20"/>
          <w:szCs w:val="20"/>
          <w:highlight w:val="none"/>
        </w:rPr>
      </w:pPr>
      <w:r>
        <w:rPr>
          <w:rFonts w:hint="eastAsia" w:ascii="宋体" w:hAnsi="宋体" w:eastAsia="宋体" w:cs="宋体"/>
          <w:b/>
          <w:color w:val="auto"/>
          <w:kern w:val="0"/>
          <w:sz w:val="20"/>
          <w:szCs w:val="20"/>
          <w:highlight w:val="none"/>
        </w:rPr>
        <w:t>6、承诺与保证</w:t>
      </w:r>
    </w:p>
    <w:p>
      <w:pPr>
        <w:pStyle w:val="8"/>
        <w:widowControl/>
        <w:tabs>
          <w:tab w:val="left" w:pos="880"/>
        </w:tabs>
        <w:spacing w:line="360" w:lineRule="auto"/>
        <w:ind w:left="283" w:right="105" w:rightChars="50" w:firstLine="448"/>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6.1 乙方保证依本合同向甲方提供的电扶梯产品符合本合同中关于电扶梯品质的约定（参照附件电梯、扶梯技术规格书）。</w:t>
      </w:r>
    </w:p>
    <w:p>
      <w:pPr>
        <w:pStyle w:val="8"/>
        <w:widowControl/>
        <w:tabs>
          <w:tab w:val="left" w:pos="880"/>
        </w:tabs>
        <w:spacing w:line="360" w:lineRule="auto"/>
        <w:ind w:left="283" w:right="105" w:rightChars="50" w:firstLine="448"/>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6.2 乙方保证依本合同向甲方提供的电扶梯产品，在甲方正常使用条件下，产品免费保修期从设备取得运行许可证并移交运营签字接管使用，并试运行3个月后起计，保修期为24个月（以中标人响应的保修期为准），在保修期内，电梯制造商须按TSGT5002-2017的要求及《电梯、扶梯技术规格书》第七条的规定免费进行维修保养。</w:t>
      </w:r>
    </w:p>
    <w:p>
      <w:pPr>
        <w:pStyle w:val="8"/>
        <w:widowControl/>
        <w:tabs>
          <w:tab w:val="left" w:pos="880"/>
        </w:tabs>
        <w:spacing w:line="360" w:lineRule="auto"/>
        <w:ind w:left="283" w:right="105" w:rightChars="50" w:firstLine="448"/>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6.3 乙方应当按照国家关于电扶梯生产企业实施制造、安装、维修全面负责一条龙管理制度的规定，与甲方签订《电梯安装协议》，并依约保证电扶梯产品的制造质量和安装质量。</w:t>
      </w:r>
    </w:p>
    <w:p>
      <w:pPr>
        <w:pStyle w:val="8"/>
        <w:widowControl/>
        <w:tabs>
          <w:tab w:val="left" w:pos="880"/>
        </w:tabs>
        <w:spacing w:line="360" w:lineRule="auto"/>
        <w:ind w:left="283" w:right="105" w:rightChars="50" w:firstLine="448"/>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6.4乙方承诺从设备取得运行许可证并移交运营签字接管使用，并试运行3个月后的十二个月内，作为重点服务保证期，由乙方派专人保证电扶梯的正常使用。</w:t>
      </w:r>
    </w:p>
    <w:p>
      <w:pPr>
        <w:pStyle w:val="8"/>
        <w:widowControl/>
        <w:tabs>
          <w:tab w:val="left" w:pos="880"/>
        </w:tabs>
        <w:spacing w:line="360" w:lineRule="auto"/>
        <w:ind w:left="283" w:right="105" w:rightChars="50" w:firstLine="448"/>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6.5鉴于电梯设备所涉及的技术条件较复杂，为确保电梯的运行质量，电梯设备交付使用24个月免费保修期满后，建议由具有电扶梯维保专业资质的企业对电扶梯进行保养。甲方也可于本合同约定保修期满前10日内与乙方签订《电梯维保协议》，乙方将依约提供完善的电梯维保服务。</w:t>
      </w:r>
    </w:p>
    <w:p>
      <w:pPr>
        <w:pStyle w:val="8"/>
        <w:widowControl/>
        <w:tabs>
          <w:tab w:val="left" w:pos="880"/>
        </w:tabs>
        <w:spacing w:line="360" w:lineRule="auto"/>
        <w:ind w:left="283" w:right="105" w:rightChars="50" w:firstLine="448"/>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6.6 货到现场后乙方自行负责产品的保管，如果因甲方原因导致货到现场无法安装，仍由乙方负责保管。</w:t>
      </w:r>
    </w:p>
    <w:p>
      <w:pPr>
        <w:pStyle w:val="8"/>
        <w:widowControl/>
        <w:tabs>
          <w:tab w:val="left" w:pos="880"/>
        </w:tabs>
        <w:spacing w:line="360" w:lineRule="auto"/>
        <w:ind w:left="283" w:right="105" w:rightChars="50" w:firstLine="448"/>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6.7乙方必须在保证质量的基础上采取相应的措施抓紧施工，保证在合同约定的完工投用时间前交付甲方使用。</w:t>
      </w:r>
    </w:p>
    <w:p>
      <w:pPr>
        <w:pStyle w:val="8"/>
        <w:widowControl/>
        <w:tabs>
          <w:tab w:val="left" w:pos="880"/>
        </w:tabs>
        <w:spacing w:line="360" w:lineRule="auto"/>
        <w:ind w:left="283" w:right="105" w:rightChars="50" w:firstLine="448"/>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6.8乙方在履行本合同过程中所发生的人员、设备等一切安全责任均由乙方负责。甲方不承担任何责任。</w:t>
      </w:r>
    </w:p>
    <w:p>
      <w:pPr>
        <w:pStyle w:val="8"/>
        <w:widowControl/>
        <w:tabs>
          <w:tab w:val="left" w:pos="880"/>
        </w:tabs>
        <w:spacing w:line="360" w:lineRule="auto"/>
        <w:ind w:left="283" w:right="105" w:rightChars="50" w:firstLine="448"/>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6.9乙方提供的产品均为成熟的标准产品，涉及样式的均可根据乙方产品图册进行选择（出厂标配），如乙方提供的产品图册均无法满足甲方的要求，则乙方须无偿更换，直至甲方满意。</w:t>
      </w:r>
    </w:p>
    <w:p>
      <w:pPr>
        <w:pStyle w:val="8"/>
        <w:widowControl/>
        <w:tabs>
          <w:tab w:val="left" w:pos="880"/>
        </w:tabs>
        <w:spacing w:line="360" w:lineRule="auto"/>
        <w:ind w:left="283" w:right="105" w:rightChars="50" w:firstLine="448"/>
        <w:rPr>
          <w:rFonts w:hint="eastAsia" w:ascii="宋体" w:hAnsi="宋体" w:eastAsia="宋体" w:cs="宋体"/>
          <w:b/>
          <w:color w:val="auto"/>
          <w:kern w:val="0"/>
          <w:sz w:val="20"/>
          <w:szCs w:val="20"/>
          <w:highlight w:val="none"/>
        </w:rPr>
      </w:pPr>
      <w:r>
        <w:rPr>
          <w:rFonts w:hint="eastAsia" w:ascii="宋体" w:hAnsi="宋体" w:eastAsia="宋体" w:cs="宋体"/>
          <w:b/>
          <w:color w:val="auto"/>
          <w:kern w:val="0"/>
          <w:sz w:val="20"/>
          <w:szCs w:val="20"/>
          <w:highlight w:val="none"/>
        </w:rPr>
        <w:t>7、履约担保</w:t>
      </w:r>
    </w:p>
    <w:p>
      <w:pPr>
        <w:pStyle w:val="8"/>
        <w:widowControl/>
        <w:tabs>
          <w:tab w:val="left" w:pos="880"/>
        </w:tabs>
        <w:spacing w:line="360" w:lineRule="auto"/>
        <w:ind w:left="283" w:right="105" w:rightChars="50" w:firstLine="448"/>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7.1担保形式：现金或银行保函或现金+银行保函的组合；采用银行保函形式的，保函必须为不可撤销且见索即付；</w:t>
      </w:r>
    </w:p>
    <w:p>
      <w:pPr>
        <w:pStyle w:val="8"/>
        <w:widowControl/>
        <w:tabs>
          <w:tab w:val="left" w:pos="880"/>
        </w:tabs>
        <w:spacing w:line="360" w:lineRule="auto"/>
        <w:ind w:left="283" w:right="105" w:rightChars="50" w:firstLine="448"/>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7.2担保金额：设备费及安装费合计费用的10%。</w:t>
      </w:r>
    </w:p>
    <w:p>
      <w:pPr>
        <w:tabs>
          <w:tab w:val="left" w:pos="880"/>
        </w:tabs>
        <w:spacing w:line="360" w:lineRule="auto"/>
        <w:ind w:left="283" w:right="105" w:rightChars="50" w:firstLine="448"/>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7.3提交时间：按《电梯采购及安装工程合同协议书》约定时间向甲方提交；若未按时提交，甲方不予签订合同并有权取消其中标资格。</w:t>
      </w:r>
    </w:p>
    <w:p>
      <w:pPr>
        <w:pStyle w:val="8"/>
        <w:widowControl/>
        <w:tabs>
          <w:tab w:val="left" w:pos="880"/>
        </w:tabs>
        <w:spacing w:line="360" w:lineRule="auto"/>
        <w:ind w:left="283" w:right="105" w:rightChars="50" w:firstLine="448"/>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7.4履约保函退还方式：</w:t>
      </w:r>
      <w:r>
        <w:rPr>
          <w:rFonts w:hint="eastAsia" w:ascii="宋体" w:hAnsi="宋体" w:eastAsia="宋体" w:cs="宋体"/>
          <w:bCs/>
          <w:color w:val="auto"/>
          <w:kern w:val="0"/>
          <w:sz w:val="20"/>
          <w:szCs w:val="20"/>
          <w:highlight w:val="none"/>
        </w:rPr>
        <w:t>电梯</w:t>
      </w:r>
      <w:r>
        <w:rPr>
          <w:rFonts w:hint="eastAsia" w:hAnsi="宋体" w:cs="宋体"/>
          <w:bCs/>
          <w:color w:val="auto"/>
          <w:kern w:val="0"/>
          <w:sz w:val="20"/>
          <w:szCs w:val="20"/>
          <w:highlight w:val="none"/>
          <w:lang w:val="en-US" w:eastAsia="zh-CN"/>
        </w:rPr>
        <w:t>经</w:t>
      </w:r>
      <w:r>
        <w:rPr>
          <w:rFonts w:hint="eastAsia" w:ascii="宋体" w:hAnsi="宋体" w:eastAsia="宋体" w:cs="宋体"/>
          <w:bCs/>
          <w:color w:val="auto"/>
          <w:kern w:val="0"/>
          <w:sz w:val="20"/>
          <w:szCs w:val="20"/>
          <w:highlight w:val="none"/>
          <w:lang w:val="en-US" w:eastAsia="zh-CN"/>
        </w:rPr>
        <w:t>重庆市法定检验机构</w:t>
      </w:r>
      <w:r>
        <w:rPr>
          <w:rFonts w:hint="eastAsia" w:ascii="宋体" w:hAnsi="宋体" w:eastAsia="宋体" w:cs="宋体"/>
          <w:bCs/>
          <w:color w:val="auto"/>
          <w:kern w:val="0"/>
          <w:sz w:val="20"/>
          <w:szCs w:val="20"/>
          <w:highlight w:val="none"/>
        </w:rPr>
        <w:t>验收合格并颁发运行许可证后，由乙方交付甲方，交付工作完成后15个工作日内，甲方退还乙方履约</w:t>
      </w:r>
      <w:r>
        <w:rPr>
          <w:rFonts w:hint="eastAsia" w:ascii="宋体" w:hAnsi="宋体" w:eastAsia="宋体" w:cs="宋体"/>
          <w:color w:val="auto"/>
          <w:kern w:val="0"/>
          <w:sz w:val="20"/>
          <w:szCs w:val="20"/>
          <w:highlight w:val="none"/>
        </w:rPr>
        <w:t>保函。</w:t>
      </w:r>
    </w:p>
    <w:p>
      <w:pPr>
        <w:pStyle w:val="8"/>
        <w:widowControl/>
        <w:tabs>
          <w:tab w:val="left" w:pos="880"/>
        </w:tabs>
        <w:spacing w:line="360" w:lineRule="auto"/>
        <w:ind w:left="283" w:right="105" w:rightChars="50" w:firstLine="448"/>
        <w:rPr>
          <w:rFonts w:hint="eastAsia" w:ascii="宋体" w:hAnsi="宋体" w:eastAsia="宋体" w:cs="宋体"/>
          <w:b/>
          <w:color w:val="auto"/>
          <w:kern w:val="0"/>
          <w:sz w:val="20"/>
          <w:szCs w:val="20"/>
          <w:highlight w:val="none"/>
        </w:rPr>
      </w:pPr>
      <w:r>
        <w:rPr>
          <w:rFonts w:hint="eastAsia" w:ascii="宋体" w:hAnsi="宋体" w:eastAsia="宋体" w:cs="宋体"/>
          <w:b/>
          <w:color w:val="auto"/>
          <w:kern w:val="0"/>
          <w:sz w:val="20"/>
          <w:szCs w:val="20"/>
          <w:highlight w:val="none"/>
        </w:rPr>
        <w:t>8、备件信息</w:t>
      </w:r>
    </w:p>
    <w:p>
      <w:pPr>
        <w:pStyle w:val="8"/>
        <w:widowControl/>
        <w:tabs>
          <w:tab w:val="left" w:pos="880"/>
        </w:tabs>
        <w:spacing w:line="360" w:lineRule="auto"/>
        <w:ind w:left="283" w:right="105" w:rightChars="50" w:firstLine="448"/>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8.1乙方应向甲方提供下列与备件有关的文件、资料和通知（这些备件是由乙方制造的）：</w:t>
      </w:r>
    </w:p>
    <w:p>
      <w:pPr>
        <w:pStyle w:val="8"/>
        <w:widowControl/>
        <w:tabs>
          <w:tab w:val="left" w:pos="880"/>
        </w:tabs>
        <w:spacing w:line="360" w:lineRule="auto"/>
        <w:ind w:left="283" w:right="105" w:rightChars="50" w:firstLine="448"/>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甲方从乙方处选购的备件信息，其前提条件是选择并不能免除乙方在质量保证期内所承担的义务。</w:t>
      </w:r>
    </w:p>
    <w:p>
      <w:pPr>
        <w:pStyle w:val="8"/>
        <w:widowControl/>
        <w:tabs>
          <w:tab w:val="left" w:pos="880"/>
        </w:tabs>
        <w:spacing w:line="360" w:lineRule="auto"/>
        <w:ind w:left="283" w:right="105" w:rightChars="50" w:firstLine="448"/>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8.2在备件停止生产的情况下：</w:t>
      </w:r>
    </w:p>
    <w:p>
      <w:pPr>
        <w:pStyle w:val="8"/>
        <w:widowControl/>
        <w:tabs>
          <w:tab w:val="left" w:pos="880"/>
        </w:tabs>
        <w:spacing w:line="360" w:lineRule="auto"/>
        <w:ind w:left="283" w:right="105" w:rightChars="50" w:firstLine="448"/>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8.2.1事先将欲停止生产的计划通知甲方，使甲方有足够的时间采购所需的备件。</w:t>
      </w:r>
    </w:p>
    <w:p>
      <w:pPr>
        <w:pStyle w:val="8"/>
        <w:widowControl/>
        <w:tabs>
          <w:tab w:val="left" w:pos="880"/>
        </w:tabs>
        <w:spacing w:line="360" w:lineRule="auto"/>
        <w:ind w:left="283" w:right="105" w:rightChars="50" w:firstLine="448"/>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8.2.2在停止生产后，如果甲方提出要求，免费向甲方提供备件的图样和规格。</w:t>
      </w:r>
    </w:p>
    <w:p>
      <w:pPr>
        <w:pStyle w:val="8"/>
        <w:widowControl/>
        <w:tabs>
          <w:tab w:val="left" w:pos="880"/>
        </w:tabs>
        <w:spacing w:line="360" w:lineRule="auto"/>
        <w:ind w:left="283" w:right="105" w:rightChars="50" w:firstLine="448"/>
        <w:rPr>
          <w:rFonts w:hint="eastAsia" w:ascii="宋体" w:hAnsi="宋体" w:eastAsia="宋体" w:cs="宋体"/>
          <w:b/>
          <w:color w:val="auto"/>
          <w:kern w:val="0"/>
          <w:sz w:val="20"/>
          <w:szCs w:val="20"/>
          <w:highlight w:val="none"/>
        </w:rPr>
      </w:pPr>
      <w:r>
        <w:rPr>
          <w:rFonts w:hint="eastAsia" w:ascii="宋体" w:hAnsi="宋体" w:eastAsia="宋体" w:cs="宋体"/>
          <w:b/>
          <w:color w:val="auto"/>
          <w:kern w:val="0"/>
          <w:sz w:val="20"/>
          <w:szCs w:val="20"/>
          <w:highlight w:val="none"/>
        </w:rPr>
        <w:t>9、技术服务</w:t>
      </w:r>
    </w:p>
    <w:p>
      <w:pPr>
        <w:pStyle w:val="8"/>
        <w:widowControl/>
        <w:tabs>
          <w:tab w:val="left" w:pos="880"/>
        </w:tabs>
        <w:spacing w:line="360" w:lineRule="auto"/>
        <w:ind w:left="283" w:right="105" w:rightChars="50" w:firstLine="448"/>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9.1除招标文件的电梯技术规格书中另有规定外，乙方应准备与合同设备或仪器相符的中文技术资料，并于交货时送到甲方，例如：产品图册、图纸、操作手册、使用说明、维修指南或服务手册等。如本条款所述资料寄送不完整或丢失，乙方应在收到甲方通知后立即免费另寄。</w:t>
      </w:r>
    </w:p>
    <w:p>
      <w:pPr>
        <w:pStyle w:val="8"/>
        <w:widowControl/>
        <w:tabs>
          <w:tab w:val="left" w:pos="880"/>
        </w:tabs>
        <w:spacing w:line="360" w:lineRule="auto"/>
        <w:ind w:left="283" w:right="105" w:rightChars="50" w:firstLine="448"/>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9.2上述一套完整的资料应包装好随每批货物一起发运。</w:t>
      </w:r>
    </w:p>
    <w:p>
      <w:pPr>
        <w:pStyle w:val="8"/>
        <w:widowControl/>
        <w:tabs>
          <w:tab w:val="left" w:pos="880"/>
        </w:tabs>
        <w:spacing w:line="360" w:lineRule="auto"/>
        <w:ind w:left="283" w:right="105" w:rightChars="50" w:firstLine="448"/>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9.3乙方还应提供下列服务：</w:t>
      </w:r>
    </w:p>
    <w:p>
      <w:pPr>
        <w:pStyle w:val="8"/>
        <w:widowControl/>
        <w:tabs>
          <w:tab w:val="left" w:pos="880"/>
        </w:tabs>
        <w:spacing w:line="360" w:lineRule="auto"/>
        <w:ind w:left="283" w:right="105" w:rightChars="50" w:firstLine="448"/>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（1）货物的现场安装调试和启动监督：</w:t>
      </w:r>
    </w:p>
    <w:p>
      <w:pPr>
        <w:pStyle w:val="8"/>
        <w:widowControl/>
        <w:tabs>
          <w:tab w:val="left" w:pos="880"/>
        </w:tabs>
        <w:spacing w:line="360" w:lineRule="auto"/>
        <w:ind w:left="283" w:right="105" w:rightChars="50" w:firstLine="448"/>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（2）提供货物组装和维修所需的专用工具和辅助材料：</w:t>
      </w:r>
    </w:p>
    <w:p>
      <w:pPr>
        <w:pStyle w:val="8"/>
        <w:widowControl/>
        <w:tabs>
          <w:tab w:val="left" w:pos="880"/>
        </w:tabs>
        <w:spacing w:line="360" w:lineRule="auto"/>
        <w:ind w:left="283" w:right="105" w:rightChars="50" w:firstLine="448"/>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（3）在双方商定的一定期限内对所有的货物实施运行监督、维修，但前提条件是该服务并不能免除乙方在免费保修期内所承担的义务；</w:t>
      </w:r>
    </w:p>
    <w:p>
      <w:pPr>
        <w:pStyle w:val="8"/>
        <w:widowControl/>
        <w:tabs>
          <w:tab w:val="left" w:pos="880"/>
        </w:tabs>
        <w:spacing w:line="360" w:lineRule="auto"/>
        <w:ind w:left="283" w:right="105" w:rightChars="50" w:firstLine="448"/>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（4）就货物的安装、启动、运营、维护对甲方技术人员进行培训。</w:t>
      </w:r>
    </w:p>
    <w:p>
      <w:pPr>
        <w:pStyle w:val="8"/>
        <w:widowControl/>
        <w:tabs>
          <w:tab w:val="left" w:pos="880"/>
        </w:tabs>
        <w:spacing w:line="360" w:lineRule="auto"/>
        <w:ind w:left="283" w:right="105" w:rightChars="50" w:firstLine="448"/>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9.4.技术服务的费用应含在单台设备的单价报价中，不单独进行支付。</w:t>
      </w:r>
    </w:p>
    <w:p>
      <w:pPr>
        <w:pStyle w:val="8"/>
        <w:widowControl/>
        <w:tabs>
          <w:tab w:val="left" w:pos="880"/>
        </w:tabs>
        <w:spacing w:line="360" w:lineRule="auto"/>
        <w:ind w:left="283" w:right="105" w:rightChars="50" w:firstLine="448"/>
        <w:rPr>
          <w:rFonts w:hint="eastAsia" w:ascii="宋体" w:hAnsi="宋体" w:eastAsia="宋体" w:cs="宋体"/>
          <w:b/>
          <w:color w:val="auto"/>
          <w:kern w:val="0"/>
          <w:sz w:val="20"/>
          <w:szCs w:val="20"/>
          <w:highlight w:val="none"/>
        </w:rPr>
      </w:pPr>
      <w:r>
        <w:rPr>
          <w:rFonts w:hint="eastAsia" w:ascii="宋体" w:hAnsi="宋体" w:eastAsia="宋体" w:cs="宋体"/>
          <w:b/>
          <w:color w:val="auto"/>
          <w:kern w:val="0"/>
          <w:sz w:val="20"/>
          <w:szCs w:val="20"/>
          <w:highlight w:val="none"/>
        </w:rPr>
        <w:t>10、违约责任</w:t>
      </w:r>
    </w:p>
    <w:p>
      <w:pPr>
        <w:pStyle w:val="8"/>
        <w:widowControl/>
        <w:tabs>
          <w:tab w:val="left" w:pos="880"/>
        </w:tabs>
        <w:spacing w:line="360" w:lineRule="auto"/>
        <w:ind w:left="283" w:right="105" w:rightChars="50" w:firstLine="448"/>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10.1甲方、乙方中任何一方因自身原因导致合同无法履行（除不可抗力外），违约方须向另一方偿付本合同结算总价10%的违约金。</w:t>
      </w:r>
    </w:p>
    <w:p>
      <w:pPr>
        <w:pStyle w:val="8"/>
        <w:widowControl/>
        <w:tabs>
          <w:tab w:val="left" w:pos="880"/>
        </w:tabs>
        <w:spacing w:line="360" w:lineRule="auto"/>
        <w:ind w:left="283" w:right="105" w:rightChars="50" w:firstLine="448"/>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10.2直接损失超过违约金的，按实际损失额赔偿。</w:t>
      </w:r>
    </w:p>
    <w:p>
      <w:pPr>
        <w:tabs>
          <w:tab w:val="left" w:pos="880"/>
        </w:tabs>
        <w:spacing w:line="360" w:lineRule="auto"/>
        <w:ind w:left="283" w:right="105" w:rightChars="50" w:firstLine="448"/>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10.3由于非不可抗力原因甲方未能在本合同规定的时间内支付合同设备费时,则应向乙方支付违约金,其支付办法是:每延迟一天,违约金为应付额的同期银行贷款利息，但违约金总额最多不超过本合同结算总价的10%。</w:t>
      </w:r>
    </w:p>
    <w:p>
      <w:pPr>
        <w:tabs>
          <w:tab w:val="left" w:pos="880"/>
        </w:tabs>
        <w:spacing w:line="360" w:lineRule="auto"/>
        <w:ind w:left="283" w:right="105" w:rightChars="50" w:firstLine="448"/>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10.4由于非不可抗力原因乙方未能将合同设备按照合同规定的期限交付验收，甲方将从设备费结算总价中扣除误期赔偿费，且不会因此而影响在合同项下要求乙方采取其他补救措施。误期赔偿费的计算标准为：每延误七（7）天，赔偿百分之一（1％）迟交货物的设备费或延期服务的服务费，不足七（7）天时按七天计算，直至交货或提供服务为止。误期赔偿费的最高限额为设备费结算总价的百分之十（10％）。一旦达到误期赔偿的最高限额时，甲方可考虑终止合同。</w:t>
      </w:r>
    </w:p>
    <w:p>
      <w:pPr>
        <w:tabs>
          <w:tab w:val="left" w:pos="880"/>
        </w:tabs>
        <w:spacing w:line="360" w:lineRule="auto"/>
        <w:ind w:left="283" w:right="105" w:rightChars="50" w:firstLine="448"/>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10.5 乙方到货电梯未按本合同规定是全新产品，电梯的参数、规格、性能、功能配置、部件等不符合本合同约定时，甲方有权拒收设备和向乙方提出全额索赔，并保留向乙方进一步追究责任的权利。</w:t>
      </w:r>
    </w:p>
    <w:p>
      <w:pPr>
        <w:tabs>
          <w:tab w:val="left" w:pos="880"/>
        </w:tabs>
        <w:spacing w:line="360" w:lineRule="auto"/>
        <w:ind w:left="283" w:right="105" w:rightChars="50" w:firstLine="448"/>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10.6 当甲方或乙方因不可抗力的影响不能正常履行合同责任时,履行合同的时间将延迟,延迟履行合同的时间与不可抗力持续时间相同,合同的价格不因不可抗力的作用而改变。</w:t>
      </w:r>
    </w:p>
    <w:p>
      <w:pPr>
        <w:tabs>
          <w:tab w:val="left" w:pos="880"/>
        </w:tabs>
        <w:spacing w:line="360" w:lineRule="auto"/>
        <w:ind w:left="283" w:right="105" w:rightChars="50" w:firstLine="448"/>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10.7 不可抗力是指任何提出不可抗力事件的一方所不能合理控制其在该方没有过错或过失的情况下发生的任何事件、条件或情况，包括暴风雪、闪电、洪水、台风、火灾、飓风、地震、山崩、战争、封锁、恐怖主义事件、暴乱、动乱、破坏活动或其他类似的自然事件</w:t>
      </w:r>
      <w:r>
        <w:rPr>
          <w:rFonts w:hint="eastAsia" w:ascii="宋体" w:hAnsi="宋体" w:eastAsia="宋体" w:cs="宋体"/>
          <w:i/>
          <w:color w:val="auto"/>
          <w:sz w:val="20"/>
          <w:szCs w:val="20"/>
          <w:highlight w:val="none"/>
        </w:rPr>
        <w:t>。</w:t>
      </w:r>
      <w:r>
        <w:rPr>
          <w:rFonts w:hint="eastAsia" w:ascii="宋体" w:hAnsi="宋体" w:eastAsia="宋体" w:cs="宋体"/>
          <w:color w:val="auto"/>
          <w:sz w:val="20"/>
          <w:szCs w:val="20"/>
          <w:highlight w:val="none"/>
        </w:rPr>
        <w:t>且在该等事件发生后，尽管提出不可抗力的一方已采取合理的措施阻止其发生或将事件的负面影响降低到最小，但该等事件仍导致该方延迟或中断履行其在本合同下的义务。</w:t>
      </w:r>
    </w:p>
    <w:p>
      <w:pPr>
        <w:tabs>
          <w:tab w:val="left" w:pos="880"/>
        </w:tabs>
        <w:spacing w:line="360" w:lineRule="auto"/>
        <w:ind w:left="283" w:right="105" w:rightChars="50" w:firstLine="448"/>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10.8 不可抗力发生后，受影响方（甲方或乙方）应立即将不可抗力发生的情况通知另一方（乙方或甲方），并应在不可抗力事件发生后十四天内提供由当地权威部门出具的不可抗力事件证明。</w:t>
      </w:r>
    </w:p>
    <w:p>
      <w:pPr>
        <w:tabs>
          <w:tab w:val="left" w:pos="880"/>
        </w:tabs>
        <w:spacing w:line="360" w:lineRule="auto"/>
        <w:ind w:left="283" w:right="105" w:rightChars="50" w:firstLine="448"/>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10.9 如果不可抗力影响的时间超过连续</w:t>
      </w:r>
      <w:r>
        <w:rPr>
          <w:rFonts w:hint="eastAsia" w:cs="宋体"/>
          <w:color w:val="auto"/>
          <w:sz w:val="20"/>
          <w:szCs w:val="20"/>
          <w:highlight w:val="none"/>
          <w:lang w:val="en-US" w:eastAsia="zh-CN"/>
        </w:rPr>
        <w:t>90</w:t>
      </w:r>
      <w:r>
        <w:rPr>
          <w:rFonts w:hint="eastAsia" w:ascii="宋体" w:hAnsi="宋体" w:eastAsia="宋体" w:cs="宋体"/>
          <w:color w:val="auto"/>
          <w:sz w:val="20"/>
          <w:szCs w:val="20"/>
          <w:highlight w:val="none"/>
        </w:rPr>
        <w:t>天，几方将通过友好协商，就履行合同的问题重新达成协议。</w:t>
      </w:r>
    </w:p>
    <w:p>
      <w:pPr>
        <w:tabs>
          <w:tab w:val="left" w:pos="880"/>
        </w:tabs>
        <w:spacing w:line="360" w:lineRule="auto"/>
        <w:ind w:left="283" w:right="105" w:rightChars="50" w:firstLine="448"/>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10.10若乙方</w:t>
      </w:r>
      <w:r>
        <w:rPr>
          <w:rFonts w:hint="eastAsia" w:cs="宋体"/>
          <w:color w:val="auto"/>
          <w:sz w:val="20"/>
          <w:szCs w:val="20"/>
          <w:highlight w:val="none"/>
          <w:lang w:val="en-US" w:eastAsia="zh-CN"/>
        </w:rPr>
        <w:t>原因</w:t>
      </w:r>
      <w:r>
        <w:rPr>
          <w:rFonts w:hint="eastAsia" w:ascii="宋体" w:hAnsi="宋体" w:eastAsia="宋体" w:cs="宋体"/>
          <w:color w:val="auto"/>
          <w:sz w:val="20"/>
          <w:szCs w:val="20"/>
          <w:highlight w:val="none"/>
        </w:rPr>
        <w:t>出现质量问题时，甲方有权按我国《产品质量法》等法律法规要求乙方承担相应法律责任。</w:t>
      </w:r>
    </w:p>
    <w:p>
      <w:pPr>
        <w:tabs>
          <w:tab w:val="left" w:pos="880"/>
        </w:tabs>
        <w:spacing w:line="360" w:lineRule="auto"/>
        <w:ind w:left="283" w:right="105" w:rightChars="50" w:firstLine="448"/>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10.11 本合同未涉及的违约事宜均按照中华人民共和国合同法有关规定办理。</w:t>
      </w:r>
    </w:p>
    <w:p>
      <w:pPr>
        <w:pStyle w:val="8"/>
        <w:widowControl/>
        <w:tabs>
          <w:tab w:val="left" w:pos="880"/>
        </w:tabs>
        <w:spacing w:line="360" w:lineRule="auto"/>
        <w:ind w:left="283" w:right="105" w:rightChars="50" w:firstLine="448"/>
        <w:rPr>
          <w:rFonts w:hint="eastAsia" w:ascii="宋体" w:hAnsi="宋体" w:eastAsia="宋体" w:cs="宋体"/>
          <w:b/>
          <w:color w:val="auto"/>
          <w:kern w:val="0"/>
          <w:sz w:val="20"/>
          <w:szCs w:val="20"/>
          <w:highlight w:val="none"/>
        </w:rPr>
      </w:pPr>
      <w:r>
        <w:rPr>
          <w:rFonts w:hint="eastAsia" w:ascii="宋体" w:hAnsi="宋体" w:eastAsia="宋体" w:cs="宋体"/>
          <w:b/>
          <w:color w:val="auto"/>
          <w:kern w:val="0"/>
          <w:sz w:val="20"/>
          <w:szCs w:val="20"/>
          <w:highlight w:val="none"/>
        </w:rPr>
        <w:t>11、其它事项</w:t>
      </w:r>
    </w:p>
    <w:p>
      <w:pPr>
        <w:pStyle w:val="8"/>
        <w:widowControl/>
        <w:tabs>
          <w:tab w:val="left" w:pos="880"/>
        </w:tabs>
        <w:spacing w:line="360" w:lineRule="auto"/>
        <w:ind w:left="283" w:right="105" w:rightChars="50" w:firstLine="448"/>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11.1 本合同在履行中，如需对原条款做出修改、变更，甲、乙双方应另签合同补充协议，合同补充协议经双方签字盖章后生效。</w:t>
      </w:r>
    </w:p>
    <w:p>
      <w:pPr>
        <w:pStyle w:val="8"/>
        <w:widowControl/>
        <w:tabs>
          <w:tab w:val="left" w:pos="880"/>
        </w:tabs>
        <w:spacing w:line="360" w:lineRule="auto"/>
        <w:ind w:left="283" w:right="105" w:rightChars="50" w:firstLine="448"/>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11.2 电梯设备未经当地电扶梯质检单位验收合格，甲方不得擅自使用，否则一切后果由甲方自</w:t>
      </w:r>
      <w:r>
        <w:rPr>
          <w:rFonts w:hint="eastAsia" w:hAnsi="宋体" w:cs="宋体"/>
          <w:color w:val="auto"/>
          <w:kern w:val="0"/>
          <w:sz w:val="20"/>
          <w:szCs w:val="20"/>
          <w:highlight w:val="none"/>
          <w:lang w:val="en-US" w:eastAsia="zh-CN"/>
        </w:rPr>
        <w:t>负</w:t>
      </w:r>
      <w:r>
        <w:rPr>
          <w:rFonts w:hint="eastAsia" w:ascii="宋体" w:hAnsi="宋体" w:eastAsia="宋体" w:cs="宋体"/>
          <w:color w:val="auto"/>
          <w:kern w:val="0"/>
          <w:sz w:val="20"/>
          <w:szCs w:val="20"/>
          <w:highlight w:val="none"/>
        </w:rPr>
        <w:t>。</w:t>
      </w:r>
    </w:p>
    <w:p>
      <w:pPr>
        <w:pStyle w:val="8"/>
        <w:widowControl/>
        <w:tabs>
          <w:tab w:val="left" w:pos="880"/>
        </w:tabs>
        <w:spacing w:line="360" w:lineRule="auto"/>
        <w:ind w:left="283" w:right="105" w:rightChars="50" w:firstLine="448"/>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11.3 如发生合同纠纷，双方应协商解决，协商不成应向</w:t>
      </w:r>
      <w:r>
        <w:rPr>
          <w:rFonts w:hint="eastAsia" w:ascii="宋体" w:hAnsi="宋体" w:eastAsia="宋体" w:cs="宋体"/>
          <w:color w:val="auto"/>
          <w:kern w:val="0"/>
          <w:sz w:val="20"/>
          <w:szCs w:val="20"/>
          <w:highlight w:val="none"/>
          <w:u w:val="single"/>
        </w:rPr>
        <w:t>工程所在地人民法院</w:t>
      </w:r>
      <w:r>
        <w:rPr>
          <w:rFonts w:hint="eastAsia" w:ascii="宋体" w:hAnsi="宋体" w:eastAsia="宋体" w:cs="宋体"/>
          <w:color w:val="auto"/>
          <w:kern w:val="0"/>
          <w:sz w:val="20"/>
          <w:szCs w:val="20"/>
          <w:highlight w:val="none"/>
        </w:rPr>
        <w:t>起诉。</w:t>
      </w:r>
    </w:p>
    <w:p>
      <w:pPr>
        <w:pStyle w:val="8"/>
        <w:widowControl/>
        <w:tabs>
          <w:tab w:val="left" w:pos="880"/>
        </w:tabs>
        <w:spacing w:line="360" w:lineRule="auto"/>
        <w:ind w:left="283" w:right="105" w:rightChars="50" w:firstLine="448"/>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各类文书送达地址：</w:t>
      </w:r>
    </w:p>
    <w:p>
      <w:pPr>
        <w:pStyle w:val="8"/>
        <w:widowControl/>
        <w:tabs>
          <w:tab w:val="left" w:pos="880"/>
        </w:tabs>
        <w:spacing w:line="360" w:lineRule="auto"/>
        <w:ind w:left="283" w:right="105" w:rightChars="50" w:firstLine="448"/>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甲方送达地址：                         送达方式</w:t>
      </w:r>
    </w:p>
    <w:p>
      <w:pPr>
        <w:pStyle w:val="8"/>
        <w:widowControl/>
        <w:tabs>
          <w:tab w:val="left" w:pos="880"/>
        </w:tabs>
        <w:spacing w:line="360" w:lineRule="auto"/>
        <w:ind w:left="283" w:right="105" w:rightChars="50" w:firstLine="448"/>
        <w:rPr>
          <w:rFonts w:hint="eastAsia" w:ascii="宋体" w:hAnsi="宋体" w:eastAsia="宋体" w:cs="宋体"/>
          <w:color w:val="auto"/>
          <w:kern w:val="0"/>
          <w:sz w:val="20"/>
          <w:szCs w:val="20"/>
          <w:highlight w:val="none"/>
          <w:u w:val="single"/>
        </w:rPr>
      </w:pPr>
      <w:r>
        <w:rPr>
          <w:rFonts w:hint="eastAsia" w:ascii="宋体" w:hAnsi="宋体" w:eastAsia="宋体" w:cs="宋体"/>
          <w:color w:val="auto"/>
          <w:kern w:val="0"/>
          <w:sz w:val="20"/>
          <w:szCs w:val="20"/>
          <w:highlight w:val="none"/>
        </w:rPr>
        <w:t>乙方送达地址：送达方式：</w:t>
      </w:r>
    </w:p>
    <w:p>
      <w:pPr>
        <w:pStyle w:val="8"/>
        <w:widowControl/>
        <w:tabs>
          <w:tab w:val="left" w:pos="880"/>
        </w:tabs>
        <w:spacing w:line="360" w:lineRule="auto"/>
        <w:ind w:left="283" w:right="105" w:rightChars="50" w:firstLine="448"/>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该送达地址可用于接收各类诉讼文书。在合同履行过程中发生诉讼时，按约定地址送达的视为当事人已签收，受送达人拒收的，不影响送达的效力。甲乙双方任何一方若需变更送达地址，应在地址变更后3日内书面通知对方当事人；未按约定方式通知的，原约定送达地址仍为有效送达地址。</w:t>
      </w:r>
    </w:p>
    <w:p>
      <w:pPr>
        <w:pStyle w:val="8"/>
        <w:widowControl/>
        <w:tabs>
          <w:tab w:val="left" w:pos="880"/>
        </w:tabs>
        <w:spacing w:line="360" w:lineRule="auto"/>
        <w:ind w:left="283" w:right="105" w:rightChars="50" w:firstLine="448"/>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11.4 本合同自甲方、乙方签字盖章，并按合同约定提供了履约保函之日起生效。</w:t>
      </w:r>
    </w:p>
    <w:p>
      <w:pPr>
        <w:pStyle w:val="17"/>
        <w:widowControl/>
        <w:tabs>
          <w:tab w:val="left" w:pos="880"/>
        </w:tabs>
        <w:spacing w:line="360" w:lineRule="auto"/>
        <w:ind w:left="283" w:right="105" w:rightChars="50" w:firstLine="448" w:firstLineChars="0"/>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11.5 本合同一式拾份。正本伍份，甲方执叄份、乙方执贰份；副本伍份，甲方执肆份，乙方执壹份。均具同等法律效力。当副本和正本不一致时，以正本为准。</w:t>
      </w:r>
    </w:p>
    <w:p>
      <w:pPr>
        <w:pStyle w:val="8"/>
        <w:widowControl/>
        <w:tabs>
          <w:tab w:val="left" w:pos="880"/>
        </w:tabs>
        <w:spacing w:line="360" w:lineRule="auto"/>
        <w:ind w:left="283" w:right="105" w:rightChars="50" w:firstLine="448"/>
        <w:rPr>
          <w:rFonts w:hint="eastAsia" w:ascii="宋体" w:hAnsi="宋体" w:eastAsia="宋体" w:cs="宋体"/>
          <w:color w:val="auto"/>
          <w:kern w:val="0"/>
          <w:sz w:val="20"/>
          <w:szCs w:val="20"/>
          <w:highlight w:val="none"/>
        </w:rPr>
      </w:pPr>
    </w:p>
    <w:p>
      <w:pPr>
        <w:tabs>
          <w:tab w:val="left" w:pos="880"/>
        </w:tabs>
        <w:adjustRightInd w:val="0"/>
        <w:snapToGrid w:val="0"/>
        <w:spacing w:line="360" w:lineRule="auto"/>
        <w:ind w:left="283" w:right="105" w:rightChars="50" w:firstLine="448"/>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甲方（盖章）：                         乙方（盖章）：</w:t>
      </w:r>
    </w:p>
    <w:p>
      <w:pPr>
        <w:tabs>
          <w:tab w:val="left" w:pos="880"/>
        </w:tabs>
        <w:adjustRightInd w:val="0"/>
        <w:snapToGrid w:val="0"/>
        <w:spacing w:line="360" w:lineRule="auto"/>
        <w:ind w:left="283" w:right="105" w:rightChars="50" w:firstLine="448"/>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甲方法定代表人：                       乙方法定代表人：</w:t>
      </w:r>
    </w:p>
    <w:p>
      <w:pPr>
        <w:tabs>
          <w:tab w:val="left" w:pos="880"/>
        </w:tabs>
        <w:adjustRightInd w:val="0"/>
        <w:snapToGrid w:val="0"/>
        <w:spacing w:line="360" w:lineRule="auto"/>
        <w:ind w:left="283" w:right="105" w:rightChars="50" w:firstLine="448"/>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委托代理人（签字）：                   委托代理人（签字）：</w:t>
      </w:r>
    </w:p>
    <w:p>
      <w:pPr>
        <w:tabs>
          <w:tab w:val="left" w:pos="880"/>
        </w:tabs>
        <w:adjustRightInd w:val="0"/>
        <w:snapToGrid w:val="0"/>
        <w:spacing w:line="360" w:lineRule="auto"/>
        <w:ind w:left="283" w:right="105" w:rightChars="50" w:firstLine="448"/>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日期：</w:t>
      </w:r>
      <w:r>
        <w:rPr>
          <w:rFonts w:hint="eastAsia" w:ascii="宋体" w:hAnsi="宋体" w:eastAsia="宋体" w:cs="宋体"/>
          <w:color w:val="auto"/>
          <w:sz w:val="20"/>
          <w:szCs w:val="20"/>
          <w:highlight w:val="none"/>
          <w:lang w:val="en-US" w:eastAsia="zh-CN"/>
        </w:rPr>
        <w:t xml:space="preserve">      </w:t>
      </w:r>
      <w:r>
        <w:rPr>
          <w:rFonts w:hint="eastAsia" w:ascii="宋体" w:hAnsi="宋体" w:eastAsia="宋体" w:cs="宋体"/>
          <w:color w:val="auto"/>
          <w:sz w:val="20"/>
          <w:szCs w:val="20"/>
          <w:highlight w:val="none"/>
        </w:rPr>
        <w:t>年</w:t>
      </w:r>
      <w:r>
        <w:rPr>
          <w:rFonts w:hint="eastAsia" w:ascii="宋体" w:hAnsi="宋体" w:eastAsia="宋体" w:cs="宋体"/>
          <w:color w:val="auto"/>
          <w:sz w:val="20"/>
          <w:szCs w:val="20"/>
          <w:highlight w:val="none"/>
          <w:lang w:val="en-US" w:eastAsia="zh-CN"/>
        </w:rPr>
        <w:t xml:space="preserve">     </w:t>
      </w:r>
      <w:r>
        <w:rPr>
          <w:rFonts w:hint="eastAsia" w:ascii="宋体" w:hAnsi="宋体" w:eastAsia="宋体" w:cs="宋体"/>
          <w:color w:val="auto"/>
          <w:sz w:val="20"/>
          <w:szCs w:val="20"/>
          <w:highlight w:val="none"/>
        </w:rPr>
        <w:t>月</w:t>
      </w:r>
      <w:r>
        <w:rPr>
          <w:rFonts w:hint="eastAsia" w:ascii="宋体" w:hAnsi="宋体" w:eastAsia="宋体" w:cs="宋体"/>
          <w:color w:val="auto"/>
          <w:sz w:val="20"/>
          <w:szCs w:val="20"/>
          <w:highlight w:val="none"/>
          <w:lang w:val="en-US" w:eastAsia="zh-CN"/>
        </w:rPr>
        <w:t xml:space="preserve">     </w:t>
      </w:r>
      <w:r>
        <w:rPr>
          <w:rFonts w:hint="eastAsia" w:ascii="宋体" w:hAnsi="宋体" w:eastAsia="宋体" w:cs="宋体"/>
          <w:color w:val="auto"/>
          <w:sz w:val="20"/>
          <w:szCs w:val="20"/>
          <w:highlight w:val="none"/>
        </w:rPr>
        <w:t>日           日期：</w:t>
      </w:r>
      <w:r>
        <w:rPr>
          <w:rFonts w:hint="eastAsia" w:ascii="宋体" w:hAnsi="宋体" w:eastAsia="宋体" w:cs="宋体"/>
          <w:color w:val="auto"/>
          <w:sz w:val="20"/>
          <w:szCs w:val="20"/>
          <w:highlight w:val="none"/>
          <w:lang w:val="en-US" w:eastAsia="zh-CN"/>
        </w:rPr>
        <w:t xml:space="preserve">     </w:t>
      </w:r>
      <w:r>
        <w:rPr>
          <w:rFonts w:hint="eastAsia" w:ascii="宋体" w:hAnsi="宋体" w:eastAsia="宋体" w:cs="宋体"/>
          <w:color w:val="auto"/>
          <w:sz w:val="20"/>
          <w:szCs w:val="20"/>
          <w:highlight w:val="none"/>
        </w:rPr>
        <w:t>年</w:t>
      </w:r>
      <w:r>
        <w:rPr>
          <w:rFonts w:hint="eastAsia" w:ascii="宋体" w:hAnsi="宋体" w:eastAsia="宋体" w:cs="宋体"/>
          <w:color w:val="auto"/>
          <w:sz w:val="20"/>
          <w:szCs w:val="20"/>
          <w:highlight w:val="none"/>
          <w:lang w:val="en-US" w:eastAsia="zh-CN"/>
        </w:rPr>
        <w:t xml:space="preserve">    </w:t>
      </w:r>
      <w:r>
        <w:rPr>
          <w:rFonts w:hint="eastAsia" w:ascii="宋体" w:hAnsi="宋体" w:eastAsia="宋体" w:cs="宋体"/>
          <w:color w:val="auto"/>
          <w:sz w:val="20"/>
          <w:szCs w:val="20"/>
          <w:highlight w:val="none"/>
        </w:rPr>
        <w:t>月</w:t>
      </w:r>
      <w:r>
        <w:rPr>
          <w:rFonts w:hint="eastAsia" w:ascii="宋体" w:hAnsi="宋体" w:eastAsia="宋体" w:cs="宋体"/>
          <w:color w:val="auto"/>
          <w:sz w:val="20"/>
          <w:szCs w:val="20"/>
          <w:highlight w:val="none"/>
          <w:lang w:val="en-US" w:eastAsia="zh-CN"/>
        </w:rPr>
        <w:t xml:space="preserve">     </w:t>
      </w:r>
      <w:r>
        <w:rPr>
          <w:rFonts w:hint="eastAsia" w:ascii="宋体" w:hAnsi="宋体" w:eastAsia="宋体" w:cs="宋体"/>
          <w:color w:val="auto"/>
          <w:sz w:val="20"/>
          <w:szCs w:val="20"/>
          <w:highlight w:val="none"/>
        </w:rPr>
        <w:t>日</w:t>
      </w:r>
    </w:p>
    <w:p>
      <w:pPr>
        <w:pStyle w:val="4"/>
        <w:widowControl/>
        <w:tabs>
          <w:tab w:val="left" w:pos="880"/>
        </w:tabs>
        <w:spacing w:line="360" w:lineRule="auto"/>
        <w:ind w:left="105" w:leftChars="50" w:right="105" w:rightChars="50" w:firstLine="447"/>
        <w:rPr>
          <w:rFonts w:hint="eastAsia" w:ascii="宋体" w:hAnsi="宋体" w:eastAsia="宋体" w:cs="宋体"/>
          <w:b w:val="0"/>
          <w:bCs w:val="0"/>
          <w:color w:val="auto"/>
          <w:sz w:val="24"/>
          <w:szCs w:val="24"/>
          <w:highlight w:val="none"/>
        </w:rPr>
      </w:pPr>
      <w:r>
        <w:rPr>
          <w:rFonts w:hint="eastAsia" w:ascii="宋体" w:hAnsi="宋体" w:eastAsia="宋体" w:cs="宋体"/>
          <w:snapToGrid w:val="0"/>
          <w:color w:val="auto"/>
          <w:sz w:val="20"/>
          <w:szCs w:val="20"/>
          <w:highlight w:val="none"/>
        </w:rPr>
        <w:br w:type="page"/>
      </w:r>
    </w:p>
    <w:p>
      <w:pPr>
        <w:tabs>
          <w:tab w:val="left" w:pos="880"/>
          <w:tab w:val="left" w:pos="1060"/>
          <w:tab w:val="left" w:pos="2310"/>
          <w:tab w:val="left" w:pos="3675"/>
          <w:tab w:val="left" w:pos="5685"/>
          <w:tab w:val="left" w:pos="6405"/>
          <w:tab w:val="left" w:pos="7140"/>
        </w:tabs>
        <w:adjustRightInd w:val="0"/>
        <w:snapToGrid w:val="0"/>
        <w:spacing w:line="360" w:lineRule="auto"/>
        <w:ind w:left="105" w:leftChars="50" w:right="105" w:rightChars="50" w:firstLine="447"/>
        <w:jc w:val="center"/>
        <w:rPr>
          <w:rFonts w:hint="eastAsia" w:ascii="宋体" w:hAnsi="宋体" w:eastAsia="宋体" w:cs="宋体"/>
          <w:b/>
          <w:color w:val="auto"/>
          <w:sz w:val="24"/>
          <w:szCs w:val="24"/>
          <w:highlight w:val="none"/>
        </w:rPr>
      </w:pPr>
      <w:r>
        <w:rPr>
          <w:rFonts w:hint="eastAsia" w:cs="宋体"/>
          <w:b/>
          <w:color w:val="auto"/>
          <w:sz w:val="24"/>
          <w:szCs w:val="24"/>
          <w:highlight w:val="none"/>
          <w:lang w:val="en-US" w:eastAsia="zh-CN"/>
        </w:rPr>
        <w:t>陈庹路公交站场</w:t>
      </w:r>
      <w:r>
        <w:rPr>
          <w:rFonts w:hint="eastAsia" w:ascii="宋体" w:hAnsi="宋体" w:eastAsia="宋体" w:cs="宋体"/>
          <w:b/>
          <w:color w:val="auto"/>
          <w:sz w:val="24"/>
          <w:szCs w:val="24"/>
          <w:highlight w:val="none"/>
        </w:rPr>
        <w:t>电梯设备安装协议</w:t>
      </w:r>
    </w:p>
    <w:p>
      <w:pPr>
        <w:tabs>
          <w:tab w:val="left" w:pos="880"/>
          <w:tab w:val="left" w:pos="2430"/>
          <w:tab w:val="left" w:pos="3240"/>
        </w:tabs>
        <w:topLinePunct/>
        <w:adjustRightInd w:val="0"/>
        <w:spacing w:line="360" w:lineRule="auto"/>
        <w:ind w:left="105" w:leftChars="50" w:right="105" w:rightChars="50" w:firstLine="447"/>
        <w:rPr>
          <w:rFonts w:hint="eastAsia" w:ascii="宋体" w:hAnsi="宋体" w:eastAsia="宋体" w:cs="宋体"/>
          <w:color w:val="auto"/>
          <w:sz w:val="20"/>
          <w:szCs w:val="20"/>
          <w:highlight w:val="none"/>
          <w:u w:val="single"/>
        </w:rPr>
      </w:pPr>
      <w:r>
        <w:rPr>
          <w:rFonts w:hint="eastAsia" w:ascii="宋体" w:hAnsi="宋体" w:eastAsia="宋体" w:cs="宋体"/>
          <w:color w:val="auto"/>
          <w:sz w:val="20"/>
          <w:szCs w:val="20"/>
          <w:highlight w:val="none"/>
        </w:rPr>
        <w:t>买方：</w:t>
      </w:r>
      <w:r>
        <w:rPr>
          <w:rFonts w:hint="eastAsia" w:ascii="宋体" w:hAnsi="宋体" w:eastAsia="宋体" w:cs="宋体"/>
          <w:color w:val="auto"/>
          <w:sz w:val="20"/>
          <w:szCs w:val="20"/>
          <w:highlight w:val="none"/>
          <w:u w:val="single"/>
        </w:rPr>
        <w:t>（以下简称甲方）</w:t>
      </w:r>
    </w:p>
    <w:p>
      <w:pPr>
        <w:tabs>
          <w:tab w:val="left" w:pos="880"/>
        </w:tabs>
        <w:topLinePunct/>
        <w:adjustRightInd w:val="0"/>
        <w:spacing w:line="360" w:lineRule="auto"/>
        <w:ind w:left="105" w:leftChars="50" w:right="105" w:rightChars="50" w:firstLine="447"/>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卖方：</w:t>
      </w:r>
      <w:r>
        <w:rPr>
          <w:rFonts w:hint="eastAsia" w:ascii="宋体" w:hAnsi="宋体" w:eastAsia="宋体" w:cs="宋体"/>
          <w:color w:val="auto"/>
          <w:sz w:val="20"/>
          <w:szCs w:val="20"/>
          <w:highlight w:val="none"/>
          <w:u w:val="single"/>
        </w:rPr>
        <w:t>（以下简称乙方）</w:t>
      </w:r>
    </w:p>
    <w:p>
      <w:pPr>
        <w:pStyle w:val="8"/>
        <w:widowControl/>
        <w:tabs>
          <w:tab w:val="left" w:pos="880"/>
        </w:tabs>
        <w:spacing w:line="360" w:lineRule="auto"/>
        <w:ind w:left="105" w:leftChars="50" w:right="105" w:rightChars="50" w:firstLine="447"/>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1、安装内容：乙方负责安装调试及负责代甲方办理电梯验收直至交付甲方使用的一切手续，具体详见《</w:t>
      </w:r>
      <w:r>
        <w:rPr>
          <w:rFonts w:hint="eastAsia" w:hAnsi="宋体" w:cs="宋体"/>
          <w:color w:val="auto"/>
          <w:kern w:val="0"/>
          <w:sz w:val="20"/>
          <w:szCs w:val="20"/>
          <w:highlight w:val="none"/>
          <w:lang w:val="en-US" w:eastAsia="zh-CN"/>
        </w:rPr>
        <w:t>陈庹路公交站场</w:t>
      </w:r>
      <w:r>
        <w:rPr>
          <w:rFonts w:hint="eastAsia" w:ascii="宋体" w:hAnsi="宋体" w:eastAsia="宋体" w:cs="宋体"/>
          <w:color w:val="auto"/>
          <w:kern w:val="0"/>
          <w:sz w:val="20"/>
          <w:szCs w:val="20"/>
          <w:highlight w:val="none"/>
        </w:rPr>
        <w:t>电梯设备采购及安装工程合同协议书》。</w:t>
      </w:r>
    </w:p>
    <w:p>
      <w:pPr>
        <w:pStyle w:val="8"/>
        <w:widowControl/>
        <w:tabs>
          <w:tab w:val="left" w:pos="880"/>
        </w:tabs>
        <w:spacing w:line="360" w:lineRule="auto"/>
        <w:ind w:left="105" w:leftChars="50" w:right="105" w:rightChars="50" w:firstLine="447"/>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2、安装合同金额:详见《</w:t>
      </w:r>
      <w:r>
        <w:rPr>
          <w:rFonts w:hint="eastAsia" w:hAnsi="宋体" w:cs="宋体"/>
          <w:color w:val="auto"/>
          <w:kern w:val="0"/>
          <w:sz w:val="20"/>
          <w:szCs w:val="20"/>
          <w:highlight w:val="none"/>
          <w:lang w:val="en-US" w:eastAsia="zh-CN"/>
        </w:rPr>
        <w:t>陈庹路公交站场</w:t>
      </w:r>
      <w:r>
        <w:rPr>
          <w:rFonts w:hint="eastAsia" w:ascii="宋体" w:hAnsi="宋体" w:eastAsia="宋体" w:cs="宋体"/>
          <w:color w:val="auto"/>
          <w:kern w:val="0"/>
          <w:sz w:val="20"/>
          <w:szCs w:val="20"/>
          <w:highlight w:val="none"/>
        </w:rPr>
        <w:t>电梯设备采购及安装工程合同协议书》附件《合同暂定总价明细表》。</w:t>
      </w:r>
    </w:p>
    <w:p>
      <w:pPr>
        <w:tabs>
          <w:tab w:val="left" w:pos="880"/>
        </w:tabs>
        <w:spacing w:line="360" w:lineRule="auto"/>
        <w:ind w:left="105" w:leftChars="50" w:right="105" w:rightChars="50" w:firstLine="447"/>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3、电梯设备安装工程付款方式为：</w:t>
      </w:r>
    </w:p>
    <w:p>
      <w:pPr>
        <w:tabs>
          <w:tab w:val="left" w:pos="880"/>
        </w:tabs>
        <w:spacing w:line="360" w:lineRule="auto"/>
        <w:ind w:left="105" w:leftChars="50" w:right="105" w:rightChars="50" w:firstLine="447"/>
        <w:rPr>
          <w:rFonts w:hint="eastAsia" w:ascii="宋体" w:hAnsi="宋体" w:eastAsia="宋体" w:cs="宋体"/>
          <w:color w:val="auto"/>
          <w:sz w:val="20"/>
          <w:szCs w:val="20"/>
          <w:highlight w:val="none"/>
          <w:lang w:val="en-US"/>
        </w:rPr>
      </w:pPr>
      <w:r>
        <w:rPr>
          <w:rFonts w:hint="eastAsia" w:ascii="宋体" w:hAnsi="宋体" w:eastAsia="宋体" w:cs="宋体"/>
          <w:color w:val="auto"/>
          <w:sz w:val="20"/>
          <w:szCs w:val="20"/>
          <w:highlight w:val="none"/>
          <w:lang w:val="en-US" w:bidi="ar-SA"/>
        </w:rPr>
        <w:t>安装进场后15个工作日内支付</w:t>
      </w:r>
      <w:r>
        <w:rPr>
          <w:rFonts w:hint="eastAsia" w:ascii="宋体" w:hAnsi="宋体" w:eastAsia="宋体" w:cs="宋体"/>
          <w:color w:val="auto"/>
          <w:sz w:val="20"/>
          <w:szCs w:val="20"/>
          <w:highlight w:val="none"/>
        </w:rPr>
        <w:t>本批次安装设备的安装费的50%；本批次设备安装调试完毕，并经重庆市法定检验机构验收合格并取得电梯设备运行许可证后15个工作日支付至本批次安装设备的安装费的80%；待该项目综合验收并办理完结算后15个工作日支付至本批次安装设备的安装费结算总价的97%，留3%的质量保证金，电梯、扶梯免费保修期从设备取得运行许可证并移交运营签字接管使用，并试运行3个月后进入保修期，保修期为24个月（以中标人响应的保修期为准），在保修期内，制造商须按TSGT5002-2017的要求免费进行维修保养。满12个月后支付质保金总额的40%，保修期满，无质量问题，15个工作日支付余款（质保金不计利息）。</w:t>
      </w:r>
    </w:p>
    <w:p>
      <w:pPr>
        <w:tabs>
          <w:tab w:val="left" w:pos="880"/>
          <w:tab w:val="left" w:pos="5674"/>
        </w:tabs>
        <w:spacing w:line="360" w:lineRule="auto"/>
        <w:ind w:left="105" w:leftChars="50" w:right="105" w:rightChars="50" w:firstLine="447"/>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所有的进度款支付，均由乙方提交期中计量支付申请，甲方审批后在合同约定的日期内支付，每次付款前乙方须向甲方提供本次应收款项的正规合格增值税发票，经甲方、监理人签字确认后支付。若乙方未能按要求提供发票，则甲方有权拒绝付款。</w:t>
      </w:r>
    </w:p>
    <w:p>
      <w:pPr>
        <w:pStyle w:val="8"/>
        <w:widowControl/>
        <w:tabs>
          <w:tab w:val="left" w:pos="880"/>
        </w:tabs>
        <w:spacing w:line="360" w:lineRule="auto"/>
        <w:ind w:left="105" w:leftChars="50" w:right="105" w:rightChars="50" w:firstLine="447"/>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4、土建要求</w:t>
      </w:r>
    </w:p>
    <w:p>
      <w:pPr>
        <w:pStyle w:val="8"/>
        <w:widowControl/>
        <w:tabs>
          <w:tab w:val="left" w:pos="880"/>
        </w:tabs>
        <w:spacing w:line="360" w:lineRule="auto"/>
        <w:ind w:left="105" w:leftChars="50" w:right="105" w:rightChars="50" w:firstLine="447"/>
        <w:rPr>
          <w:rFonts w:hint="eastAsia" w:ascii="宋体" w:hAnsi="宋体" w:eastAsia="宋体" w:cs="宋体"/>
          <w:color w:val="auto"/>
          <w:kern w:val="0"/>
          <w:sz w:val="20"/>
          <w:szCs w:val="20"/>
          <w:highlight w:val="none"/>
        </w:rPr>
      </w:pPr>
      <w:r>
        <w:rPr>
          <w:rFonts w:hint="eastAsia" w:hAnsi="宋体" w:cs="宋体"/>
          <w:color w:val="auto"/>
          <w:kern w:val="0"/>
          <w:sz w:val="20"/>
          <w:szCs w:val="20"/>
          <w:highlight w:val="none"/>
        </w:rPr>
        <w:t>乙方应根据甲方提供的施工图来确定电梯总体布置图，若有偏差，乙方应根据双方确认的电梯总体布置图的标准进行修改。</w:t>
      </w:r>
    </w:p>
    <w:p>
      <w:pPr>
        <w:pStyle w:val="8"/>
        <w:widowControl/>
        <w:tabs>
          <w:tab w:val="left" w:pos="880"/>
        </w:tabs>
        <w:spacing w:line="360" w:lineRule="auto"/>
        <w:ind w:left="105" w:leftChars="50" w:right="105" w:rightChars="50" w:firstLine="447"/>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5、安装前的准备工作</w:t>
      </w:r>
    </w:p>
    <w:p>
      <w:pPr>
        <w:pStyle w:val="8"/>
        <w:widowControl/>
        <w:tabs>
          <w:tab w:val="left" w:pos="880"/>
        </w:tabs>
        <w:spacing w:line="360" w:lineRule="auto"/>
        <w:ind w:left="105" w:leftChars="50" w:right="105" w:rightChars="50" w:firstLine="447"/>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设备进场并经验收后，甲方应通知乙方开始安装的确切日期，甲方应配合乙方查验与电梯有关的土建设施的实际状况。</w:t>
      </w:r>
    </w:p>
    <w:p>
      <w:pPr>
        <w:pStyle w:val="8"/>
        <w:widowControl/>
        <w:tabs>
          <w:tab w:val="left" w:pos="880"/>
        </w:tabs>
        <w:spacing w:line="360" w:lineRule="auto"/>
        <w:ind w:left="105" w:leftChars="50" w:right="105" w:rightChars="50" w:firstLine="447"/>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6、安装交货期：详见合同协议书。</w:t>
      </w:r>
    </w:p>
    <w:p>
      <w:pPr>
        <w:spacing w:line="360" w:lineRule="auto"/>
        <w:ind w:left="105" w:leftChars="50" w:right="105" w:rightChars="50"/>
        <w:rPr>
          <w:rFonts w:hint="eastAsia" w:ascii="宋体" w:hAnsi="宋体" w:eastAsia="宋体" w:cs="宋体"/>
          <w:color w:val="auto"/>
          <w:sz w:val="28"/>
          <w:szCs w:val="28"/>
          <w:highlight w:val="none"/>
          <w:lang w:val="en-US" w:bidi="ar-SA"/>
        </w:rPr>
      </w:pPr>
      <w:r>
        <w:rPr>
          <w:rFonts w:hint="eastAsia" w:ascii="宋体" w:hAnsi="宋体" w:eastAsia="宋体" w:cs="宋体"/>
          <w:b/>
          <w:color w:val="auto"/>
          <w:sz w:val="20"/>
          <w:szCs w:val="20"/>
          <w:highlight w:val="none"/>
        </w:rPr>
        <w:t>7、甲方责任</w:t>
      </w:r>
    </w:p>
    <w:p>
      <w:pPr>
        <w:pStyle w:val="8"/>
        <w:widowControl/>
        <w:tabs>
          <w:tab w:val="left" w:pos="880"/>
        </w:tabs>
        <w:spacing w:line="360" w:lineRule="auto"/>
        <w:ind w:left="0" w:leftChars="0" w:right="105" w:rightChars="50" w:firstLine="0"/>
        <w:rPr>
          <w:rFonts w:hint="eastAsia" w:ascii="宋体" w:hAnsi="宋体" w:eastAsia="宋体" w:cs="宋体"/>
          <w:b/>
          <w:color w:val="auto"/>
          <w:kern w:val="0"/>
          <w:sz w:val="20"/>
          <w:szCs w:val="20"/>
          <w:highlight w:val="none"/>
        </w:rPr>
      </w:pPr>
    </w:p>
    <w:p>
      <w:pPr>
        <w:pStyle w:val="8"/>
        <w:widowControl/>
        <w:tabs>
          <w:tab w:val="left" w:pos="880"/>
        </w:tabs>
        <w:spacing w:line="360" w:lineRule="auto"/>
        <w:ind w:left="105" w:leftChars="50" w:right="105" w:rightChars="50" w:firstLine="447"/>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电扶梯安装前甲方必须完成以下工作：</w:t>
      </w:r>
    </w:p>
    <w:p>
      <w:pPr>
        <w:pStyle w:val="8"/>
        <w:widowControl/>
        <w:tabs>
          <w:tab w:val="left" w:pos="880"/>
        </w:tabs>
        <w:spacing w:line="360" w:lineRule="auto"/>
        <w:ind w:left="105" w:leftChars="50" w:right="105" w:rightChars="50" w:firstLine="447"/>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7.1督促相关单位保证坑底无积水，并作好防水及排水工作。</w:t>
      </w:r>
    </w:p>
    <w:p>
      <w:pPr>
        <w:pStyle w:val="8"/>
        <w:widowControl/>
        <w:tabs>
          <w:tab w:val="left" w:pos="880"/>
        </w:tabs>
        <w:spacing w:line="360" w:lineRule="auto"/>
        <w:ind w:left="105" w:leftChars="50" w:right="105" w:rightChars="50" w:firstLine="447"/>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7.2电梯设备到达安装工地后，在电梯安装工作开始前，甲方督促相关单位提供空间，以便于电梯设备、零部件及安装工具可靠安全地存放。</w:t>
      </w:r>
    </w:p>
    <w:p>
      <w:pPr>
        <w:pStyle w:val="8"/>
        <w:widowControl/>
        <w:tabs>
          <w:tab w:val="left" w:pos="880"/>
        </w:tabs>
        <w:spacing w:line="360" w:lineRule="auto"/>
        <w:ind w:left="105" w:leftChars="50" w:right="105" w:rightChars="50" w:firstLine="447"/>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7.3协助电梯安装单位与其它施工单位交叉作业及相关事宜的协调工作。</w:t>
      </w:r>
    </w:p>
    <w:p>
      <w:pPr>
        <w:pStyle w:val="8"/>
        <w:widowControl/>
        <w:tabs>
          <w:tab w:val="left" w:pos="880"/>
        </w:tabs>
        <w:spacing w:line="360" w:lineRule="auto"/>
        <w:ind w:left="105" w:leftChars="50" w:right="105" w:rightChars="50" w:firstLine="447"/>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7.4确认乙方设备的方案设计、硬件、软件设计。</w:t>
      </w:r>
    </w:p>
    <w:p>
      <w:pPr>
        <w:pStyle w:val="8"/>
        <w:widowControl/>
        <w:tabs>
          <w:tab w:val="left" w:pos="880"/>
        </w:tabs>
        <w:spacing w:line="360" w:lineRule="auto"/>
        <w:ind w:left="105" w:leftChars="50" w:right="105" w:rightChars="50" w:firstLine="447"/>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7.5确认乙方提供的功能设计说明书、各类试验手册是否满足要求，并提出修改意见。</w:t>
      </w:r>
    </w:p>
    <w:p>
      <w:pPr>
        <w:pStyle w:val="8"/>
        <w:widowControl/>
        <w:tabs>
          <w:tab w:val="left" w:pos="880"/>
        </w:tabs>
        <w:spacing w:line="360" w:lineRule="auto"/>
        <w:ind w:left="105" w:leftChars="50" w:right="105" w:rightChars="50" w:firstLine="447"/>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7.6向乙方提供与其它相关系统的接口条件。</w:t>
      </w:r>
    </w:p>
    <w:p>
      <w:pPr>
        <w:pStyle w:val="8"/>
        <w:widowControl/>
        <w:tabs>
          <w:tab w:val="left" w:pos="880"/>
        </w:tabs>
        <w:spacing w:line="360" w:lineRule="auto"/>
        <w:ind w:left="105" w:leftChars="50" w:right="105" w:rightChars="50" w:firstLine="447"/>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7.7有权到厂参加各项试验项目。</w:t>
      </w:r>
    </w:p>
    <w:p>
      <w:pPr>
        <w:pStyle w:val="8"/>
        <w:widowControl/>
        <w:tabs>
          <w:tab w:val="left" w:pos="880"/>
        </w:tabs>
        <w:spacing w:line="360" w:lineRule="auto"/>
        <w:ind w:left="105" w:leftChars="50" w:right="105" w:rightChars="50" w:firstLine="447"/>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7.8有权对乙方生产所使用的图纸和工艺文件等进行审查或抽查。</w:t>
      </w:r>
    </w:p>
    <w:p>
      <w:pPr>
        <w:pStyle w:val="8"/>
        <w:widowControl/>
        <w:tabs>
          <w:tab w:val="left" w:pos="880"/>
        </w:tabs>
        <w:spacing w:line="360" w:lineRule="auto"/>
        <w:ind w:left="105" w:leftChars="50" w:right="105" w:rightChars="50" w:firstLine="447"/>
        <w:rPr>
          <w:rFonts w:hint="eastAsia" w:ascii="宋体" w:hAnsi="宋体" w:eastAsia="宋体" w:cs="宋体"/>
          <w:b/>
          <w:color w:val="auto"/>
          <w:kern w:val="0"/>
          <w:sz w:val="20"/>
          <w:szCs w:val="20"/>
          <w:highlight w:val="none"/>
        </w:rPr>
      </w:pPr>
      <w:r>
        <w:rPr>
          <w:rFonts w:hint="eastAsia" w:ascii="宋体" w:hAnsi="宋体" w:eastAsia="宋体" w:cs="宋体"/>
          <w:b/>
          <w:color w:val="auto"/>
          <w:kern w:val="0"/>
          <w:sz w:val="20"/>
          <w:szCs w:val="20"/>
          <w:highlight w:val="none"/>
        </w:rPr>
        <w:t>8、乙方责任</w:t>
      </w:r>
    </w:p>
    <w:p>
      <w:pPr>
        <w:pStyle w:val="8"/>
        <w:widowControl/>
        <w:tabs>
          <w:tab w:val="left" w:pos="880"/>
        </w:tabs>
        <w:spacing w:line="360" w:lineRule="auto"/>
        <w:ind w:left="105" w:leftChars="50" w:right="105" w:rightChars="50" w:firstLine="447"/>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8.1乙方应在协议签定后对甲方已有井道土建情况进行勘察确认，对不符合乙方施工图电梯井道尺寸要求的电梯井道、电梯厅门</w:t>
      </w:r>
      <w:r>
        <w:rPr>
          <w:rFonts w:hAnsi="宋体" w:cs="宋体"/>
          <w:color w:val="auto"/>
          <w:kern w:val="0"/>
          <w:sz w:val="20"/>
          <w:szCs w:val="20"/>
          <w:highlight w:val="none"/>
        </w:rPr>
        <w:t>洞自行</w:t>
      </w:r>
      <w:r>
        <w:rPr>
          <w:rFonts w:hint="eastAsia" w:ascii="宋体" w:hAnsi="宋体" w:eastAsia="宋体" w:cs="宋体"/>
          <w:color w:val="auto"/>
          <w:kern w:val="0"/>
          <w:sz w:val="20"/>
          <w:szCs w:val="20"/>
          <w:highlight w:val="none"/>
        </w:rPr>
        <w:t>进行必要的切割、整形剃打，并自行清理底坑垃圾，费用已含在单台设备单价报价中。</w:t>
      </w:r>
    </w:p>
    <w:p>
      <w:pPr>
        <w:pStyle w:val="8"/>
        <w:widowControl/>
        <w:tabs>
          <w:tab w:val="left" w:pos="880"/>
        </w:tabs>
        <w:spacing w:line="360" w:lineRule="auto"/>
        <w:ind w:left="105" w:leftChars="50" w:right="105" w:rightChars="50" w:firstLine="447"/>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8.2电梯设备货到现场，乙方对甲方井道土建进行勘察，对不具备进场条件的自行整改完善后立即进场安装。乙方安装时若外呼面板及指示板底盒（每层每站）、外呼盒电缆孔洞（每层每站）未预留，则由乙方自行负责开凿，费用已含在单台设备单价报价中。</w:t>
      </w:r>
    </w:p>
    <w:p>
      <w:pPr>
        <w:pStyle w:val="8"/>
        <w:widowControl/>
        <w:tabs>
          <w:tab w:val="left" w:pos="880"/>
        </w:tabs>
        <w:spacing w:line="360" w:lineRule="auto"/>
        <w:ind w:left="105" w:leftChars="50" w:right="105" w:rightChars="50" w:firstLine="447"/>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8.3电梯安装过程中的各类电扶梯部件由乙方负责保管，如有遗失或损坏，由乙方自行负责；同时安装过程中，乙方对负责自己施工范围内的成品保护，施工过程中可能出现的成品破坏（如井道、基坑进水等），乙方应及时发现，并找到肇事单位和人员，并向甲方和监理单位如实报告，如施工过程中出现成品破坏，而乙方未及时发现、报告，无法确定破坏责任人，则修复相关成品破坏的费用由乙方自行承担。</w:t>
      </w:r>
    </w:p>
    <w:p>
      <w:pPr>
        <w:pStyle w:val="8"/>
        <w:widowControl/>
        <w:tabs>
          <w:tab w:val="left" w:pos="880"/>
        </w:tabs>
        <w:spacing w:line="360" w:lineRule="auto"/>
        <w:ind w:left="105" w:leftChars="50" w:right="105" w:rightChars="50" w:firstLine="447"/>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8.4现场施工期内，乙方派驻符合要求项目经理和技术负责人, 不得随意更换, 否则乙方需向甲方支付违约金10万元。在施工过程中，项目经理发生变更的，应当重新通知甲方备案。乙方的项目经理以及主要技术负责人等，必须常驻工地，不得兼职。每周工作时间不得低于5天, 负责施工的主要管理成员如因故不能在岗,离开工地须提前1天向甲方和监理请假,经过批准后才能离开。如甲方发现项目经理无故不能在现场处以5000元/次罚款;对于不满足甲方要求的项目经理,甲方有权要求更换,乙方在收到甲方更换要求通知后,7天内予以更换; 积极准时参加工地相关管理会议;乙方安装人员应遵守总承包单位现场管理制度，遵守安全操作规程。</w:t>
      </w:r>
    </w:p>
    <w:p>
      <w:pPr>
        <w:pStyle w:val="8"/>
        <w:widowControl/>
        <w:tabs>
          <w:tab w:val="left" w:pos="880"/>
        </w:tabs>
        <w:spacing w:line="360" w:lineRule="auto"/>
        <w:ind w:left="105" w:leftChars="50" w:right="105" w:rightChars="50" w:firstLine="447"/>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8.5项目经理全面负责施工过程中的现场管理，并根据工程规模、技术复杂程度和施工现场的具体情况，建立施工现场管理责任制，并组织实施。</w:t>
      </w:r>
    </w:p>
    <w:p>
      <w:pPr>
        <w:pStyle w:val="8"/>
        <w:widowControl/>
        <w:tabs>
          <w:tab w:val="left" w:pos="880"/>
        </w:tabs>
        <w:spacing w:line="360" w:lineRule="auto"/>
        <w:ind w:left="105" w:leftChars="50" w:right="105" w:rightChars="50" w:firstLine="447"/>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8.6负责施工现场的统一管理，监督施工现场活动，服从甲方与监理的统一协调。</w:t>
      </w:r>
    </w:p>
    <w:p>
      <w:pPr>
        <w:pStyle w:val="8"/>
        <w:widowControl/>
        <w:tabs>
          <w:tab w:val="left" w:pos="880"/>
        </w:tabs>
        <w:spacing w:line="360" w:lineRule="auto"/>
        <w:ind w:left="105" w:leftChars="50" w:right="105" w:rightChars="50" w:firstLine="447"/>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8.7工程施工必须按照批准的施工组织设计进行。在施工过程中确需对施工组织设计进行重大修改的，必须报经甲方批准。</w:t>
      </w:r>
    </w:p>
    <w:p>
      <w:pPr>
        <w:pStyle w:val="8"/>
        <w:widowControl/>
        <w:tabs>
          <w:tab w:val="left" w:pos="880"/>
        </w:tabs>
        <w:spacing w:line="360" w:lineRule="auto"/>
        <w:ind w:left="105" w:leftChars="50" w:right="105" w:rightChars="50" w:firstLine="447"/>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8.8工程施工应当在批准的施工场地内组织进行。需要临时征用施工场地或者临时占用道路的，应当依法办理有关批准手续。</w:t>
      </w:r>
    </w:p>
    <w:p>
      <w:pPr>
        <w:pStyle w:val="8"/>
        <w:widowControl/>
        <w:tabs>
          <w:tab w:val="left" w:pos="880"/>
        </w:tabs>
        <w:spacing w:line="360" w:lineRule="auto"/>
        <w:ind w:left="105" w:leftChars="50" w:right="105" w:rightChars="50" w:firstLine="447"/>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8.9必须执行中华人民共和国有关安全生产和劳动保护的法规，建立安全生产责任制，加强规范化管理，进行安全交底、安全教育和安全宣传，严格执行安全技术方案。施工现场的各种安全设施和劳动保护器具，必须定期进行检查和维护，及时消除隐患，保证其安全有效。</w:t>
      </w:r>
    </w:p>
    <w:p>
      <w:pPr>
        <w:pStyle w:val="8"/>
        <w:widowControl/>
        <w:tabs>
          <w:tab w:val="left" w:pos="880"/>
        </w:tabs>
        <w:spacing w:line="360" w:lineRule="auto"/>
        <w:ind w:left="105" w:leftChars="50" w:right="105" w:rightChars="50" w:firstLine="447"/>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8.10应该保证施工现场道路通畅，排水系统处于良好的使用状态；保持场容场貌的整洁，随时清理现场垃圾。在车辆、行人通行的地方施工，应该设置沟井坎穴覆盖物和施工标志。</w:t>
      </w:r>
    </w:p>
    <w:p>
      <w:pPr>
        <w:pStyle w:val="8"/>
        <w:widowControl/>
        <w:tabs>
          <w:tab w:val="left" w:pos="880"/>
        </w:tabs>
        <w:spacing w:line="360" w:lineRule="auto"/>
        <w:ind w:left="105" w:leftChars="50" w:right="105" w:rightChars="50" w:firstLine="447"/>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8.11应当做好施工现场安全保卫工作，采取必要的防盗措施，在现场周边设立围护设施。施工现场在市区的，周围应当设置遮挡围栏，临街的脚手架也应当设置相应的围护设施。非施工人员不得擅自进入施工现场。</w:t>
      </w:r>
    </w:p>
    <w:p>
      <w:pPr>
        <w:pStyle w:val="8"/>
        <w:widowControl/>
        <w:tabs>
          <w:tab w:val="left" w:pos="880"/>
        </w:tabs>
        <w:spacing w:line="360" w:lineRule="auto"/>
        <w:ind w:left="105" w:leftChars="50" w:right="105" w:rightChars="50" w:firstLine="447"/>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8.12应按本工程的施工和验收标准，施工图纸、电扶梯技术规格书和有关标准及规范的要求执行。</w:t>
      </w:r>
    </w:p>
    <w:p>
      <w:pPr>
        <w:pStyle w:val="8"/>
        <w:widowControl/>
        <w:tabs>
          <w:tab w:val="left" w:pos="880"/>
        </w:tabs>
        <w:spacing w:line="360" w:lineRule="auto"/>
        <w:ind w:left="105" w:leftChars="50" w:right="105" w:rightChars="50" w:firstLine="447"/>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8.13负责电梯安装工程中电梯、扶梯零部件的搬运;负责在机房内按照土建配置图上要求预埋钢板和工字钢。</w:t>
      </w:r>
    </w:p>
    <w:p>
      <w:pPr>
        <w:pStyle w:val="8"/>
        <w:widowControl/>
        <w:tabs>
          <w:tab w:val="left" w:pos="880"/>
        </w:tabs>
        <w:spacing w:line="360" w:lineRule="auto"/>
        <w:ind w:left="105" w:leftChars="50" w:right="105" w:rightChars="50" w:firstLine="447"/>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8.14井道厅门洞入口处必须提供安全防护装置和警示标语，以防止意外发生。</w:t>
      </w:r>
    </w:p>
    <w:p>
      <w:pPr>
        <w:pStyle w:val="8"/>
        <w:widowControl/>
        <w:tabs>
          <w:tab w:val="left" w:pos="880"/>
        </w:tabs>
        <w:spacing w:line="360" w:lineRule="auto"/>
        <w:ind w:left="105" w:leftChars="50" w:right="105" w:rightChars="50" w:firstLine="447"/>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8.15提供通话设备及接口，并负责安装及调试电梯。</w:t>
      </w:r>
    </w:p>
    <w:p>
      <w:pPr>
        <w:pStyle w:val="8"/>
        <w:widowControl/>
        <w:tabs>
          <w:tab w:val="left" w:pos="880"/>
        </w:tabs>
        <w:spacing w:line="360" w:lineRule="auto"/>
        <w:ind w:left="105" w:leftChars="50" w:right="105" w:rightChars="50" w:firstLine="447"/>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8.16负责配合电梯所在地的国家检测机构对电梯的检测工作；检测费由乙方承担。</w:t>
      </w:r>
    </w:p>
    <w:p>
      <w:pPr>
        <w:pStyle w:val="8"/>
        <w:widowControl/>
        <w:tabs>
          <w:tab w:val="left" w:pos="880"/>
        </w:tabs>
        <w:spacing w:line="360" w:lineRule="auto"/>
        <w:ind w:left="105" w:leftChars="50" w:right="105" w:rightChars="50" w:firstLine="447"/>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8.17电梯安装完成拿到电梯使用合格证和运行证后，乙方应配合各参建方，对提供部分电梯作为临时施工材料运输梯的维护和保养，并对电梯的使用情况进行监控，及时发现和处理电梯、扶梯使用过程中出现的问题。提供利于电梯移交工作的配合工作。</w:t>
      </w:r>
    </w:p>
    <w:p>
      <w:pPr>
        <w:pStyle w:val="8"/>
        <w:widowControl/>
        <w:tabs>
          <w:tab w:val="left" w:pos="880"/>
        </w:tabs>
        <w:spacing w:line="360" w:lineRule="auto"/>
        <w:ind w:left="105" w:leftChars="50" w:right="105" w:rightChars="50" w:firstLine="447"/>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8.18乙方施工人员安装过程中的安全问题由乙方负责，甲方不承担任何责任，若因此而导致甲方承担责任的，甲方有权向乙方追偿，并有权在应付款中优先扣除。</w:t>
      </w:r>
    </w:p>
    <w:p>
      <w:pPr>
        <w:pStyle w:val="8"/>
        <w:widowControl/>
        <w:tabs>
          <w:tab w:val="left" w:pos="880"/>
        </w:tabs>
        <w:spacing w:line="360" w:lineRule="auto"/>
        <w:ind w:left="105" w:leftChars="50" w:right="105" w:rightChars="50" w:firstLine="447"/>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8.19安装过程中所需脚手架费用、施工照明以及所需水电费由乙方自己负责。乙方自备电表、水表，由监理工程师协调交接临时用电、用水的接口点，由乙方根据需要自行接至各施工点。</w:t>
      </w:r>
    </w:p>
    <w:p>
      <w:pPr>
        <w:pStyle w:val="8"/>
        <w:widowControl/>
        <w:tabs>
          <w:tab w:val="left" w:pos="880"/>
        </w:tabs>
        <w:spacing w:line="360" w:lineRule="auto"/>
        <w:ind w:left="105" w:leftChars="50" w:right="105" w:rightChars="50" w:firstLine="447"/>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8.20安全问题：承担安装调试过程中因自身原因产生的人员及设备等安全责任由乙方自行承担其安全责任。</w:t>
      </w:r>
    </w:p>
    <w:p>
      <w:pPr>
        <w:pStyle w:val="8"/>
        <w:widowControl/>
        <w:tabs>
          <w:tab w:val="left" w:pos="880"/>
        </w:tabs>
        <w:spacing w:line="360" w:lineRule="auto"/>
        <w:ind w:left="105" w:leftChars="50" w:right="105" w:rightChars="50" w:firstLine="447"/>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8.21在安装施工过程中，乙方须随时接受甲方代表及其委派监理人员按国家有关技术标准、验收规范等进行检查检验并按其要求返工、修改。因乙方原因达不到标准、规范要求则乙方承担返工费用，交货期不予顺延。返工后仍不能达到标准，乙方承担违约责任。若甲方原因达不到标准，甲方承担经济支出，交货期相应顺延。双方对工程质量有争议，由仲裁条款解决。仲裁费用及因此造成的损失，由败诉一方承担。</w:t>
      </w:r>
    </w:p>
    <w:p>
      <w:pPr>
        <w:pStyle w:val="8"/>
        <w:widowControl/>
        <w:tabs>
          <w:tab w:val="left" w:pos="880"/>
        </w:tabs>
        <w:spacing w:line="360" w:lineRule="auto"/>
        <w:ind w:left="105" w:leftChars="50" w:right="105" w:rightChars="50" w:firstLine="447"/>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8.22工程竣工后，乙方应编制工程竣工图，进行工程质量评议，整理各种技术资料，及时完成工程初验，并向有关主管部门提交竣工验收报告。全部工程验收合格后，乙方可解除施工现场的全部管理责任。</w:t>
      </w:r>
    </w:p>
    <w:p>
      <w:pPr>
        <w:pStyle w:val="8"/>
        <w:widowControl/>
        <w:tabs>
          <w:tab w:val="left" w:pos="880"/>
        </w:tabs>
        <w:spacing w:line="360" w:lineRule="auto"/>
        <w:ind w:left="105" w:leftChars="50" w:right="105" w:rightChars="50" w:firstLine="447"/>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8.23竣工验收或工程保修</w:t>
      </w:r>
    </w:p>
    <w:p>
      <w:pPr>
        <w:pStyle w:val="8"/>
        <w:widowControl/>
        <w:tabs>
          <w:tab w:val="left" w:pos="880"/>
        </w:tabs>
        <w:spacing w:line="360" w:lineRule="auto"/>
        <w:ind w:left="105" w:leftChars="50" w:right="105" w:rightChars="50" w:firstLine="447"/>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8.23.1 竣工日期为乙方同时满足下列全部条件时的日期：</w:t>
      </w:r>
    </w:p>
    <w:p>
      <w:pPr>
        <w:pStyle w:val="8"/>
        <w:widowControl/>
        <w:tabs>
          <w:tab w:val="left" w:pos="880"/>
        </w:tabs>
        <w:spacing w:line="360" w:lineRule="auto"/>
        <w:ind w:left="105" w:leftChars="50" w:right="105" w:rightChars="50" w:firstLine="447"/>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（1）己完成本合同文件中规定的全部工程验收，并取得政府主管部门颁发的电梯使用合格证和运行证；</w:t>
      </w:r>
    </w:p>
    <w:p>
      <w:pPr>
        <w:pStyle w:val="8"/>
        <w:widowControl/>
        <w:tabs>
          <w:tab w:val="left" w:pos="880"/>
        </w:tabs>
        <w:spacing w:line="360" w:lineRule="auto"/>
        <w:ind w:left="105" w:leftChars="50" w:right="105" w:rightChars="50" w:firstLine="447"/>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（2）场边己清理好，可向甲方办理移交手续：</w:t>
      </w:r>
    </w:p>
    <w:p>
      <w:pPr>
        <w:pStyle w:val="8"/>
        <w:widowControl/>
        <w:tabs>
          <w:tab w:val="left" w:pos="880"/>
        </w:tabs>
        <w:spacing w:line="360" w:lineRule="auto"/>
        <w:ind w:left="105" w:leftChars="50" w:right="105" w:rightChars="50" w:firstLine="447"/>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（3）移交全部技术资料及技术档案包括：</w:t>
      </w:r>
    </w:p>
    <w:p>
      <w:pPr>
        <w:pStyle w:val="8"/>
        <w:widowControl/>
        <w:tabs>
          <w:tab w:val="left" w:pos="880"/>
        </w:tabs>
        <w:spacing w:line="360" w:lineRule="auto"/>
        <w:ind w:left="105" w:leftChars="50" w:right="105" w:rightChars="50" w:firstLine="447"/>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1）在安装工程移交前，乙方须为所有安装工程编写完整的中文版操作及维修手册。在此手册的详情获得同意后，乙方须向甲方提交六套装订妥当的维修及操作手册，并必须在工程竣工日期前提交。</w:t>
      </w:r>
    </w:p>
    <w:p>
      <w:pPr>
        <w:pStyle w:val="8"/>
        <w:widowControl/>
        <w:tabs>
          <w:tab w:val="left" w:pos="880"/>
        </w:tabs>
        <w:spacing w:line="360" w:lineRule="auto"/>
        <w:ind w:left="105" w:leftChars="50" w:right="105" w:rightChars="50" w:firstLine="447"/>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竣工图纸目录；</w:t>
      </w:r>
    </w:p>
    <w:p>
      <w:pPr>
        <w:pStyle w:val="8"/>
        <w:widowControl/>
        <w:tabs>
          <w:tab w:val="left" w:pos="880"/>
        </w:tabs>
        <w:spacing w:line="360" w:lineRule="auto"/>
        <w:ind w:left="105" w:leftChars="50" w:right="105" w:rightChars="50" w:firstLine="447"/>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1）其他一切在技术规范内提及所需资料。</w:t>
      </w:r>
    </w:p>
    <w:p>
      <w:pPr>
        <w:pStyle w:val="8"/>
        <w:widowControl/>
        <w:tabs>
          <w:tab w:val="left" w:pos="880"/>
        </w:tabs>
        <w:spacing w:line="360" w:lineRule="auto"/>
        <w:ind w:left="105" w:leftChars="50" w:right="105" w:rightChars="50" w:firstLine="447"/>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2）手册应以 A4 尺寸的纸张编印，各部分须适当地分隔及容易辨认，每页须有连续性页数及总页数包括在目录页内。经批准的手册应以活页图及硬面装订形式。</w:t>
      </w:r>
    </w:p>
    <w:p>
      <w:pPr>
        <w:pStyle w:val="8"/>
        <w:widowControl/>
        <w:tabs>
          <w:tab w:val="left" w:pos="880"/>
        </w:tabs>
        <w:spacing w:line="360" w:lineRule="auto"/>
        <w:ind w:left="105" w:leftChars="50" w:right="105" w:rightChars="50" w:firstLine="447"/>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3）竣工图纸可以被存于已经批准的手册内（如适用）。</w:t>
      </w:r>
    </w:p>
    <w:p>
      <w:pPr>
        <w:pStyle w:val="8"/>
        <w:widowControl/>
        <w:tabs>
          <w:tab w:val="left" w:pos="880"/>
        </w:tabs>
        <w:spacing w:line="360" w:lineRule="auto"/>
        <w:ind w:left="105" w:leftChars="50" w:right="105" w:rightChars="50" w:firstLine="447"/>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4）竣工图纸应包括整个系统的分布图解，其中包括主要设备及机械的参考名号（如适用）。</w:t>
      </w:r>
    </w:p>
    <w:p>
      <w:pPr>
        <w:pStyle w:val="8"/>
        <w:widowControl/>
        <w:tabs>
          <w:tab w:val="left" w:pos="880"/>
        </w:tabs>
        <w:spacing w:line="360" w:lineRule="auto"/>
        <w:ind w:left="105" w:leftChars="50" w:right="105" w:rightChars="50" w:firstLine="447"/>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5）两份临时手册，连同暂定竣工图纸，应在竣工前最少一个月提交，使甲方能对安装工程得以熟悉。临时手册的格式应与最终发放的手册相同，但对于一些只能在竣工或测试后才能落实的资料，亦须暂时填上。</w:t>
      </w:r>
    </w:p>
    <w:p>
      <w:pPr>
        <w:pStyle w:val="8"/>
        <w:widowControl/>
        <w:tabs>
          <w:tab w:val="left" w:pos="880"/>
        </w:tabs>
        <w:spacing w:line="360" w:lineRule="auto"/>
        <w:ind w:left="105" w:leftChars="50" w:right="105" w:rightChars="50" w:firstLine="447"/>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6）乙方须按照保修计划和操作手册定期检查设备的质量和功能运行情况现场或设备附近必须备有一份检查清单和指导使用手册。每一次的验收和检查必须记录在保修手册上。</w:t>
      </w:r>
    </w:p>
    <w:p>
      <w:pPr>
        <w:pStyle w:val="8"/>
        <w:widowControl/>
        <w:tabs>
          <w:tab w:val="left" w:pos="880"/>
        </w:tabs>
        <w:spacing w:line="360" w:lineRule="auto"/>
        <w:ind w:left="105" w:leftChars="50" w:right="105" w:rightChars="50" w:firstLine="447"/>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8.24交付使用：经政府监管部门验收合格取得合格证及准运证，并可交付甲方使用之日，即为电梯安装验收合格日（若前述两证颁发日期不一致，以较晚发证的日期为验收合格日）。合格日后，在甲方付清合同规定之款项后，乙方即向甲方办理移交手续（乙方的安装部门和维保售后部门必须先做完内部移交。乙方向甲方进行设备移交时，必须提供书面并签章的内部移交证明文件。），交付电梯使用钥匙并对电梯的管理软件密码解锁和电梯竣工验收合格证。</w:t>
      </w:r>
    </w:p>
    <w:p>
      <w:pPr>
        <w:pStyle w:val="8"/>
        <w:widowControl/>
        <w:tabs>
          <w:tab w:val="left" w:pos="880"/>
        </w:tabs>
        <w:spacing w:line="360" w:lineRule="auto"/>
        <w:ind w:left="105" w:leftChars="50" w:right="105" w:rightChars="50" w:firstLine="447"/>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8.25质量保修期从设备取得运行许可证并移交运营签字接管使用，并试运行3个月后即进入保修期，保修期为24个月，在保修期内，电梯制造商须按TSGT5002-2017的要求免费进行维修保养。</w:t>
      </w:r>
    </w:p>
    <w:p>
      <w:pPr>
        <w:pStyle w:val="8"/>
        <w:widowControl/>
        <w:tabs>
          <w:tab w:val="left" w:pos="880"/>
        </w:tabs>
        <w:spacing w:line="360" w:lineRule="auto"/>
        <w:ind w:left="105" w:leftChars="50" w:right="105" w:rightChars="50" w:firstLine="447"/>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8.26乙方将向甲方有关技术人员提供必要的电梯操作培训。</w:t>
      </w:r>
    </w:p>
    <w:p>
      <w:pPr>
        <w:pStyle w:val="8"/>
        <w:widowControl/>
        <w:tabs>
          <w:tab w:val="left" w:pos="880"/>
        </w:tabs>
        <w:spacing w:line="360" w:lineRule="auto"/>
        <w:ind w:left="105" w:leftChars="50" w:right="105" w:rightChars="50" w:firstLine="447"/>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9、争议解决：</w:t>
      </w:r>
    </w:p>
    <w:p>
      <w:pPr>
        <w:pStyle w:val="8"/>
        <w:widowControl/>
        <w:tabs>
          <w:tab w:val="left" w:pos="880"/>
        </w:tabs>
        <w:spacing w:line="360" w:lineRule="auto"/>
        <w:ind w:left="105" w:leftChars="50" w:right="105" w:rightChars="50" w:firstLine="447"/>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凡执行本协议所发生的或与本协议有关的一切争议，甲、乙双方应通过友好协商解决。如协商不能解决，协商不成应向</w:t>
      </w:r>
      <w:r>
        <w:rPr>
          <w:rFonts w:hint="eastAsia" w:ascii="宋体" w:hAnsi="宋体" w:eastAsia="宋体" w:cs="宋体"/>
          <w:color w:val="auto"/>
          <w:kern w:val="0"/>
          <w:sz w:val="20"/>
          <w:szCs w:val="20"/>
          <w:highlight w:val="none"/>
          <w:u w:val="single"/>
        </w:rPr>
        <w:t>工程所在地人民法院</w:t>
      </w:r>
      <w:r>
        <w:rPr>
          <w:rFonts w:hint="eastAsia" w:ascii="宋体" w:hAnsi="宋体" w:eastAsia="宋体" w:cs="宋体"/>
          <w:color w:val="auto"/>
          <w:kern w:val="0"/>
          <w:sz w:val="20"/>
          <w:szCs w:val="20"/>
          <w:highlight w:val="none"/>
        </w:rPr>
        <w:t>起诉。</w:t>
      </w:r>
    </w:p>
    <w:p>
      <w:pPr>
        <w:pStyle w:val="8"/>
        <w:widowControl/>
        <w:tabs>
          <w:tab w:val="left" w:pos="880"/>
        </w:tabs>
        <w:spacing w:line="360" w:lineRule="auto"/>
        <w:ind w:left="105" w:leftChars="50" w:right="105" w:rightChars="50" w:firstLine="447"/>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各类文书送达地址：</w:t>
      </w:r>
    </w:p>
    <w:p>
      <w:pPr>
        <w:pStyle w:val="8"/>
        <w:widowControl/>
        <w:tabs>
          <w:tab w:val="left" w:pos="880"/>
        </w:tabs>
        <w:spacing w:line="360" w:lineRule="auto"/>
        <w:ind w:left="105" w:leftChars="50" w:right="105" w:rightChars="50" w:firstLine="447"/>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甲方送达地址：                         送达方式</w:t>
      </w:r>
    </w:p>
    <w:p>
      <w:pPr>
        <w:pStyle w:val="8"/>
        <w:widowControl/>
        <w:tabs>
          <w:tab w:val="left" w:pos="880"/>
        </w:tabs>
        <w:spacing w:line="360" w:lineRule="auto"/>
        <w:ind w:left="105" w:leftChars="50" w:right="105" w:rightChars="50" w:firstLine="447"/>
        <w:rPr>
          <w:rFonts w:hint="eastAsia" w:ascii="宋体" w:hAnsi="宋体" w:eastAsia="宋体" w:cs="宋体"/>
          <w:color w:val="auto"/>
          <w:kern w:val="0"/>
          <w:sz w:val="20"/>
          <w:szCs w:val="20"/>
          <w:highlight w:val="none"/>
          <w:u w:val="single"/>
        </w:rPr>
      </w:pPr>
      <w:r>
        <w:rPr>
          <w:rFonts w:hint="eastAsia" w:ascii="宋体" w:hAnsi="宋体" w:eastAsia="宋体" w:cs="宋体"/>
          <w:color w:val="auto"/>
          <w:kern w:val="0"/>
          <w:sz w:val="20"/>
          <w:szCs w:val="20"/>
          <w:highlight w:val="none"/>
        </w:rPr>
        <w:t>乙方送达地址：送达方式：</w:t>
      </w:r>
    </w:p>
    <w:p>
      <w:pPr>
        <w:tabs>
          <w:tab w:val="left" w:pos="880"/>
        </w:tabs>
        <w:spacing w:line="360" w:lineRule="auto"/>
        <w:ind w:left="105" w:leftChars="50" w:right="105" w:rightChars="50" w:firstLine="447"/>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该送达地址可用于接收各类诉讼文书。在合同履行过程中发生诉讼时，按约定地址送达的视为当事人已签收，受送达人拒收的，不影响送达的效力。甲乙双方任何一方若需变更送达地址，应在地址变更后3日内书面通知对方当事人；未按约定方式通知的，原约定送达地址仍为有效送达地址。</w:t>
      </w:r>
    </w:p>
    <w:p>
      <w:pPr>
        <w:tabs>
          <w:tab w:val="left" w:pos="880"/>
        </w:tabs>
        <w:spacing w:line="360" w:lineRule="auto"/>
        <w:ind w:left="105" w:leftChars="50" w:right="105" w:rightChars="50" w:firstLine="447"/>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w:t>
      </w:r>
    </w:p>
    <w:p>
      <w:pPr>
        <w:pStyle w:val="8"/>
        <w:widowControl/>
        <w:tabs>
          <w:tab w:val="left" w:pos="880"/>
        </w:tabs>
        <w:spacing w:line="360" w:lineRule="auto"/>
        <w:ind w:left="105" w:leftChars="50" w:right="105" w:rightChars="50" w:firstLine="447"/>
        <w:rPr>
          <w:rFonts w:hint="eastAsia" w:ascii="宋体" w:hAnsi="宋体" w:eastAsia="宋体" w:cs="宋体"/>
          <w:color w:val="auto"/>
          <w:kern w:val="0"/>
          <w:sz w:val="20"/>
          <w:szCs w:val="20"/>
          <w:highlight w:val="none"/>
        </w:rPr>
      </w:pPr>
    </w:p>
    <w:p>
      <w:pPr>
        <w:tabs>
          <w:tab w:val="left" w:pos="880"/>
        </w:tabs>
        <w:adjustRightInd w:val="0"/>
        <w:snapToGrid w:val="0"/>
        <w:spacing w:line="360" w:lineRule="auto"/>
        <w:ind w:left="105" w:leftChars="50" w:right="105" w:rightChars="50" w:firstLine="447"/>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甲方（盖章）：                           乙方（盖章）：</w:t>
      </w:r>
    </w:p>
    <w:p>
      <w:pPr>
        <w:tabs>
          <w:tab w:val="left" w:pos="880"/>
        </w:tabs>
        <w:adjustRightInd w:val="0"/>
        <w:snapToGrid w:val="0"/>
        <w:spacing w:line="360" w:lineRule="auto"/>
        <w:ind w:left="105" w:leftChars="50" w:right="105" w:rightChars="50" w:firstLine="447"/>
        <w:rPr>
          <w:rFonts w:hint="eastAsia" w:ascii="宋体" w:hAnsi="宋体" w:eastAsia="宋体" w:cs="宋体"/>
          <w:color w:val="auto"/>
          <w:sz w:val="20"/>
          <w:szCs w:val="20"/>
          <w:highlight w:val="none"/>
        </w:rPr>
      </w:pPr>
    </w:p>
    <w:p>
      <w:pPr>
        <w:tabs>
          <w:tab w:val="left" w:pos="880"/>
        </w:tabs>
        <w:adjustRightInd w:val="0"/>
        <w:snapToGrid w:val="0"/>
        <w:spacing w:line="360" w:lineRule="auto"/>
        <w:ind w:left="105" w:leftChars="50" w:right="105" w:rightChars="50" w:firstLine="447"/>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甲方法定代表人：                          乙方法定代表人：</w:t>
      </w:r>
    </w:p>
    <w:p>
      <w:pPr>
        <w:tabs>
          <w:tab w:val="left" w:pos="880"/>
        </w:tabs>
        <w:adjustRightInd w:val="0"/>
        <w:snapToGrid w:val="0"/>
        <w:spacing w:line="360" w:lineRule="auto"/>
        <w:ind w:left="105" w:leftChars="50" w:right="105" w:rightChars="50" w:firstLine="447"/>
        <w:rPr>
          <w:rFonts w:hint="eastAsia" w:ascii="宋体" w:hAnsi="宋体" w:eastAsia="宋体" w:cs="宋体"/>
          <w:color w:val="auto"/>
          <w:sz w:val="20"/>
          <w:szCs w:val="20"/>
          <w:highlight w:val="none"/>
        </w:rPr>
      </w:pPr>
    </w:p>
    <w:p>
      <w:pPr>
        <w:tabs>
          <w:tab w:val="left" w:pos="880"/>
        </w:tabs>
        <w:adjustRightInd w:val="0"/>
        <w:snapToGrid w:val="0"/>
        <w:spacing w:line="360" w:lineRule="auto"/>
        <w:ind w:left="105" w:leftChars="50" w:right="105" w:rightChars="50" w:firstLine="447"/>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委托代理人（签字）：                      委托代理人（签字）：</w:t>
      </w:r>
    </w:p>
    <w:p>
      <w:pPr>
        <w:tabs>
          <w:tab w:val="left" w:pos="880"/>
        </w:tabs>
        <w:adjustRightInd w:val="0"/>
        <w:snapToGrid w:val="0"/>
        <w:spacing w:line="360" w:lineRule="auto"/>
        <w:ind w:left="105" w:leftChars="50" w:right="105" w:rightChars="50" w:firstLine="447"/>
        <w:rPr>
          <w:rFonts w:hint="eastAsia" w:ascii="宋体" w:hAnsi="宋体" w:eastAsia="宋体" w:cs="宋体"/>
          <w:color w:val="auto"/>
          <w:sz w:val="20"/>
          <w:szCs w:val="20"/>
          <w:highlight w:val="none"/>
        </w:rPr>
      </w:pPr>
    </w:p>
    <w:p>
      <w:pPr>
        <w:tabs>
          <w:tab w:val="left" w:pos="880"/>
        </w:tabs>
        <w:adjustRightInd w:val="0"/>
        <w:snapToGrid w:val="0"/>
        <w:spacing w:line="360" w:lineRule="auto"/>
        <w:ind w:left="105" w:leftChars="50" w:right="105" w:rightChars="50" w:firstLine="447"/>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日期：年月日                              日期：年月日</w:t>
      </w:r>
    </w:p>
    <w:p>
      <w:pPr>
        <w:tabs>
          <w:tab w:val="left" w:pos="880"/>
          <w:tab w:val="left" w:pos="1060"/>
          <w:tab w:val="left" w:pos="2310"/>
          <w:tab w:val="left" w:pos="3675"/>
          <w:tab w:val="left" w:pos="5685"/>
          <w:tab w:val="left" w:pos="6405"/>
          <w:tab w:val="left" w:pos="7140"/>
        </w:tabs>
        <w:adjustRightInd w:val="0"/>
        <w:snapToGrid w:val="0"/>
        <w:spacing w:line="360" w:lineRule="auto"/>
        <w:ind w:left="105" w:leftChars="50" w:right="105" w:rightChars="50" w:firstLine="447"/>
        <w:jc w:val="center"/>
        <w:rPr>
          <w:rFonts w:hint="eastAsia" w:ascii="宋体" w:hAnsi="宋体" w:eastAsia="宋体" w:cs="宋体"/>
          <w:color w:val="auto"/>
          <w:sz w:val="24"/>
          <w:szCs w:val="24"/>
          <w:highlight w:val="none"/>
        </w:rPr>
      </w:pPr>
      <w:r>
        <w:rPr>
          <w:rFonts w:hint="eastAsia" w:ascii="宋体" w:hAnsi="宋体" w:eastAsia="宋体" w:cs="宋体"/>
          <w:snapToGrid w:val="0"/>
          <w:color w:val="auto"/>
          <w:sz w:val="20"/>
          <w:szCs w:val="20"/>
          <w:highlight w:val="none"/>
        </w:rPr>
        <w:br w:type="page"/>
      </w:r>
    </w:p>
    <w:p>
      <w:pPr>
        <w:tabs>
          <w:tab w:val="left" w:pos="880"/>
          <w:tab w:val="left" w:pos="1060"/>
          <w:tab w:val="left" w:pos="2310"/>
          <w:tab w:val="left" w:pos="3675"/>
          <w:tab w:val="left" w:pos="5685"/>
          <w:tab w:val="left" w:pos="6405"/>
          <w:tab w:val="left" w:pos="7140"/>
        </w:tabs>
        <w:adjustRightInd w:val="0"/>
        <w:snapToGrid w:val="0"/>
        <w:spacing w:line="360" w:lineRule="auto"/>
        <w:ind w:left="105" w:leftChars="50" w:right="105" w:rightChars="50" w:firstLine="447"/>
        <w:jc w:val="center"/>
        <w:rPr>
          <w:rFonts w:hint="eastAsia" w:ascii="宋体" w:hAnsi="宋体" w:eastAsia="宋体" w:cs="宋体"/>
          <w:color w:val="auto"/>
          <w:sz w:val="24"/>
          <w:szCs w:val="24"/>
          <w:highlight w:val="none"/>
        </w:rPr>
      </w:pPr>
    </w:p>
    <w:p>
      <w:pPr>
        <w:pStyle w:val="4"/>
        <w:widowControl/>
        <w:tabs>
          <w:tab w:val="left" w:pos="880"/>
        </w:tabs>
        <w:spacing w:line="360" w:lineRule="auto"/>
        <w:ind w:left="105" w:leftChars="50" w:right="105" w:rightChars="50" w:firstLine="447"/>
        <w:rPr>
          <w:rFonts w:hint="eastAsia" w:ascii="宋体" w:hAnsi="宋体" w:eastAsia="宋体" w:cs="宋体"/>
          <w:b w:val="0"/>
          <w:bCs w:val="0"/>
          <w:color w:val="auto"/>
          <w:sz w:val="24"/>
          <w:szCs w:val="24"/>
          <w:highlight w:val="none"/>
        </w:rPr>
      </w:pPr>
      <w:bookmarkStart w:id="14" w:name="_Toc20281"/>
      <w:bookmarkStart w:id="15" w:name="_Toc30385"/>
      <w:r>
        <w:rPr>
          <w:rFonts w:hint="eastAsia" w:ascii="宋体" w:hAnsi="宋体" w:eastAsia="宋体" w:cs="宋体"/>
          <w:color w:val="auto"/>
          <w:sz w:val="24"/>
          <w:szCs w:val="24"/>
          <w:highlight w:val="none"/>
          <w:lang w:val="en-US" w:eastAsia="zh-CN"/>
        </w:rPr>
        <w:t>陈庹路公交站场</w:t>
      </w:r>
      <w:r>
        <w:rPr>
          <w:rFonts w:hint="eastAsia" w:ascii="宋体" w:hAnsi="宋体" w:eastAsia="宋体" w:cs="宋体"/>
          <w:color w:val="auto"/>
          <w:sz w:val="24"/>
          <w:szCs w:val="24"/>
          <w:highlight w:val="none"/>
        </w:rPr>
        <w:t>电梯设备采购及安装工程</w:t>
      </w:r>
      <w:bookmarkEnd w:id="14"/>
      <w:bookmarkEnd w:id="15"/>
    </w:p>
    <w:p>
      <w:pPr>
        <w:tabs>
          <w:tab w:val="left" w:pos="880"/>
          <w:tab w:val="left" w:pos="1060"/>
          <w:tab w:val="left" w:pos="2310"/>
          <w:tab w:val="left" w:pos="3675"/>
          <w:tab w:val="left" w:pos="5685"/>
          <w:tab w:val="left" w:pos="6405"/>
          <w:tab w:val="left" w:pos="7140"/>
        </w:tabs>
        <w:adjustRightInd w:val="0"/>
        <w:snapToGrid w:val="0"/>
        <w:spacing w:line="360" w:lineRule="auto"/>
        <w:ind w:left="105" w:leftChars="50" w:right="105" w:rightChars="50" w:firstLine="447"/>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电梯免费维修保养协议</w:t>
      </w:r>
    </w:p>
    <w:p>
      <w:pPr>
        <w:tabs>
          <w:tab w:val="left" w:pos="880"/>
          <w:tab w:val="left" w:pos="2430"/>
          <w:tab w:val="left" w:pos="3240"/>
        </w:tabs>
        <w:topLinePunct/>
        <w:adjustRightInd w:val="0"/>
        <w:spacing w:line="360" w:lineRule="auto"/>
        <w:ind w:left="105" w:leftChars="50" w:right="105" w:rightChars="50" w:firstLine="447"/>
        <w:rPr>
          <w:rFonts w:hint="eastAsia" w:ascii="宋体" w:hAnsi="宋体" w:eastAsia="宋体" w:cs="宋体"/>
          <w:color w:val="auto"/>
          <w:sz w:val="20"/>
          <w:szCs w:val="20"/>
          <w:highlight w:val="none"/>
          <w:u w:val="single"/>
        </w:rPr>
      </w:pPr>
      <w:r>
        <w:rPr>
          <w:rFonts w:hint="eastAsia" w:ascii="宋体" w:hAnsi="宋体" w:eastAsia="宋体" w:cs="宋体"/>
          <w:color w:val="auto"/>
          <w:sz w:val="20"/>
          <w:szCs w:val="20"/>
          <w:highlight w:val="none"/>
        </w:rPr>
        <w:t xml:space="preserve"> 买方：</w:t>
      </w:r>
      <w:r>
        <w:rPr>
          <w:rFonts w:hint="eastAsia" w:ascii="宋体" w:hAnsi="宋体" w:eastAsia="宋体" w:cs="宋体"/>
          <w:color w:val="auto"/>
          <w:sz w:val="20"/>
          <w:szCs w:val="20"/>
          <w:highlight w:val="none"/>
          <w:u w:val="single"/>
        </w:rPr>
        <w:t>（以下简称甲方）</w:t>
      </w:r>
    </w:p>
    <w:p>
      <w:pPr>
        <w:tabs>
          <w:tab w:val="left" w:pos="880"/>
        </w:tabs>
        <w:topLinePunct/>
        <w:adjustRightInd w:val="0"/>
        <w:spacing w:line="360" w:lineRule="auto"/>
        <w:ind w:left="105" w:leftChars="50" w:right="105" w:rightChars="50" w:firstLine="447"/>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 xml:space="preserve">  卖方：</w:t>
      </w:r>
      <w:r>
        <w:rPr>
          <w:rFonts w:hint="eastAsia" w:ascii="宋体" w:hAnsi="宋体" w:eastAsia="宋体" w:cs="宋体"/>
          <w:color w:val="auto"/>
          <w:sz w:val="20"/>
          <w:szCs w:val="20"/>
          <w:highlight w:val="none"/>
          <w:u w:val="single"/>
        </w:rPr>
        <w:t>（以下简称乙方）</w:t>
      </w:r>
    </w:p>
    <w:p>
      <w:pPr>
        <w:pStyle w:val="8"/>
        <w:widowControl/>
        <w:tabs>
          <w:tab w:val="left" w:pos="880"/>
        </w:tabs>
        <w:spacing w:line="360" w:lineRule="auto"/>
        <w:ind w:left="105" w:leftChars="50" w:right="105" w:rightChars="50" w:firstLine="447"/>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关于乙方安装的电梯的维修保养事宜签订协议条款如下：</w:t>
      </w:r>
    </w:p>
    <w:p>
      <w:pPr>
        <w:pStyle w:val="8"/>
        <w:widowControl/>
        <w:tabs>
          <w:tab w:val="left" w:pos="880"/>
        </w:tabs>
        <w:spacing w:line="360" w:lineRule="auto"/>
        <w:ind w:left="105" w:leftChars="50" w:right="105" w:rightChars="50" w:firstLine="447"/>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1、协议有效期</w:t>
      </w:r>
    </w:p>
    <w:p>
      <w:pPr>
        <w:pStyle w:val="8"/>
        <w:widowControl/>
        <w:tabs>
          <w:tab w:val="left" w:pos="880"/>
        </w:tabs>
        <w:spacing w:line="360" w:lineRule="auto"/>
        <w:ind w:left="105" w:leftChars="50" w:right="105" w:rightChars="50" w:firstLine="447"/>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本协议有效期自甲、乙双方约定之日起，至设备取得运行许可证并移交运营签字接管使用，并试运行3个月后起计满24个月（以中标人响应的保修期为准）维修保养期结束止。</w:t>
      </w:r>
    </w:p>
    <w:p>
      <w:pPr>
        <w:pStyle w:val="8"/>
        <w:widowControl/>
        <w:tabs>
          <w:tab w:val="left" w:pos="880"/>
        </w:tabs>
        <w:spacing w:line="360" w:lineRule="auto"/>
        <w:ind w:left="105" w:leftChars="50" w:right="105" w:rightChars="50" w:firstLine="447"/>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2、维保费用</w:t>
      </w:r>
    </w:p>
    <w:p>
      <w:pPr>
        <w:pStyle w:val="8"/>
        <w:widowControl/>
        <w:tabs>
          <w:tab w:val="left" w:pos="880"/>
        </w:tabs>
        <w:spacing w:line="360" w:lineRule="auto"/>
        <w:ind w:left="105" w:leftChars="50" w:right="105" w:rightChars="50" w:firstLine="447"/>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免费保修期内免费提供电梯维修、保养服务（含年审费）。</w:t>
      </w:r>
    </w:p>
    <w:p>
      <w:pPr>
        <w:pStyle w:val="8"/>
        <w:widowControl/>
        <w:tabs>
          <w:tab w:val="left" w:pos="880"/>
        </w:tabs>
        <w:spacing w:line="360" w:lineRule="auto"/>
        <w:ind w:left="105" w:leftChars="50" w:right="105" w:rightChars="50" w:firstLine="447"/>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3、甲方、乙方责任</w:t>
      </w:r>
    </w:p>
    <w:p>
      <w:pPr>
        <w:pStyle w:val="8"/>
        <w:widowControl/>
        <w:tabs>
          <w:tab w:val="left" w:pos="880"/>
        </w:tabs>
        <w:spacing w:line="360" w:lineRule="auto"/>
        <w:ind w:left="105" w:leftChars="50" w:right="105" w:rightChars="50" w:firstLine="447"/>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3.1 乙方责任</w:t>
      </w:r>
    </w:p>
    <w:p>
      <w:pPr>
        <w:pStyle w:val="8"/>
        <w:widowControl/>
        <w:tabs>
          <w:tab w:val="left" w:pos="880"/>
        </w:tabs>
        <w:spacing w:line="360" w:lineRule="auto"/>
        <w:ind w:left="105" w:leftChars="50" w:right="105" w:rightChars="50" w:firstLine="447"/>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3.1.1乙方的技术人员将对该电梯进行例行维护保养服务，确保电梯的正常、安全运行。</w:t>
      </w:r>
    </w:p>
    <w:p>
      <w:pPr>
        <w:pStyle w:val="8"/>
        <w:widowControl/>
        <w:tabs>
          <w:tab w:val="left" w:pos="880"/>
        </w:tabs>
        <w:spacing w:line="360" w:lineRule="auto"/>
        <w:ind w:left="105" w:leftChars="50" w:right="105" w:rightChars="50" w:firstLine="447"/>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3.1.2每次维修保养结束后，甲方或甲方委托的物管/指定的运营接管单位在乙方维保人员提供的维保单上签字认可。</w:t>
      </w:r>
    </w:p>
    <w:p>
      <w:pPr>
        <w:pStyle w:val="8"/>
        <w:widowControl/>
        <w:tabs>
          <w:tab w:val="left" w:pos="880"/>
        </w:tabs>
        <w:spacing w:line="360" w:lineRule="auto"/>
        <w:ind w:left="105" w:leftChars="50" w:right="105" w:rightChars="50" w:firstLine="447"/>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3.1.3如果因乙方直接原因而造成甲方设备的损坏，乙方将免费修复受损设备，并尽快恢复电梯的正常运行。</w:t>
      </w:r>
    </w:p>
    <w:p>
      <w:pPr>
        <w:pStyle w:val="8"/>
        <w:widowControl/>
        <w:tabs>
          <w:tab w:val="left" w:pos="880"/>
        </w:tabs>
        <w:spacing w:line="360" w:lineRule="auto"/>
        <w:ind w:left="105" w:leftChars="50" w:right="105" w:rightChars="50" w:firstLine="447"/>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3.1.4 如果因乙方操作不当造成甲方或者第三方人员因乙方原因（如乙方所提供的第三方电梯维保单位维修人员失职，疏忽或保养不良、维护不当等）导致电梯不能正常运行或发生安全事故并由此给甲方或第三方造成人身财产损的，乙方应当承担赔偿责任。</w:t>
      </w:r>
    </w:p>
    <w:p>
      <w:pPr>
        <w:pStyle w:val="8"/>
        <w:widowControl/>
        <w:tabs>
          <w:tab w:val="left" w:pos="880"/>
        </w:tabs>
        <w:spacing w:line="360" w:lineRule="auto"/>
        <w:ind w:left="105" w:leftChars="50" w:right="105" w:rightChars="50" w:firstLine="447"/>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3.1.5如果甲方电梯、扶梯需要在技术上有所改进时，乙方免费提供技术上的咨询建议服务。</w:t>
      </w:r>
    </w:p>
    <w:p>
      <w:pPr>
        <w:pStyle w:val="8"/>
        <w:widowControl/>
        <w:tabs>
          <w:tab w:val="left" w:pos="880"/>
        </w:tabs>
        <w:spacing w:line="360" w:lineRule="auto"/>
        <w:ind w:left="105" w:leftChars="50" w:right="105" w:rightChars="50" w:firstLine="447"/>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3.2  甲方责任</w:t>
      </w:r>
    </w:p>
    <w:p>
      <w:pPr>
        <w:pStyle w:val="8"/>
        <w:widowControl/>
        <w:tabs>
          <w:tab w:val="left" w:pos="880"/>
        </w:tabs>
        <w:spacing w:line="360" w:lineRule="auto"/>
        <w:ind w:left="105" w:leftChars="50" w:right="105" w:rightChars="50" w:firstLine="447"/>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3.2.1电梯、扶梯设备及其附属装置均为甲方拥有，甲方有保管和保护的责任，甲方应禁止任何未经许可的人员进入机房和井道。</w:t>
      </w:r>
    </w:p>
    <w:p>
      <w:pPr>
        <w:pStyle w:val="8"/>
        <w:widowControl/>
        <w:tabs>
          <w:tab w:val="left" w:pos="880"/>
        </w:tabs>
        <w:spacing w:line="360" w:lineRule="auto"/>
        <w:ind w:left="105" w:leftChars="50" w:right="105" w:rightChars="50" w:firstLine="447"/>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3.2.2在本协议有效期内，凡因甲方或第三方错误使用、电压波动、人为破坏，火灾，水湿，水浸，等非乙方产品质量原因而导致电梯、扶梯需要清理维修及更换零部件等，其费用（包括人工费及材料费）由甲方自行负担，但乙方所提供的价格不应超过市场价，否则甲方有权选择第三方进行维修和保养，其发生的相关费用直接在质保金中扣除。</w:t>
      </w:r>
    </w:p>
    <w:p>
      <w:pPr>
        <w:pStyle w:val="8"/>
        <w:widowControl/>
        <w:tabs>
          <w:tab w:val="left" w:pos="880"/>
        </w:tabs>
        <w:spacing w:line="360" w:lineRule="auto"/>
        <w:ind w:left="105" w:leftChars="50" w:right="105" w:rightChars="50" w:firstLine="447"/>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3.2.3在本协议有效期内，未得到乙方书面同意，甲方不得允许任何第三方对电梯进行维修、翻新、更改、加装等工程，否则乙方将对此而产生的后果和损失不负任何责任。</w:t>
      </w:r>
    </w:p>
    <w:p>
      <w:pPr>
        <w:pStyle w:val="8"/>
        <w:widowControl/>
        <w:tabs>
          <w:tab w:val="left" w:pos="880"/>
        </w:tabs>
        <w:spacing w:line="360" w:lineRule="auto"/>
        <w:ind w:left="105" w:leftChars="50" w:right="105" w:rightChars="50" w:firstLine="447"/>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3.2.4电梯、扶梯发生任何故障或意外，甲方应即时向乙方提供情况，以便乙方能迅速到场，乙方接到甲方通知后应在24小时内响应并恢复修理。</w:t>
      </w:r>
    </w:p>
    <w:p>
      <w:pPr>
        <w:pStyle w:val="8"/>
        <w:widowControl/>
        <w:tabs>
          <w:tab w:val="left" w:pos="880"/>
        </w:tabs>
        <w:spacing w:line="360" w:lineRule="auto"/>
        <w:ind w:left="105" w:leftChars="50" w:right="105" w:rightChars="50" w:firstLine="447"/>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3.2.5甲方对乙方呈送之维修及更换零部件（本协议中第3．2．2条规定的需要甲方承担费用的各种情况）报价，须在5个工作日内给以乙方答复，否则甲方承担因推迟设备维修而造成的后果。</w:t>
      </w:r>
    </w:p>
    <w:p>
      <w:pPr>
        <w:pStyle w:val="8"/>
        <w:widowControl/>
        <w:tabs>
          <w:tab w:val="left" w:pos="880"/>
        </w:tabs>
        <w:spacing w:line="360" w:lineRule="auto"/>
        <w:ind w:left="105" w:leftChars="50" w:right="105" w:rightChars="50" w:firstLine="447"/>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3.2.6甲方应在基站厅门旁墙上适当位置或轿厢内适当位置张贴乘客须知。</w:t>
      </w:r>
    </w:p>
    <w:p>
      <w:pPr>
        <w:pStyle w:val="8"/>
        <w:widowControl/>
        <w:tabs>
          <w:tab w:val="left" w:pos="880"/>
        </w:tabs>
        <w:spacing w:line="360" w:lineRule="auto"/>
        <w:ind w:left="105" w:leftChars="50" w:right="105" w:rightChars="50" w:firstLine="447"/>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4．付款</w:t>
      </w:r>
    </w:p>
    <w:p>
      <w:pPr>
        <w:pStyle w:val="8"/>
        <w:widowControl/>
        <w:tabs>
          <w:tab w:val="left" w:pos="880"/>
        </w:tabs>
        <w:spacing w:line="360" w:lineRule="auto"/>
        <w:ind w:left="105" w:leftChars="50" w:right="105" w:rightChars="50" w:firstLine="447"/>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4.1免费保修期内，若发生甲方必要支付费用时，（如：3．2．2在本协议有效期内，凡因甲方或第三方错误使用、电压波动、人为破坏、火灾、水湿、水浸等非乙方产品质量原因而导致电梯需要清理维修及更换零部件之费用），甲方应在乙方更换好零部件或恢复电梯运行之日起并且在甲方审核结算完成后15个工作日内将这些费用全额支付给乙方。</w:t>
      </w:r>
    </w:p>
    <w:p>
      <w:pPr>
        <w:pStyle w:val="8"/>
        <w:widowControl/>
        <w:tabs>
          <w:tab w:val="left" w:pos="880"/>
        </w:tabs>
        <w:spacing w:line="360" w:lineRule="auto"/>
        <w:ind w:left="105" w:leftChars="50" w:right="105" w:rightChars="50" w:firstLine="447"/>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4.2如果甲方未按时付款，并经乙方书面催收仍不支付时，乙方仍应提供电梯维保服务，但甲方需赔偿乙方损失。</w:t>
      </w:r>
    </w:p>
    <w:p>
      <w:pPr>
        <w:pStyle w:val="8"/>
        <w:widowControl/>
        <w:tabs>
          <w:tab w:val="left" w:pos="880"/>
        </w:tabs>
        <w:spacing w:line="360" w:lineRule="auto"/>
        <w:ind w:left="105" w:leftChars="50" w:right="105" w:rightChars="50" w:firstLine="447"/>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5．不可抗力</w:t>
      </w:r>
    </w:p>
    <w:p>
      <w:pPr>
        <w:pStyle w:val="8"/>
        <w:widowControl/>
        <w:tabs>
          <w:tab w:val="left" w:pos="880"/>
        </w:tabs>
        <w:spacing w:line="360" w:lineRule="auto"/>
        <w:ind w:left="105" w:leftChars="50" w:right="105" w:rightChars="50" w:firstLine="447"/>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如遇不可抗力因素，致使本协议无法执行，任何一方均不承担责任。</w:t>
      </w:r>
    </w:p>
    <w:p>
      <w:pPr>
        <w:pStyle w:val="8"/>
        <w:widowControl/>
        <w:tabs>
          <w:tab w:val="left" w:pos="880"/>
        </w:tabs>
        <w:spacing w:line="360" w:lineRule="auto"/>
        <w:ind w:left="105" w:leftChars="50" w:right="105" w:rightChars="50" w:firstLine="447"/>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6. 本合同一式拾份。正本伍份，甲方执肆份、乙方执壹份，副本伍份，甲方执叁份、乙方执贰份。均具同等法律效力。</w:t>
      </w:r>
    </w:p>
    <w:p>
      <w:pPr>
        <w:pStyle w:val="8"/>
        <w:widowControl/>
        <w:tabs>
          <w:tab w:val="left" w:pos="880"/>
        </w:tabs>
        <w:spacing w:line="360" w:lineRule="auto"/>
        <w:ind w:left="105" w:leftChars="50" w:right="105" w:rightChars="50" w:firstLine="447"/>
        <w:rPr>
          <w:rFonts w:hint="eastAsia" w:ascii="宋体" w:hAnsi="宋体" w:eastAsia="宋体" w:cs="宋体"/>
          <w:color w:val="auto"/>
          <w:kern w:val="0"/>
          <w:sz w:val="20"/>
          <w:szCs w:val="20"/>
          <w:highlight w:val="none"/>
        </w:rPr>
      </w:pPr>
    </w:p>
    <w:p>
      <w:pPr>
        <w:tabs>
          <w:tab w:val="left" w:pos="880"/>
        </w:tabs>
        <w:adjustRightInd w:val="0"/>
        <w:snapToGrid w:val="0"/>
        <w:spacing w:line="360" w:lineRule="auto"/>
        <w:ind w:left="105" w:leftChars="50" w:right="105" w:rightChars="50" w:firstLine="447"/>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甲方（盖章）：                            乙方（盖章）：</w:t>
      </w:r>
    </w:p>
    <w:p>
      <w:pPr>
        <w:tabs>
          <w:tab w:val="left" w:pos="880"/>
        </w:tabs>
        <w:adjustRightInd w:val="0"/>
        <w:snapToGrid w:val="0"/>
        <w:spacing w:line="360" w:lineRule="auto"/>
        <w:ind w:left="105" w:leftChars="50" w:right="105" w:rightChars="50" w:firstLine="447"/>
        <w:rPr>
          <w:rFonts w:hint="eastAsia" w:ascii="宋体" w:hAnsi="宋体" w:eastAsia="宋体" w:cs="宋体"/>
          <w:color w:val="auto"/>
          <w:sz w:val="20"/>
          <w:szCs w:val="20"/>
          <w:highlight w:val="none"/>
        </w:rPr>
      </w:pPr>
    </w:p>
    <w:p>
      <w:pPr>
        <w:tabs>
          <w:tab w:val="left" w:pos="880"/>
        </w:tabs>
        <w:adjustRightInd w:val="0"/>
        <w:snapToGrid w:val="0"/>
        <w:spacing w:line="360" w:lineRule="auto"/>
        <w:ind w:left="105" w:leftChars="50" w:right="105" w:rightChars="50" w:firstLine="447"/>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甲方法定代表人：                          乙方法定代表人：</w:t>
      </w:r>
    </w:p>
    <w:p>
      <w:pPr>
        <w:tabs>
          <w:tab w:val="left" w:pos="880"/>
        </w:tabs>
        <w:adjustRightInd w:val="0"/>
        <w:snapToGrid w:val="0"/>
        <w:spacing w:line="360" w:lineRule="auto"/>
        <w:ind w:left="105" w:leftChars="50" w:right="105" w:rightChars="50" w:firstLine="447"/>
        <w:rPr>
          <w:rFonts w:hint="eastAsia" w:ascii="宋体" w:hAnsi="宋体" w:eastAsia="宋体" w:cs="宋体"/>
          <w:color w:val="auto"/>
          <w:sz w:val="20"/>
          <w:szCs w:val="20"/>
          <w:highlight w:val="none"/>
        </w:rPr>
      </w:pPr>
    </w:p>
    <w:p>
      <w:pPr>
        <w:tabs>
          <w:tab w:val="left" w:pos="880"/>
        </w:tabs>
        <w:adjustRightInd w:val="0"/>
        <w:snapToGrid w:val="0"/>
        <w:spacing w:line="360" w:lineRule="auto"/>
        <w:ind w:left="105" w:leftChars="50" w:right="105" w:rightChars="50" w:firstLine="447"/>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委托代理人（签字）：                       委托代理人（签字）：</w:t>
      </w:r>
    </w:p>
    <w:p>
      <w:pPr>
        <w:tabs>
          <w:tab w:val="left" w:pos="880"/>
        </w:tabs>
        <w:adjustRightInd w:val="0"/>
        <w:snapToGrid w:val="0"/>
        <w:spacing w:line="360" w:lineRule="auto"/>
        <w:ind w:left="105" w:leftChars="50" w:right="105" w:rightChars="50" w:firstLine="447"/>
        <w:rPr>
          <w:rFonts w:hint="eastAsia" w:ascii="宋体" w:hAnsi="宋体" w:eastAsia="宋体" w:cs="宋体"/>
          <w:color w:val="auto"/>
          <w:sz w:val="20"/>
          <w:szCs w:val="20"/>
          <w:highlight w:val="none"/>
        </w:rPr>
      </w:pPr>
    </w:p>
    <w:p>
      <w:pPr>
        <w:tabs>
          <w:tab w:val="left" w:pos="880"/>
        </w:tabs>
        <w:spacing w:line="360" w:lineRule="auto"/>
        <w:ind w:left="105" w:leftChars="50" w:right="105" w:rightChars="50" w:firstLine="447"/>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日期：    年    月    日                   日期：    年    月    日</w:t>
      </w:r>
    </w:p>
    <w:p>
      <w:pPr>
        <w:pStyle w:val="4"/>
        <w:widowControl/>
        <w:tabs>
          <w:tab w:val="left" w:pos="880"/>
        </w:tabs>
        <w:spacing w:line="360" w:lineRule="auto"/>
        <w:ind w:left="105" w:leftChars="50" w:right="105" w:rightChars="50" w:firstLine="447"/>
        <w:rPr>
          <w:rFonts w:hint="eastAsia" w:ascii="宋体" w:hAnsi="宋体" w:eastAsia="宋体" w:cs="宋体"/>
          <w:b w:val="0"/>
          <w:bCs w:val="0"/>
          <w:color w:val="auto"/>
          <w:sz w:val="24"/>
          <w:szCs w:val="24"/>
          <w:highlight w:val="none"/>
        </w:rPr>
      </w:pPr>
      <w:r>
        <w:rPr>
          <w:rFonts w:hint="eastAsia" w:ascii="宋体" w:hAnsi="宋体" w:eastAsia="宋体" w:cs="宋体"/>
          <w:color w:val="auto"/>
          <w:sz w:val="20"/>
          <w:szCs w:val="20"/>
          <w:highlight w:val="none"/>
        </w:rPr>
        <w:br w:type="page"/>
      </w:r>
      <w:r>
        <w:rPr>
          <w:rFonts w:hint="eastAsia" w:ascii="宋体" w:hAnsi="宋体" w:eastAsia="宋体" w:cs="宋体"/>
          <w:color w:val="auto"/>
          <w:sz w:val="24"/>
          <w:szCs w:val="24"/>
          <w:highlight w:val="none"/>
          <w:lang w:val="en-US" w:eastAsia="zh-CN"/>
        </w:rPr>
        <w:t>陈庹路公交站场</w:t>
      </w:r>
      <w:bookmarkStart w:id="16" w:name="_Toc461"/>
      <w:bookmarkStart w:id="17" w:name="_Toc31533"/>
      <w:r>
        <w:rPr>
          <w:rFonts w:hint="eastAsia" w:ascii="宋体" w:hAnsi="宋体" w:eastAsia="宋体" w:cs="宋体"/>
          <w:color w:val="auto"/>
          <w:sz w:val="24"/>
          <w:szCs w:val="24"/>
          <w:highlight w:val="none"/>
        </w:rPr>
        <w:t>电梯采购及安装工程</w:t>
      </w:r>
      <w:bookmarkEnd w:id="16"/>
      <w:bookmarkEnd w:id="17"/>
    </w:p>
    <w:p>
      <w:pPr>
        <w:tabs>
          <w:tab w:val="left" w:pos="880"/>
        </w:tabs>
        <w:spacing w:line="360" w:lineRule="auto"/>
        <w:ind w:left="105" w:leftChars="50" w:right="105" w:rightChars="50" w:firstLine="447"/>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廉政协议</w:t>
      </w:r>
    </w:p>
    <w:p>
      <w:pPr>
        <w:tabs>
          <w:tab w:val="left" w:pos="880"/>
          <w:tab w:val="left" w:pos="2430"/>
          <w:tab w:val="left" w:pos="3240"/>
        </w:tabs>
        <w:topLinePunct/>
        <w:adjustRightInd w:val="0"/>
        <w:spacing w:line="360" w:lineRule="auto"/>
        <w:ind w:left="105" w:leftChars="50" w:right="105" w:rightChars="50" w:firstLine="447"/>
        <w:rPr>
          <w:rFonts w:hint="eastAsia" w:ascii="宋体" w:hAnsi="宋体" w:eastAsia="宋体" w:cs="宋体"/>
          <w:color w:val="auto"/>
          <w:sz w:val="20"/>
          <w:szCs w:val="20"/>
          <w:highlight w:val="none"/>
          <w:u w:val="single"/>
        </w:rPr>
      </w:pPr>
      <w:r>
        <w:rPr>
          <w:rFonts w:hint="eastAsia" w:ascii="宋体" w:hAnsi="宋体" w:eastAsia="宋体" w:cs="宋体"/>
          <w:color w:val="auto"/>
          <w:sz w:val="20"/>
          <w:szCs w:val="20"/>
          <w:highlight w:val="none"/>
        </w:rPr>
        <w:t>买方：</w:t>
      </w:r>
      <w:r>
        <w:rPr>
          <w:rFonts w:hint="eastAsia" w:ascii="宋体" w:hAnsi="宋体" w:eastAsia="宋体" w:cs="宋体"/>
          <w:color w:val="auto"/>
          <w:sz w:val="20"/>
          <w:szCs w:val="20"/>
          <w:highlight w:val="none"/>
          <w:u w:val="single"/>
        </w:rPr>
        <w:t>（以下简称甲方）</w:t>
      </w:r>
    </w:p>
    <w:p>
      <w:pPr>
        <w:tabs>
          <w:tab w:val="left" w:pos="880"/>
        </w:tabs>
        <w:topLinePunct/>
        <w:adjustRightInd w:val="0"/>
        <w:spacing w:line="360" w:lineRule="auto"/>
        <w:ind w:left="105" w:leftChars="50" w:right="105" w:rightChars="50" w:firstLine="447"/>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卖方：</w:t>
      </w:r>
      <w:r>
        <w:rPr>
          <w:rFonts w:hint="eastAsia" w:ascii="宋体" w:hAnsi="宋体" w:eastAsia="宋体" w:cs="宋体"/>
          <w:color w:val="auto"/>
          <w:sz w:val="20"/>
          <w:szCs w:val="20"/>
          <w:highlight w:val="none"/>
          <w:u w:val="single"/>
        </w:rPr>
        <w:t>（以下简称乙方）</w:t>
      </w:r>
    </w:p>
    <w:p>
      <w:pPr>
        <w:tabs>
          <w:tab w:val="left" w:pos="880"/>
        </w:tabs>
        <w:spacing w:line="360" w:lineRule="auto"/>
        <w:ind w:left="105" w:leftChars="50" w:right="105" w:rightChars="50" w:firstLine="447"/>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为加强项目建设过程中的廉政建设，确保廉洁高效开展各项工作，圆满完成工程建设任务，按照相关法律法规，签订本廉政协议。</w:t>
      </w:r>
    </w:p>
    <w:p>
      <w:pPr>
        <w:tabs>
          <w:tab w:val="left" w:pos="880"/>
          <w:tab w:val="left" w:pos="1740"/>
        </w:tabs>
        <w:spacing w:line="360" w:lineRule="auto"/>
        <w:ind w:left="105" w:leftChars="50" w:right="105" w:rightChars="50" w:firstLine="447"/>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一、甲方及其工作人员义务</w:t>
      </w:r>
    </w:p>
    <w:p>
      <w:pPr>
        <w:tabs>
          <w:tab w:val="left" w:pos="880"/>
          <w:tab w:val="left" w:pos="1740"/>
        </w:tabs>
        <w:spacing w:line="360" w:lineRule="auto"/>
        <w:ind w:left="105" w:leftChars="50" w:right="105" w:rightChars="50" w:firstLine="447"/>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（一）在工程建设管理过程中，严格遵守相关法律法规、强制性标准和合同约定，不利用职务便利，获取个人利益。</w:t>
      </w:r>
    </w:p>
    <w:p>
      <w:pPr>
        <w:widowControl/>
        <w:tabs>
          <w:tab w:val="left" w:pos="880"/>
        </w:tabs>
        <w:spacing w:line="360" w:lineRule="auto"/>
        <w:ind w:left="105" w:leftChars="50" w:right="105" w:rightChars="50" w:firstLine="447"/>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（二）不以任何方式向乙方索要或收受现金、礼品和有价证券等任何形式的财物。</w:t>
      </w:r>
    </w:p>
    <w:p>
      <w:pPr>
        <w:widowControl/>
        <w:tabs>
          <w:tab w:val="left" w:pos="880"/>
        </w:tabs>
        <w:spacing w:line="360" w:lineRule="auto"/>
        <w:ind w:left="105" w:leftChars="50" w:right="105" w:rightChars="50" w:firstLine="447"/>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（三）不要求或接受乙方为住房装修、婚丧嫁娶、亲属的工作安排等私人事务提乙方便。</w:t>
      </w:r>
    </w:p>
    <w:p>
      <w:pPr>
        <w:widowControl/>
        <w:tabs>
          <w:tab w:val="left" w:pos="880"/>
        </w:tabs>
        <w:spacing w:line="360" w:lineRule="auto"/>
        <w:ind w:left="105" w:leftChars="50" w:right="105" w:rightChars="50" w:firstLine="447"/>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（四）不要求或接受乙方购置或者提供通讯、交通工具以及高档办公用品等物品。</w:t>
      </w:r>
    </w:p>
    <w:p>
      <w:pPr>
        <w:widowControl/>
        <w:tabs>
          <w:tab w:val="left" w:pos="880"/>
        </w:tabs>
        <w:spacing w:line="360" w:lineRule="auto"/>
        <w:ind w:left="105" w:leftChars="50" w:right="105" w:rightChars="50" w:firstLine="447"/>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（五）不要求或接受乙方承担任何应由个人支付的费用。</w:t>
      </w:r>
    </w:p>
    <w:p>
      <w:pPr>
        <w:widowControl/>
        <w:tabs>
          <w:tab w:val="left" w:pos="880"/>
        </w:tabs>
        <w:spacing w:line="360" w:lineRule="auto"/>
        <w:ind w:left="105" w:leftChars="50" w:right="105" w:rightChars="50" w:firstLine="447"/>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（六）不参加乙方安排的外出旅游、宴请、高消费娱乐和有利益来往的不健康活动（如色情服务、赌博等）等。</w:t>
      </w:r>
    </w:p>
    <w:p>
      <w:pPr>
        <w:widowControl/>
        <w:tabs>
          <w:tab w:val="left" w:pos="880"/>
        </w:tabs>
        <w:spacing w:line="360" w:lineRule="auto"/>
        <w:ind w:left="105" w:leftChars="50" w:right="105" w:rightChars="50" w:firstLine="447"/>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（七）不向乙方介绍家属或者亲友等特定关系人从事与工程有关的材料设备供应、工程分包等经济活动。</w:t>
      </w:r>
    </w:p>
    <w:p>
      <w:pPr>
        <w:tabs>
          <w:tab w:val="left" w:pos="880"/>
          <w:tab w:val="left" w:pos="1740"/>
        </w:tabs>
        <w:spacing w:line="360" w:lineRule="auto"/>
        <w:ind w:left="105" w:leftChars="50" w:right="105" w:rightChars="50" w:firstLine="447"/>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（八）不为谋取私利违规与乙方就工程分包、费用结算、材料设备供应、工程量变动、签证、核定、设计变更以及质量、进度、安全问题处理等进行私下商谈或者达成默契。</w:t>
      </w:r>
    </w:p>
    <w:p>
      <w:pPr>
        <w:tabs>
          <w:tab w:val="left" w:pos="880"/>
          <w:tab w:val="left" w:pos="1740"/>
        </w:tabs>
        <w:spacing w:line="360" w:lineRule="auto"/>
        <w:ind w:left="105" w:leftChars="50" w:right="105" w:rightChars="50" w:firstLine="447"/>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二、乙方及其工作人员义务</w:t>
      </w:r>
    </w:p>
    <w:p>
      <w:pPr>
        <w:tabs>
          <w:tab w:val="left" w:pos="880"/>
          <w:tab w:val="left" w:pos="1740"/>
        </w:tabs>
        <w:spacing w:line="360" w:lineRule="auto"/>
        <w:ind w:left="105" w:leftChars="50" w:right="105" w:rightChars="50" w:firstLine="447"/>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（一）严格按照相关法律法规、强制性标准、合同约定和设计图纸施工，不以任何理由、任何方式贿赂甲方、监理单位及其工作人员。</w:t>
      </w:r>
    </w:p>
    <w:p>
      <w:pPr>
        <w:widowControl/>
        <w:tabs>
          <w:tab w:val="left" w:pos="880"/>
        </w:tabs>
        <w:spacing w:line="360" w:lineRule="auto"/>
        <w:ind w:left="105" w:leftChars="50" w:right="105" w:rightChars="50" w:firstLine="447"/>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（二）不以任何方式向甲方、监理单位及其工作人员馈赠现金、礼品、有价证券等任何形式的财物。</w:t>
      </w:r>
    </w:p>
    <w:p>
      <w:pPr>
        <w:widowControl/>
        <w:tabs>
          <w:tab w:val="left" w:pos="880"/>
        </w:tabs>
        <w:spacing w:line="360" w:lineRule="auto"/>
        <w:ind w:left="105" w:leftChars="50" w:right="105" w:rightChars="50" w:firstLine="447"/>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（三）不为甲方、监理单位及其工作人员购置或者提供通讯、交通工具以及高档办公用品等物品。</w:t>
      </w:r>
    </w:p>
    <w:p>
      <w:pPr>
        <w:widowControl/>
        <w:tabs>
          <w:tab w:val="left" w:pos="880"/>
        </w:tabs>
        <w:spacing w:line="360" w:lineRule="auto"/>
        <w:ind w:left="105" w:leftChars="50" w:right="105" w:rightChars="50" w:firstLine="447"/>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（四）不以任何理由安排甲方、监理单位工作人员参加外出旅游、宴请、高消费娱乐和有利益来往的不健康活动（如色情服务、赌博等）等。</w:t>
      </w:r>
    </w:p>
    <w:p>
      <w:pPr>
        <w:widowControl/>
        <w:tabs>
          <w:tab w:val="left" w:pos="880"/>
        </w:tabs>
        <w:spacing w:line="360" w:lineRule="auto"/>
        <w:ind w:left="105" w:leftChars="50" w:right="105" w:rightChars="50" w:firstLine="447"/>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（五）不安排甲方、监理单位工作人员的家属或者亲友等特定关系人从事与工程有关的材料设备供应、工程分包等经济活动。</w:t>
      </w:r>
    </w:p>
    <w:p>
      <w:pPr>
        <w:tabs>
          <w:tab w:val="left" w:pos="880"/>
          <w:tab w:val="left" w:pos="1740"/>
        </w:tabs>
        <w:spacing w:line="360" w:lineRule="auto"/>
        <w:ind w:left="105" w:leftChars="50" w:right="105" w:rightChars="50" w:firstLine="447"/>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（六）不为谋取不正当利益违规与甲方、监理单位及其工作人员就工程分包、费用结算、材料设备供应、工程量变动、签证、核定、设计变更以及质量、进度、安全问题处理等进行私下商谈或者达成默契。</w:t>
      </w:r>
    </w:p>
    <w:p>
      <w:pPr>
        <w:tabs>
          <w:tab w:val="left" w:pos="880"/>
          <w:tab w:val="left" w:pos="1740"/>
        </w:tabs>
        <w:spacing w:line="360" w:lineRule="auto"/>
        <w:ind w:left="105" w:leftChars="50" w:right="105" w:rightChars="50" w:firstLine="447"/>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（七）对甲方、监理单位及其工作人员在执行职务过程中发生的贪污、受贿等违法违纪行为，乙方有权利和义务向甲方及其上级主管部门或纪检监察部门投诉、举报，并如实积极协</w:t>
      </w:r>
      <w:r>
        <w:rPr>
          <w:rFonts w:hint="eastAsia" w:ascii="宋体" w:hAnsi="宋体" w:eastAsia="宋体" w:cs="宋体"/>
          <w:snapToGrid w:val="0"/>
          <w:color w:val="auto"/>
          <w:sz w:val="20"/>
          <w:szCs w:val="20"/>
          <w:highlight w:val="none"/>
        </w:rPr>
        <w:t>助配</w:t>
      </w:r>
      <w:r>
        <w:rPr>
          <w:rFonts w:hint="eastAsia" w:ascii="宋体" w:hAnsi="宋体" w:eastAsia="宋体" w:cs="宋体"/>
          <w:color w:val="auto"/>
          <w:sz w:val="20"/>
          <w:szCs w:val="20"/>
          <w:highlight w:val="none"/>
        </w:rPr>
        <w:t>合调查。</w:t>
      </w:r>
    </w:p>
    <w:p>
      <w:pPr>
        <w:tabs>
          <w:tab w:val="left" w:pos="880"/>
          <w:tab w:val="left" w:pos="1740"/>
        </w:tabs>
        <w:spacing w:line="360" w:lineRule="auto"/>
        <w:ind w:left="105" w:leftChars="50" w:right="105" w:rightChars="50" w:firstLine="447"/>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三、违约责任</w:t>
      </w:r>
    </w:p>
    <w:p>
      <w:pPr>
        <w:tabs>
          <w:tab w:val="left" w:pos="880"/>
          <w:tab w:val="left" w:pos="1740"/>
        </w:tabs>
        <w:spacing w:line="360" w:lineRule="auto"/>
        <w:ind w:left="105" w:leftChars="50" w:right="105" w:rightChars="50" w:firstLine="447"/>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（一）甲方及其工作人员违反本协议约定，严格按照国家法律法规的有关规定进行严肃查处，构成犯罪的，移送司法机关依法处理。</w:t>
      </w:r>
    </w:p>
    <w:p>
      <w:pPr>
        <w:tabs>
          <w:tab w:val="left" w:pos="880"/>
          <w:tab w:val="left" w:pos="1740"/>
        </w:tabs>
        <w:spacing w:line="360" w:lineRule="auto"/>
        <w:ind w:left="105" w:leftChars="50" w:right="105" w:rightChars="50" w:firstLine="447"/>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二）乙方及其工作人员违反本协议的上述约定即构成违约，乙方承诺向甲方支付所涉金额的五倍作为违约金，若产生严重后果或造成重大影响，甲方有权单方解除合同、取消业务往来。如由此给甲方造成损失，由乙方承担全部经济赔偿责任和法律责任。</w:t>
      </w:r>
    </w:p>
    <w:p>
      <w:pPr>
        <w:tabs>
          <w:tab w:val="left" w:pos="880"/>
        </w:tabs>
        <w:adjustRightInd w:val="0"/>
        <w:snapToGrid w:val="0"/>
        <w:spacing w:line="360" w:lineRule="auto"/>
        <w:ind w:left="105" w:leftChars="50" w:right="105" w:rightChars="50" w:firstLine="447"/>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四、本协议经立协双方签字、盖章有效，作为合同正本的附件一式拾份正本伍份，甲方执叄份、乙方执贰份；副本伍份，甲方执肆份，乙方执壹份。均具同等法律效力。当副本和正本不一致时，以正本为准。</w:t>
      </w:r>
    </w:p>
    <w:p>
      <w:pPr>
        <w:tabs>
          <w:tab w:val="left" w:pos="880"/>
        </w:tabs>
        <w:adjustRightInd w:val="0"/>
        <w:snapToGrid w:val="0"/>
        <w:spacing w:line="360" w:lineRule="auto"/>
        <w:ind w:left="105" w:leftChars="50" w:right="105" w:rightChars="50" w:firstLine="447"/>
        <w:rPr>
          <w:rFonts w:hint="eastAsia" w:ascii="宋体" w:hAnsi="宋体" w:eastAsia="宋体" w:cs="宋体"/>
          <w:color w:val="auto"/>
          <w:sz w:val="20"/>
          <w:szCs w:val="20"/>
          <w:highlight w:val="none"/>
        </w:rPr>
      </w:pPr>
    </w:p>
    <w:p>
      <w:pPr>
        <w:tabs>
          <w:tab w:val="left" w:pos="880"/>
        </w:tabs>
        <w:adjustRightInd w:val="0"/>
        <w:snapToGrid w:val="0"/>
        <w:spacing w:line="360" w:lineRule="auto"/>
        <w:ind w:left="105" w:leftChars="50" w:right="105" w:rightChars="50" w:firstLine="447"/>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甲方（盖章）：                            乙方（盖章）：</w:t>
      </w:r>
    </w:p>
    <w:p>
      <w:pPr>
        <w:tabs>
          <w:tab w:val="left" w:pos="880"/>
        </w:tabs>
        <w:adjustRightInd w:val="0"/>
        <w:snapToGrid w:val="0"/>
        <w:spacing w:line="360" w:lineRule="auto"/>
        <w:ind w:left="105" w:leftChars="50" w:right="105" w:rightChars="50" w:firstLine="447"/>
        <w:rPr>
          <w:rFonts w:hint="eastAsia" w:ascii="宋体" w:hAnsi="宋体" w:eastAsia="宋体" w:cs="宋体"/>
          <w:color w:val="auto"/>
          <w:sz w:val="20"/>
          <w:szCs w:val="20"/>
          <w:highlight w:val="none"/>
        </w:rPr>
      </w:pPr>
    </w:p>
    <w:p>
      <w:pPr>
        <w:tabs>
          <w:tab w:val="left" w:pos="880"/>
        </w:tabs>
        <w:adjustRightInd w:val="0"/>
        <w:snapToGrid w:val="0"/>
        <w:spacing w:line="360" w:lineRule="auto"/>
        <w:ind w:left="105" w:leftChars="50" w:right="105" w:rightChars="50" w:firstLine="447"/>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甲方法定代表人：                          乙方法定代表人：</w:t>
      </w:r>
    </w:p>
    <w:p>
      <w:pPr>
        <w:tabs>
          <w:tab w:val="left" w:pos="880"/>
        </w:tabs>
        <w:adjustRightInd w:val="0"/>
        <w:snapToGrid w:val="0"/>
        <w:spacing w:line="360" w:lineRule="auto"/>
        <w:ind w:left="105" w:leftChars="50" w:right="105" w:rightChars="50" w:firstLine="447"/>
        <w:rPr>
          <w:rFonts w:hint="eastAsia" w:ascii="宋体" w:hAnsi="宋体" w:eastAsia="宋体" w:cs="宋体"/>
          <w:color w:val="auto"/>
          <w:sz w:val="20"/>
          <w:szCs w:val="20"/>
          <w:highlight w:val="none"/>
        </w:rPr>
      </w:pPr>
    </w:p>
    <w:p>
      <w:pPr>
        <w:tabs>
          <w:tab w:val="left" w:pos="880"/>
        </w:tabs>
        <w:adjustRightInd w:val="0"/>
        <w:snapToGrid w:val="0"/>
        <w:spacing w:line="360" w:lineRule="auto"/>
        <w:ind w:left="105" w:leftChars="50" w:right="105" w:rightChars="50" w:firstLine="447"/>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委托代理人（签字）：                       委托代理人（签字）：</w:t>
      </w:r>
    </w:p>
    <w:p>
      <w:pPr>
        <w:tabs>
          <w:tab w:val="left" w:pos="880"/>
        </w:tabs>
        <w:adjustRightInd w:val="0"/>
        <w:snapToGrid w:val="0"/>
        <w:spacing w:line="360" w:lineRule="auto"/>
        <w:ind w:left="105" w:leftChars="50" w:right="105" w:rightChars="50" w:firstLine="447"/>
        <w:rPr>
          <w:rFonts w:hint="eastAsia" w:ascii="宋体" w:hAnsi="宋体" w:eastAsia="宋体" w:cs="宋体"/>
          <w:color w:val="auto"/>
          <w:sz w:val="20"/>
          <w:szCs w:val="20"/>
          <w:highlight w:val="none"/>
        </w:rPr>
      </w:pPr>
    </w:p>
    <w:p>
      <w:pPr>
        <w:tabs>
          <w:tab w:val="left" w:pos="880"/>
        </w:tabs>
        <w:spacing w:line="360" w:lineRule="auto"/>
        <w:ind w:left="105" w:leftChars="50" w:right="105" w:rightChars="50" w:firstLine="447"/>
        <w:jc w:val="left"/>
        <w:rPr>
          <w:rFonts w:hint="eastAsia" w:ascii="宋体" w:hAnsi="宋体" w:eastAsia="宋体" w:cs="宋体"/>
          <w:color w:val="auto"/>
          <w:sz w:val="40"/>
          <w:szCs w:val="21"/>
          <w:highlight w:val="none"/>
        </w:rPr>
        <w:sectPr>
          <w:pgSz w:w="11910" w:h="16850"/>
          <w:pgMar w:top="1560" w:right="1150" w:bottom="1160" w:left="860" w:header="0" w:footer="881" w:gutter="0"/>
          <w:pgNumType w:fmt="decimal"/>
          <w:cols w:space="720" w:num="1"/>
        </w:sectPr>
      </w:pPr>
      <w:r>
        <w:rPr>
          <w:rFonts w:hint="eastAsia" w:ascii="宋体" w:hAnsi="宋体" w:eastAsia="宋体" w:cs="宋体"/>
          <w:color w:val="auto"/>
          <w:sz w:val="20"/>
          <w:szCs w:val="20"/>
          <w:highlight w:val="none"/>
        </w:rPr>
        <w:t>日期：    年    月    日                   日期：    年    月    日</w:t>
      </w:r>
    </w:p>
    <w:tbl>
      <w:tblPr>
        <w:tblStyle w:val="11"/>
        <w:tblW w:w="15546" w:type="dxa"/>
        <w:tblInd w:w="0" w:type="dxa"/>
        <w:tblLayout w:type="fixed"/>
        <w:tblCellMar>
          <w:top w:w="0" w:type="dxa"/>
          <w:left w:w="108" w:type="dxa"/>
          <w:bottom w:w="0" w:type="dxa"/>
          <w:right w:w="108" w:type="dxa"/>
        </w:tblCellMar>
      </w:tblPr>
      <w:tblGrid>
        <w:gridCol w:w="93"/>
        <w:gridCol w:w="373"/>
        <w:gridCol w:w="776"/>
        <w:gridCol w:w="1276"/>
        <w:gridCol w:w="851"/>
        <w:gridCol w:w="655"/>
        <w:gridCol w:w="1120"/>
        <w:gridCol w:w="1134"/>
        <w:gridCol w:w="1276"/>
        <w:gridCol w:w="1417"/>
        <w:gridCol w:w="993"/>
        <w:gridCol w:w="1059"/>
        <w:gridCol w:w="1067"/>
        <w:gridCol w:w="1059"/>
        <w:gridCol w:w="1418"/>
        <w:gridCol w:w="521"/>
        <w:gridCol w:w="458"/>
      </w:tblGrid>
      <w:tr>
        <w:tblPrEx>
          <w:tblCellMar>
            <w:top w:w="0" w:type="dxa"/>
            <w:left w:w="108" w:type="dxa"/>
            <w:bottom w:w="0" w:type="dxa"/>
            <w:right w:w="108" w:type="dxa"/>
          </w:tblCellMar>
        </w:tblPrEx>
        <w:trPr>
          <w:gridBefore w:val="1"/>
          <w:gridAfter w:val="1"/>
          <w:wBefore w:w="93" w:type="dxa"/>
          <w:wAfter w:w="458" w:type="dxa"/>
          <w:trHeight w:val="437" w:hRule="atLeast"/>
        </w:trPr>
        <w:tc>
          <w:tcPr>
            <w:tcW w:w="14995" w:type="dxa"/>
            <w:gridSpan w:val="15"/>
            <w:tcBorders>
              <w:top w:val="nil"/>
              <w:left w:val="nil"/>
              <w:bottom w:val="nil"/>
              <w:right w:val="nil"/>
            </w:tcBorders>
            <w:noWrap w:val="0"/>
            <w:vAlign w:val="center"/>
          </w:tcPr>
          <w:p>
            <w:pPr>
              <w:jc w:val="left"/>
              <w:rPr>
                <w:rFonts w:hint="eastAsia" w:ascii="宋体" w:hAnsi="宋体" w:eastAsia="宋体" w:cs="宋体"/>
                <w:bCs/>
                <w:color w:val="auto"/>
                <w:kern w:val="0"/>
                <w:sz w:val="36"/>
                <w:szCs w:val="36"/>
                <w:lang w:val="en-US" w:eastAsia="zh-CN"/>
              </w:rPr>
            </w:pPr>
            <w:bookmarkStart w:id="18" w:name="_Toc259794612"/>
            <w:bookmarkStart w:id="19" w:name="_Toc221412105"/>
            <w:bookmarkStart w:id="20" w:name="_Toc221412187"/>
            <w:bookmarkStart w:id="21" w:name="_Toc221412731"/>
            <w:bookmarkStart w:id="22" w:name="_Toc247007202"/>
            <w:r>
              <w:rPr>
                <w:rFonts w:hint="eastAsia"/>
                <w:b/>
                <w:bCs/>
                <w:color w:val="auto"/>
                <w:sz w:val="26"/>
                <w:szCs w:val="26"/>
                <w:lang w:val="en-US" w:eastAsia="zh-CN"/>
              </w:rPr>
              <w:t>附件5：</w:t>
            </w:r>
            <w:r>
              <w:rPr>
                <w:rFonts w:hint="eastAsia"/>
                <w:b/>
                <w:bCs/>
                <w:color w:val="auto"/>
                <w:sz w:val="26"/>
                <w:szCs w:val="26"/>
              </w:rPr>
              <w:t>电梯基本参数表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466" w:type="dxa"/>
            <w:gridSpan w:val="2"/>
            <w:noWrap w:val="0"/>
            <w:vAlign w:val="center"/>
          </w:tcPr>
          <w:p>
            <w:pPr>
              <w:jc w:val="left"/>
              <w:rPr>
                <w:rFonts w:hint="eastAsia" w:ascii="宋体" w:hAnsi="宋体"/>
                <w:color w:val="auto"/>
                <w:sz w:val="18"/>
              </w:rPr>
            </w:pPr>
            <w:r>
              <w:rPr>
                <w:rFonts w:hint="eastAsia" w:ascii="宋体" w:hAnsi="宋体"/>
                <w:color w:val="auto"/>
                <w:sz w:val="18"/>
              </w:rPr>
              <w:t>序号</w:t>
            </w:r>
          </w:p>
        </w:tc>
        <w:tc>
          <w:tcPr>
            <w:tcW w:w="776" w:type="dxa"/>
            <w:noWrap w:val="0"/>
            <w:vAlign w:val="center"/>
          </w:tcPr>
          <w:p>
            <w:pPr>
              <w:jc w:val="left"/>
              <w:rPr>
                <w:rFonts w:hint="eastAsia" w:ascii="宋体" w:hAnsi="宋体"/>
                <w:color w:val="auto"/>
                <w:sz w:val="18"/>
              </w:rPr>
            </w:pPr>
            <w:r>
              <w:rPr>
                <w:rFonts w:hint="eastAsia" w:ascii="宋体" w:hAnsi="宋体"/>
                <w:color w:val="auto"/>
                <w:sz w:val="18"/>
              </w:rPr>
              <w:t>设备代号</w:t>
            </w:r>
          </w:p>
        </w:tc>
        <w:tc>
          <w:tcPr>
            <w:tcW w:w="1276" w:type="dxa"/>
            <w:noWrap w:val="0"/>
            <w:vAlign w:val="center"/>
          </w:tcPr>
          <w:p>
            <w:pPr>
              <w:jc w:val="left"/>
              <w:rPr>
                <w:rFonts w:hint="eastAsia" w:ascii="宋体" w:hAnsi="宋体"/>
                <w:color w:val="auto"/>
                <w:sz w:val="18"/>
              </w:rPr>
            </w:pPr>
            <w:r>
              <w:rPr>
                <w:rFonts w:hint="eastAsia" w:ascii="宋体" w:hAnsi="宋体"/>
                <w:color w:val="auto"/>
                <w:sz w:val="18"/>
              </w:rPr>
              <w:t>安装位置</w:t>
            </w:r>
          </w:p>
        </w:tc>
        <w:tc>
          <w:tcPr>
            <w:tcW w:w="851" w:type="dxa"/>
            <w:noWrap w:val="0"/>
            <w:vAlign w:val="center"/>
          </w:tcPr>
          <w:p>
            <w:pPr>
              <w:jc w:val="left"/>
              <w:rPr>
                <w:rFonts w:hint="default" w:ascii="宋体" w:hAnsi="宋体" w:eastAsia="宋体"/>
                <w:color w:val="auto"/>
                <w:sz w:val="18"/>
                <w:lang w:val="en-US" w:eastAsia="zh-CN"/>
              </w:rPr>
            </w:pPr>
            <w:r>
              <w:rPr>
                <w:rFonts w:hint="eastAsia" w:ascii="宋体" w:hAnsi="宋体"/>
                <w:color w:val="auto"/>
                <w:sz w:val="18"/>
                <w:lang w:val="en-US" w:eastAsia="zh-CN"/>
              </w:rPr>
              <w:t>梯型</w:t>
            </w:r>
          </w:p>
        </w:tc>
        <w:tc>
          <w:tcPr>
            <w:tcW w:w="655" w:type="dxa"/>
            <w:noWrap w:val="0"/>
            <w:vAlign w:val="center"/>
          </w:tcPr>
          <w:p>
            <w:pPr>
              <w:jc w:val="left"/>
              <w:rPr>
                <w:rFonts w:hint="eastAsia" w:ascii="宋体" w:hAnsi="宋体"/>
                <w:color w:val="auto"/>
                <w:sz w:val="18"/>
              </w:rPr>
            </w:pPr>
            <w:r>
              <w:rPr>
                <w:rFonts w:hint="eastAsia" w:ascii="宋体" w:hAnsi="宋体"/>
                <w:color w:val="auto"/>
                <w:sz w:val="18"/>
              </w:rPr>
              <w:t>有无机房</w:t>
            </w:r>
          </w:p>
        </w:tc>
        <w:tc>
          <w:tcPr>
            <w:tcW w:w="1120" w:type="dxa"/>
            <w:noWrap w:val="0"/>
            <w:vAlign w:val="center"/>
          </w:tcPr>
          <w:p>
            <w:pPr>
              <w:jc w:val="left"/>
              <w:rPr>
                <w:rFonts w:hint="eastAsia" w:ascii="宋体" w:hAnsi="宋体"/>
                <w:color w:val="auto"/>
                <w:sz w:val="18"/>
              </w:rPr>
            </w:pPr>
            <w:r>
              <w:rPr>
                <w:rFonts w:hint="eastAsia" w:ascii="宋体" w:hAnsi="宋体"/>
                <w:color w:val="auto"/>
                <w:sz w:val="18"/>
              </w:rPr>
              <w:t>井道尺寸mm</w:t>
            </w:r>
          </w:p>
          <w:p>
            <w:pPr>
              <w:jc w:val="left"/>
              <w:rPr>
                <w:rFonts w:hint="eastAsia" w:ascii="宋体" w:hAnsi="宋体"/>
                <w:color w:val="auto"/>
                <w:sz w:val="18"/>
              </w:rPr>
            </w:pPr>
            <w:r>
              <w:rPr>
                <w:rFonts w:hint="eastAsia" w:ascii="宋体" w:hAnsi="宋体"/>
                <w:color w:val="auto"/>
                <w:sz w:val="18"/>
              </w:rPr>
              <w:t>（宽×深）</w:t>
            </w:r>
          </w:p>
        </w:tc>
        <w:tc>
          <w:tcPr>
            <w:tcW w:w="1134" w:type="dxa"/>
            <w:noWrap w:val="0"/>
            <w:vAlign w:val="center"/>
          </w:tcPr>
          <w:p>
            <w:pPr>
              <w:jc w:val="left"/>
              <w:rPr>
                <w:rFonts w:hint="eastAsia" w:ascii="宋体" w:hAnsi="宋体"/>
                <w:color w:val="auto"/>
                <w:sz w:val="18"/>
              </w:rPr>
            </w:pPr>
            <w:r>
              <w:rPr>
                <w:rFonts w:hint="eastAsia" w:ascii="宋体" w:hAnsi="宋体"/>
                <w:color w:val="auto"/>
                <w:sz w:val="18"/>
              </w:rPr>
              <w:t>基坑深（米）</w:t>
            </w:r>
          </w:p>
        </w:tc>
        <w:tc>
          <w:tcPr>
            <w:tcW w:w="1276" w:type="dxa"/>
            <w:noWrap w:val="0"/>
            <w:vAlign w:val="center"/>
          </w:tcPr>
          <w:p>
            <w:pPr>
              <w:jc w:val="left"/>
              <w:rPr>
                <w:rFonts w:hint="eastAsia" w:ascii="宋体" w:hAnsi="宋体"/>
                <w:color w:val="auto"/>
                <w:sz w:val="18"/>
              </w:rPr>
            </w:pPr>
            <w:r>
              <w:rPr>
                <w:rFonts w:hint="eastAsia" w:ascii="宋体" w:hAnsi="宋体"/>
                <w:color w:val="auto"/>
                <w:sz w:val="18"/>
              </w:rPr>
              <w:t>门洞预留尺寸（mm）</w:t>
            </w:r>
          </w:p>
        </w:tc>
        <w:tc>
          <w:tcPr>
            <w:tcW w:w="1417" w:type="dxa"/>
            <w:noWrap w:val="0"/>
            <w:vAlign w:val="center"/>
          </w:tcPr>
          <w:p>
            <w:pPr>
              <w:jc w:val="left"/>
              <w:rPr>
                <w:rFonts w:hint="eastAsia" w:ascii="宋体" w:hAnsi="宋体"/>
                <w:color w:val="auto"/>
                <w:sz w:val="18"/>
              </w:rPr>
            </w:pPr>
            <w:r>
              <w:rPr>
                <w:rFonts w:hint="eastAsia" w:ascii="宋体" w:hAnsi="宋体"/>
                <w:color w:val="auto"/>
                <w:sz w:val="18"/>
              </w:rPr>
              <w:t>开门尺寸</w:t>
            </w:r>
          </w:p>
        </w:tc>
        <w:tc>
          <w:tcPr>
            <w:tcW w:w="993" w:type="dxa"/>
            <w:noWrap w:val="0"/>
            <w:vAlign w:val="center"/>
          </w:tcPr>
          <w:p>
            <w:pPr>
              <w:jc w:val="left"/>
              <w:rPr>
                <w:rFonts w:hint="eastAsia" w:ascii="宋体" w:hAnsi="宋体"/>
                <w:color w:val="auto"/>
                <w:sz w:val="18"/>
              </w:rPr>
            </w:pPr>
            <w:r>
              <w:rPr>
                <w:rFonts w:hint="eastAsia" w:ascii="宋体" w:hAnsi="宋体"/>
                <w:color w:val="auto"/>
                <w:sz w:val="18"/>
              </w:rPr>
              <w:t>层站数</w:t>
            </w:r>
          </w:p>
        </w:tc>
        <w:tc>
          <w:tcPr>
            <w:tcW w:w="1059" w:type="dxa"/>
            <w:noWrap w:val="0"/>
            <w:vAlign w:val="center"/>
          </w:tcPr>
          <w:p>
            <w:pPr>
              <w:jc w:val="left"/>
              <w:rPr>
                <w:rFonts w:hint="eastAsia" w:ascii="宋体" w:hAnsi="宋体"/>
                <w:color w:val="auto"/>
                <w:sz w:val="18"/>
              </w:rPr>
            </w:pPr>
            <w:r>
              <w:rPr>
                <w:rFonts w:hint="eastAsia" w:ascii="宋体" w:hAnsi="宋体"/>
                <w:color w:val="auto"/>
                <w:sz w:val="18"/>
              </w:rPr>
              <w:t>提升高度（米）</w:t>
            </w:r>
          </w:p>
        </w:tc>
        <w:tc>
          <w:tcPr>
            <w:tcW w:w="1067" w:type="dxa"/>
            <w:noWrap w:val="0"/>
            <w:vAlign w:val="center"/>
          </w:tcPr>
          <w:p>
            <w:pPr>
              <w:jc w:val="left"/>
              <w:rPr>
                <w:rFonts w:hint="eastAsia" w:ascii="宋体" w:hAnsi="宋体"/>
                <w:color w:val="auto"/>
                <w:sz w:val="18"/>
              </w:rPr>
            </w:pPr>
            <w:r>
              <w:rPr>
                <w:rFonts w:hint="eastAsia" w:ascii="宋体" w:hAnsi="宋体"/>
                <w:color w:val="auto"/>
                <w:sz w:val="18"/>
              </w:rPr>
              <w:t>轿厢类型</w:t>
            </w:r>
          </w:p>
        </w:tc>
        <w:tc>
          <w:tcPr>
            <w:tcW w:w="1059" w:type="dxa"/>
            <w:noWrap w:val="0"/>
            <w:vAlign w:val="center"/>
          </w:tcPr>
          <w:p>
            <w:pPr>
              <w:jc w:val="left"/>
              <w:rPr>
                <w:rFonts w:hint="eastAsia" w:ascii="宋体" w:hAnsi="宋体"/>
                <w:color w:val="auto"/>
                <w:sz w:val="18"/>
              </w:rPr>
            </w:pPr>
            <w:r>
              <w:rPr>
                <w:rFonts w:hint="eastAsia" w:ascii="宋体" w:hAnsi="宋体"/>
                <w:color w:val="auto"/>
                <w:sz w:val="18"/>
              </w:rPr>
              <w:t>额定速度不小于（米／秒）</w:t>
            </w:r>
          </w:p>
        </w:tc>
        <w:tc>
          <w:tcPr>
            <w:tcW w:w="1418" w:type="dxa"/>
            <w:noWrap w:val="0"/>
            <w:vAlign w:val="center"/>
          </w:tcPr>
          <w:p>
            <w:pPr>
              <w:jc w:val="left"/>
              <w:rPr>
                <w:rFonts w:hint="eastAsia" w:ascii="宋体" w:hAnsi="宋体"/>
                <w:color w:val="auto"/>
                <w:sz w:val="18"/>
              </w:rPr>
            </w:pPr>
            <w:r>
              <w:rPr>
                <w:rFonts w:hint="eastAsia" w:ascii="宋体" w:hAnsi="宋体"/>
                <w:color w:val="auto"/>
                <w:sz w:val="18"/>
              </w:rPr>
              <w:t>额定载重量KG(人）</w:t>
            </w:r>
          </w:p>
        </w:tc>
        <w:tc>
          <w:tcPr>
            <w:tcW w:w="979" w:type="dxa"/>
            <w:gridSpan w:val="2"/>
            <w:noWrap w:val="0"/>
            <w:vAlign w:val="center"/>
          </w:tcPr>
          <w:p>
            <w:pPr>
              <w:jc w:val="left"/>
              <w:rPr>
                <w:rFonts w:hint="eastAsia" w:ascii="宋体" w:hAnsi="宋体"/>
                <w:color w:val="auto"/>
                <w:sz w:val="18"/>
              </w:rPr>
            </w:pPr>
            <w:r>
              <w:rPr>
                <w:rFonts w:hint="eastAsia" w:ascii="宋体" w:hAnsi="宋体"/>
                <w:color w:val="auto"/>
                <w:sz w:val="18"/>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3" w:hRule="atLeast"/>
        </w:trPr>
        <w:tc>
          <w:tcPr>
            <w:tcW w:w="466" w:type="dxa"/>
            <w:gridSpan w:val="2"/>
            <w:noWrap w:val="0"/>
            <w:vAlign w:val="center"/>
          </w:tcPr>
          <w:p>
            <w:pPr>
              <w:jc w:val="left"/>
              <w:rPr>
                <w:rFonts w:hint="eastAsia" w:ascii="宋体" w:hAnsi="宋体"/>
                <w:color w:val="auto"/>
                <w:sz w:val="18"/>
              </w:rPr>
            </w:pPr>
            <w:r>
              <w:rPr>
                <w:rFonts w:hint="eastAsia" w:ascii="宋体" w:hAnsi="宋体"/>
                <w:color w:val="auto"/>
                <w:sz w:val="18"/>
              </w:rPr>
              <w:t>1</w:t>
            </w:r>
          </w:p>
        </w:tc>
        <w:tc>
          <w:tcPr>
            <w:tcW w:w="776" w:type="dxa"/>
            <w:noWrap w:val="0"/>
            <w:vAlign w:val="center"/>
          </w:tcPr>
          <w:p>
            <w:pPr>
              <w:jc w:val="left"/>
              <w:rPr>
                <w:rFonts w:hint="eastAsia" w:ascii="宋体" w:hAnsi="宋体"/>
                <w:color w:val="auto"/>
                <w:sz w:val="18"/>
              </w:rPr>
            </w:pPr>
            <w:r>
              <w:rPr>
                <w:rFonts w:hint="eastAsia" w:ascii="宋体" w:hAnsi="宋体"/>
                <w:color w:val="auto"/>
                <w:sz w:val="18"/>
              </w:rPr>
              <w:t>DT1</w:t>
            </w:r>
          </w:p>
          <w:p>
            <w:pPr>
              <w:jc w:val="left"/>
              <w:rPr>
                <w:rFonts w:hint="eastAsia" w:ascii="宋体" w:hAnsi="宋体"/>
                <w:color w:val="auto"/>
                <w:sz w:val="18"/>
              </w:rPr>
            </w:pPr>
          </w:p>
        </w:tc>
        <w:tc>
          <w:tcPr>
            <w:tcW w:w="1276" w:type="dxa"/>
            <w:noWrap w:val="0"/>
            <w:vAlign w:val="center"/>
          </w:tcPr>
          <w:p>
            <w:pPr>
              <w:jc w:val="left"/>
              <w:rPr>
                <w:rFonts w:hint="eastAsia" w:ascii="宋体" w:hAnsi="宋体"/>
                <w:color w:val="auto"/>
                <w:sz w:val="18"/>
              </w:rPr>
            </w:pPr>
            <w:r>
              <w:rPr>
                <w:rFonts w:hint="eastAsia" w:ascii="宋体" w:hAnsi="宋体"/>
                <w:color w:val="auto"/>
                <w:sz w:val="18"/>
              </w:rPr>
              <w:t>位于综合楼4轴交H-J轴，从1层提升至10层</w:t>
            </w:r>
          </w:p>
        </w:tc>
        <w:tc>
          <w:tcPr>
            <w:tcW w:w="851" w:type="dxa"/>
            <w:noWrap w:val="0"/>
            <w:vAlign w:val="center"/>
          </w:tcPr>
          <w:p>
            <w:pPr>
              <w:jc w:val="left"/>
              <w:rPr>
                <w:rFonts w:hint="eastAsia" w:ascii="宋体" w:hAnsi="宋体"/>
                <w:color w:val="auto"/>
                <w:sz w:val="18"/>
              </w:rPr>
            </w:pPr>
            <w:r>
              <w:rPr>
                <w:rFonts w:hint="eastAsia" w:ascii="宋体" w:hAnsi="宋体"/>
                <w:color w:val="auto"/>
                <w:sz w:val="18"/>
              </w:rPr>
              <w:t>消防电梯/兼货梯/兼无障碍电梯</w:t>
            </w:r>
          </w:p>
        </w:tc>
        <w:tc>
          <w:tcPr>
            <w:tcW w:w="655" w:type="dxa"/>
            <w:noWrap w:val="0"/>
            <w:vAlign w:val="center"/>
          </w:tcPr>
          <w:p>
            <w:pPr>
              <w:jc w:val="left"/>
              <w:rPr>
                <w:rFonts w:hint="eastAsia" w:ascii="宋体" w:hAnsi="宋体"/>
                <w:color w:val="auto"/>
                <w:sz w:val="18"/>
              </w:rPr>
            </w:pPr>
            <w:r>
              <w:rPr>
                <w:rFonts w:hint="eastAsia" w:ascii="宋体" w:hAnsi="宋体"/>
                <w:color w:val="auto"/>
                <w:sz w:val="18"/>
              </w:rPr>
              <w:t>有机房</w:t>
            </w:r>
          </w:p>
        </w:tc>
        <w:tc>
          <w:tcPr>
            <w:tcW w:w="1120" w:type="dxa"/>
            <w:noWrap w:val="0"/>
            <w:vAlign w:val="center"/>
          </w:tcPr>
          <w:p>
            <w:pPr>
              <w:jc w:val="left"/>
              <w:rPr>
                <w:rFonts w:hint="eastAsia" w:ascii="宋体" w:hAnsi="宋体"/>
                <w:color w:val="auto"/>
                <w:sz w:val="18"/>
              </w:rPr>
            </w:pPr>
            <w:r>
              <w:rPr>
                <w:rFonts w:hint="eastAsia" w:ascii="宋体" w:hAnsi="宋体"/>
                <w:color w:val="auto"/>
                <w:sz w:val="18"/>
              </w:rPr>
              <w:t>2</w:t>
            </w:r>
            <w:r>
              <w:rPr>
                <w:rFonts w:ascii="宋体" w:hAnsi="宋体"/>
                <w:color w:val="auto"/>
                <w:sz w:val="18"/>
              </w:rPr>
              <w:t>2</w:t>
            </w:r>
            <w:r>
              <w:rPr>
                <w:rFonts w:hint="eastAsia" w:ascii="宋体" w:hAnsi="宋体"/>
                <w:color w:val="auto"/>
                <w:sz w:val="18"/>
              </w:rPr>
              <w:t>00x</w:t>
            </w:r>
            <w:r>
              <w:rPr>
                <w:rFonts w:ascii="宋体" w:hAnsi="宋体"/>
                <w:color w:val="auto"/>
                <w:sz w:val="18"/>
              </w:rPr>
              <w:t>2300</w:t>
            </w:r>
          </w:p>
        </w:tc>
        <w:tc>
          <w:tcPr>
            <w:tcW w:w="1134" w:type="dxa"/>
            <w:noWrap w:val="0"/>
            <w:vAlign w:val="center"/>
          </w:tcPr>
          <w:p>
            <w:pPr>
              <w:jc w:val="left"/>
              <w:rPr>
                <w:rFonts w:hint="eastAsia" w:ascii="宋体" w:hAnsi="宋体"/>
                <w:color w:val="auto"/>
                <w:sz w:val="18"/>
              </w:rPr>
            </w:pPr>
            <w:r>
              <w:rPr>
                <w:rFonts w:ascii="宋体" w:hAnsi="宋体"/>
                <w:color w:val="auto"/>
                <w:sz w:val="18"/>
              </w:rPr>
              <w:t>2.0</w:t>
            </w:r>
          </w:p>
        </w:tc>
        <w:tc>
          <w:tcPr>
            <w:tcW w:w="1276" w:type="dxa"/>
            <w:noWrap w:val="0"/>
            <w:vAlign w:val="center"/>
          </w:tcPr>
          <w:p>
            <w:pPr>
              <w:jc w:val="left"/>
              <w:rPr>
                <w:rFonts w:hint="eastAsia" w:ascii="宋体" w:hAnsi="宋体"/>
                <w:color w:val="auto"/>
                <w:sz w:val="18"/>
              </w:rPr>
            </w:pPr>
            <w:r>
              <w:rPr>
                <w:rFonts w:hint="eastAsia" w:ascii="宋体" w:hAnsi="宋体"/>
                <w:color w:val="auto"/>
                <w:sz w:val="18"/>
              </w:rPr>
              <w:t>1</w:t>
            </w:r>
            <w:r>
              <w:rPr>
                <w:rFonts w:ascii="宋体" w:hAnsi="宋体"/>
                <w:color w:val="auto"/>
                <w:sz w:val="18"/>
              </w:rPr>
              <w:t>1</w:t>
            </w:r>
            <w:r>
              <w:rPr>
                <w:rFonts w:hint="eastAsia" w:ascii="宋体" w:hAnsi="宋体"/>
                <w:color w:val="auto"/>
                <w:sz w:val="18"/>
              </w:rPr>
              <w:t>00mm*22</w:t>
            </w:r>
            <w:r>
              <w:rPr>
                <w:rFonts w:ascii="宋体" w:hAnsi="宋体"/>
                <w:color w:val="auto"/>
                <w:sz w:val="18"/>
              </w:rPr>
              <w:t>0</w:t>
            </w:r>
            <w:r>
              <w:rPr>
                <w:rFonts w:hint="eastAsia" w:ascii="宋体" w:hAnsi="宋体"/>
                <w:color w:val="auto"/>
                <w:sz w:val="18"/>
              </w:rPr>
              <w:t>0mm</w:t>
            </w:r>
          </w:p>
        </w:tc>
        <w:tc>
          <w:tcPr>
            <w:tcW w:w="1417" w:type="dxa"/>
            <w:noWrap w:val="0"/>
            <w:vAlign w:val="center"/>
          </w:tcPr>
          <w:p>
            <w:pPr>
              <w:jc w:val="left"/>
              <w:rPr>
                <w:rFonts w:hint="eastAsia" w:ascii="宋体" w:hAnsi="宋体"/>
                <w:color w:val="auto"/>
                <w:sz w:val="18"/>
              </w:rPr>
            </w:pPr>
            <w:r>
              <w:rPr>
                <w:rFonts w:hint="eastAsia" w:ascii="宋体" w:hAnsi="宋体"/>
                <w:color w:val="auto"/>
                <w:sz w:val="18"/>
              </w:rPr>
              <w:t>西侧</w:t>
            </w:r>
            <w:r>
              <w:rPr>
                <w:rFonts w:ascii="宋体" w:hAnsi="宋体"/>
                <w:color w:val="auto"/>
                <w:sz w:val="18"/>
              </w:rPr>
              <w:t>23</w:t>
            </w:r>
            <w:r>
              <w:rPr>
                <w:rFonts w:hint="eastAsia" w:ascii="宋体" w:hAnsi="宋体"/>
                <w:color w:val="auto"/>
                <w:sz w:val="18"/>
              </w:rPr>
              <w:t>00宽度方向开门。       梯门尺寸为</w:t>
            </w:r>
            <w:r>
              <w:rPr>
                <w:rFonts w:ascii="宋体" w:hAnsi="宋体"/>
                <w:color w:val="auto"/>
                <w:sz w:val="18"/>
              </w:rPr>
              <w:t>9</w:t>
            </w:r>
            <w:r>
              <w:rPr>
                <w:rFonts w:hint="eastAsia" w:ascii="宋体" w:hAnsi="宋体"/>
                <w:color w:val="auto"/>
                <w:sz w:val="18"/>
              </w:rPr>
              <w:t>00mm*2100mm</w:t>
            </w:r>
          </w:p>
        </w:tc>
        <w:tc>
          <w:tcPr>
            <w:tcW w:w="993" w:type="dxa"/>
            <w:noWrap w:val="0"/>
            <w:vAlign w:val="center"/>
          </w:tcPr>
          <w:p>
            <w:pPr>
              <w:jc w:val="left"/>
              <w:rPr>
                <w:rFonts w:hint="eastAsia" w:ascii="宋体" w:hAnsi="宋体"/>
                <w:color w:val="auto"/>
                <w:sz w:val="18"/>
              </w:rPr>
            </w:pPr>
            <w:r>
              <w:rPr>
                <w:rFonts w:ascii="宋体" w:hAnsi="宋体"/>
                <w:color w:val="auto"/>
                <w:sz w:val="18"/>
              </w:rPr>
              <w:t>10</w:t>
            </w:r>
            <w:r>
              <w:rPr>
                <w:rFonts w:hint="eastAsia" w:ascii="宋体" w:hAnsi="宋体"/>
                <w:color w:val="auto"/>
                <w:sz w:val="18"/>
              </w:rPr>
              <w:t>层</w:t>
            </w:r>
            <w:r>
              <w:rPr>
                <w:rFonts w:ascii="宋体" w:hAnsi="宋体"/>
                <w:color w:val="auto"/>
                <w:sz w:val="18"/>
              </w:rPr>
              <w:t>10</w:t>
            </w:r>
            <w:r>
              <w:rPr>
                <w:rFonts w:hint="eastAsia" w:ascii="宋体" w:hAnsi="宋体"/>
                <w:color w:val="auto"/>
                <w:sz w:val="18"/>
              </w:rPr>
              <w:t>站</w:t>
            </w:r>
          </w:p>
        </w:tc>
        <w:tc>
          <w:tcPr>
            <w:tcW w:w="1059" w:type="dxa"/>
            <w:noWrap w:val="0"/>
            <w:vAlign w:val="center"/>
          </w:tcPr>
          <w:p>
            <w:pPr>
              <w:jc w:val="left"/>
              <w:rPr>
                <w:rFonts w:hint="eastAsia" w:ascii="宋体" w:hAnsi="宋体"/>
                <w:color w:val="auto"/>
                <w:sz w:val="18"/>
              </w:rPr>
            </w:pPr>
            <w:r>
              <w:rPr>
                <w:rFonts w:ascii="宋体" w:hAnsi="宋体"/>
                <w:color w:val="auto"/>
                <w:sz w:val="18"/>
              </w:rPr>
              <w:t>37.4</w:t>
            </w:r>
          </w:p>
        </w:tc>
        <w:tc>
          <w:tcPr>
            <w:tcW w:w="1067" w:type="dxa"/>
            <w:noWrap w:val="0"/>
            <w:vAlign w:val="center"/>
          </w:tcPr>
          <w:p>
            <w:pPr>
              <w:jc w:val="left"/>
              <w:rPr>
                <w:rFonts w:hint="eastAsia" w:ascii="宋体" w:hAnsi="宋体"/>
                <w:color w:val="auto"/>
                <w:sz w:val="18"/>
              </w:rPr>
            </w:pPr>
            <w:r>
              <w:rPr>
                <w:rFonts w:hint="eastAsia" w:ascii="宋体" w:hAnsi="宋体"/>
                <w:color w:val="auto"/>
                <w:sz w:val="18"/>
              </w:rPr>
              <w:t>满足消防电梯需求</w:t>
            </w:r>
          </w:p>
        </w:tc>
        <w:tc>
          <w:tcPr>
            <w:tcW w:w="1059" w:type="dxa"/>
            <w:noWrap w:val="0"/>
            <w:vAlign w:val="center"/>
          </w:tcPr>
          <w:p>
            <w:pPr>
              <w:jc w:val="center"/>
              <w:rPr>
                <w:rFonts w:hint="default" w:ascii="宋体" w:hAnsi="宋体" w:eastAsia="宋体"/>
                <w:color w:val="auto"/>
                <w:sz w:val="18"/>
                <w:lang w:val="en-US" w:eastAsia="zh-CN"/>
              </w:rPr>
            </w:pPr>
            <w:r>
              <w:rPr>
                <w:rFonts w:hint="eastAsia" w:ascii="宋体" w:hAnsi="宋体"/>
                <w:color w:val="auto"/>
                <w:sz w:val="18"/>
                <w:lang w:val="en-US" w:eastAsia="zh-CN"/>
              </w:rPr>
              <w:t>1.5</w:t>
            </w:r>
          </w:p>
        </w:tc>
        <w:tc>
          <w:tcPr>
            <w:tcW w:w="1418" w:type="dxa"/>
            <w:noWrap w:val="0"/>
            <w:vAlign w:val="center"/>
          </w:tcPr>
          <w:p>
            <w:pPr>
              <w:jc w:val="center"/>
              <w:rPr>
                <w:rFonts w:hint="eastAsia" w:ascii="宋体" w:hAnsi="宋体"/>
                <w:color w:val="auto"/>
                <w:sz w:val="18"/>
              </w:rPr>
            </w:pPr>
            <w:r>
              <w:rPr>
                <w:rFonts w:ascii="宋体" w:hAnsi="宋体"/>
                <w:color w:val="auto"/>
                <w:sz w:val="18"/>
              </w:rPr>
              <w:t>10</w:t>
            </w:r>
            <w:r>
              <w:rPr>
                <w:rFonts w:hint="eastAsia" w:ascii="宋体" w:hAnsi="宋体"/>
                <w:color w:val="auto"/>
                <w:sz w:val="18"/>
              </w:rPr>
              <w:t>00KG</w:t>
            </w:r>
            <w:r>
              <w:rPr>
                <w:rFonts w:hint="eastAsia" w:ascii="宋体" w:hAnsi="宋体"/>
                <w:color w:val="auto"/>
                <w:sz w:val="18"/>
                <w:lang w:eastAsia="zh-CN"/>
              </w:rPr>
              <w:t>（</w:t>
            </w:r>
            <w:r>
              <w:rPr>
                <w:rFonts w:hint="eastAsia" w:ascii="宋体" w:hAnsi="宋体"/>
                <w:color w:val="auto"/>
                <w:sz w:val="18"/>
                <w:lang w:val="en-US" w:eastAsia="zh-CN"/>
              </w:rPr>
              <w:t>10人</w:t>
            </w:r>
            <w:r>
              <w:rPr>
                <w:rFonts w:hint="eastAsia" w:ascii="宋体" w:hAnsi="宋体"/>
                <w:color w:val="auto"/>
                <w:sz w:val="18"/>
                <w:lang w:eastAsia="zh-CN"/>
              </w:rPr>
              <w:t>）</w:t>
            </w:r>
          </w:p>
        </w:tc>
        <w:tc>
          <w:tcPr>
            <w:tcW w:w="979" w:type="dxa"/>
            <w:gridSpan w:val="2"/>
            <w:noWrap w:val="0"/>
            <w:vAlign w:val="center"/>
          </w:tcPr>
          <w:p>
            <w:pPr>
              <w:jc w:val="center"/>
              <w:rPr>
                <w:rFonts w:hint="eastAsia" w:ascii="宋体" w:hAnsi="宋体"/>
                <w:color w:val="auto"/>
                <w:sz w:val="18"/>
              </w:rPr>
            </w:pPr>
            <w:r>
              <w:rPr>
                <w:rFonts w:hint="eastAsia" w:ascii="宋体" w:hAnsi="宋体"/>
                <w:color w:val="auto"/>
                <w:sz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1" w:hRule="atLeast"/>
        </w:trPr>
        <w:tc>
          <w:tcPr>
            <w:tcW w:w="466" w:type="dxa"/>
            <w:gridSpan w:val="2"/>
            <w:noWrap w:val="0"/>
            <w:vAlign w:val="center"/>
          </w:tcPr>
          <w:p>
            <w:pPr>
              <w:jc w:val="left"/>
              <w:rPr>
                <w:rFonts w:hint="eastAsia" w:ascii="宋体" w:hAnsi="宋体"/>
                <w:color w:val="auto"/>
                <w:sz w:val="18"/>
              </w:rPr>
            </w:pPr>
            <w:r>
              <w:rPr>
                <w:rFonts w:hint="eastAsia" w:ascii="宋体" w:hAnsi="宋体"/>
                <w:color w:val="auto"/>
                <w:sz w:val="18"/>
              </w:rPr>
              <w:t>2</w:t>
            </w:r>
          </w:p>
        </w:tc>
        <w:tc>
          <w:tcPr>
            <w:tcW w:w="776" w:type="dxa"/>
            <w:noWrap w:val="0"/>
            <w:vAlign w:val="center"/>
          </w:tcPr>
          <w:p>
            <w:pPr>
              <w:jc w:val="left"/>
              <w:rPr>
                <w:rFonts w:hint="eastAsia" w:ascii="宋体" w:hAnsi="宋体"/>
                <w:color w:val="auto"/>
                <w:sz w:val="18"/>
              </w:rPr>
            </w:pPr>
            <w:r>
              <w:rPr>
                <w:rFonts w:hint="eastAsia" w:ascii="宋体" w:hAnsi="宋体"/>
                <w:color w:val="auto"/>
                <w:sz w:val="18"/>
              </w:rPr>
              <w:t>DT2</w:t>
            </w:r>
          </w:p>
        </w:tc>
        <w:tc>
          <w:tcPr>
            <w:tcW w:w="1276" w:type="dxa"/>
            <w:noWrap w:val="0"/>
            <w:vAlign w:val="center"/>
          </w:tcPr>
          <w:p>
            <w:pPr>
              <w:jc w:val="left"/>
              <w:rPr>
                <w:rFonts w:hint="eastAsia" w:ascii="宋体" w:hAnsi="宋体"/>
                <w:color w:val="auto"/>
                <w:sz w:val="18"/>
              </w:rPr>
            </w:pPr>
            <w:r>
              <w:rPr>
                <w:rFonts w:hint="eastAsia" w:ascii="宋体" w:hAnsi="宋体"/>
                <w:color w:val="auto"/>
                <w:sz w:val="18"/>
              </w:rPr>
              <w:t>位于综合楼4轴交H-J轴，从1层提升至10层</w:t>
            </w:r>
          </w:p>
        </w:tc>
        <w:tc>
          <w:tcPr>
            <w:tcW w:w="851" w:type="dxa"/>
            <w:noWrap w:val="0"/>
            <w:vAlign w:val="center"/>
          </w:tcPr>
          <w:p>
            <w:pPr>
              <w:jc w:val="left"/>
              <w:rPr>
                <w:rFonts w:hint="eastAsia" w:ascii="宋体" w:hAnsi="宋体"/>
                <w:color w:val="auto"/>
                <w:sz w:val="18"/>
              </w:rPr>
            </w:pPr>
            <w:r>
              <w:rPr>
                <w:rFonts w:hint="eastAsia" w:ascii="宋体" w:hAnsi="宋体"/>
                <w:color w:val="auto"/>
                <w:sz w:val="18"/>
              </w:rPr>
              <w:t>客梯/兼担架电梯</w:t>
            </w:r>
          </w:p>
        </w:tc>
        <w:tc>
          <w:tcPr>
            <w:tcW w:w="655" w:type="dxa"/>
            <w:noWrap w:val="0"/>
            <w:vAlign w:val="center"/>
          </w:tcPr>
          <w:p>
            <w:pPr>
              <w:jc w:val="left"/>
              <w:rPr>
                <w:rFonts w:hint="eastAsia" w:ascii="宋体" w:hAnsi="宋体"/>
                <w:color w:val="auto"/>
                <w:sz w:val="18"/>
              </w:rPr>
            </w:pPr>
            <w:r>
              <w:rPr>
                <w:rFonts w:hint="eastAsia" w:ascii="宋体" w:hAnsi="宋体"/>
                <w:color w:val="auto"/>
                <w:sz w:val="18"/>
              </w:rPr>
              <w:t>有机房</w:t>
            </w:r>
          </w:p>
        </w:tc>
        <w:tc>
          <w:tcPr>
            <w:tcW w:w="1120" w:type="dxa"/>
            <w:noWrap w:val="0"/>
            <w:vAlign w:val="center"/>
          </w:tcPr>
          <w:p>
            <w:pPr>
              <w:jc w:val="left"/>
              <w:rPr>
                <w:rFonts w:hint="eastAsia" w:ascii="宋体" w:hAnsi="宋体"/>
                <w:color w:val="auto"/>
                <w:sz w:val="18"/>
              </w:rPr>
            </w:pPr>
            <w:r>
              <w:rPr>
                <w:rFonts w:hint="eastAsia" w:ascii="宋体" w:hAnsi="宋体"/>
                <w:color w:val="auto"/>
                <w:sz w:val="18"/>
              </w:rPr>
              <w:t>2</w:t>
            </w:r>
            <w:r>
              <w:rPr>
                <w:rFonts w:ascii="宋体" w:hAnsi="宋体"/>
                <w:color w:val="auto"/>
                <w:sz w:val="18"/>
              </w:rPr>
              <w:t>2</w:t>
            </w:r>
            <w:r>
              <w:rPr>
                <w:rFonts w:hint="eastAsia" w:ascii="宋体" w:hAnsi="宋体"/>
                <w:color w:val="auto"/>
                <w:sz w:val="18"/>
              </w:rPr>
              <w:t>00x</w:t>
            </w:r>
            <w:r>
              <w:rPr>
                <w:rFonts w:ascii="宋体" w:hAnsi="宋体"/>
                <w:color w:val="auto"/>
                <w:sz w:val="18"/>
              </w:rPr>
              <w:t>2250</w:t>
            </w:r>
          </w:p>
        </w:tc>
        <w:tc>
          <w:tcPr>
            <w:tcW w:w="1134" w:type="dxa"/>
            <w:noWrap w:val="0"/>
            <w:vAlign w:val="center"/>
          </w:tcPr>
          <w:p>
            <w:pPr>
              <w:jc w:val="left"/>
              <w:rPr>
                <w:rFonts w:hint="eastAsia" w:ascii="宋体" w:hAnsi="宋体"/>
                <w:color w:val="auto"/>
                <w:sz w:val="18"/>
              </w:rPr>
            </w:pPr>
            <w:r>
              <w:rPr>
                <w:rFonts w:ascii="宋体" w:hAnsi="宋体"/>
                <w:color w:val="auto"/>
                <w:sz w:val="18"/>
              </w:rPr>
              <w:t>2.0</w:t>
            </w:r>
          </w:p>
        </w:tc>
        <w:tc>
          <w:tcPr>
            <w:tcW w:w="1276" w:type="dxa"/>
            <w:noWrap w:val="0"/>
            <w:vAlign w:val="center"/>
          </w:tcPr>
          <w:p>
            <w:pPr>
              <w:jc w:val="left"/>
              <w:rPr>
                <w:rFonts w:hint="eastAsia" w:ascii="宋体" w:hAnsi="宋体"/>
                <w:color w:val="auto"/>
                <w:sz w:val="18"/>
              </w:rPr>
            </w:pPr>
            <w:r>
              <w:rPr>
                <w:rFonts w:hint="eastAsia" w:ascii="宋体" w:hAnsi="宋体"/>
                <w:color w:val="auto"/>
                <w:sz w:val="18"/>
              </w:rPr>
              <w:t>1</w:t>
            </w:r>
            <w:r>
              <w:rPr>
                <w:rFonts w:ascii="宋体" w:hAnsi="宋体"/>
                <w:color w:val="auto"/>
                <w:sz w:val="18"/>
              </w:rPr>
              <w:t>1</w:t>
            </w:r>
            <w:r>
              <w:rPr>
                <w:rFonts w:hint="eastAsia" w:ascii="宋体" w:hAnsi="宋体"/>
                <w:color w:val="auto"/>
                <w:sz w:val="18"/>
              </w:rPr>
              <w:t>00mm*22</w:t>
            </w:r>
            <w:r>
              <w:rPr>
                <w:rFonts w:ascii="宋体" w:hAnsi="宋体"/>
                <w:color w:val="auto"/>
                <w:sz w:val="18"/>
              </w:rPr>
              <w:t>0</w:t>
            </w:r>
            <w:r>
              <w:rPr>
                <w:rFonts w:hint="eastAsia" w:ascii="宋体" w:hAnsi="宋体"/>
                <w:color w:val="auto"/>
                <w:sz w:val="18"/>
              </w:rPr>
              <w:t>0mm</w:t>
            </w:r>
          </w:p>
        </w:tc>
        <w:tc>
          <w:tcPr>
            <w:tcW w:w="1417" w:type="dxa"/>
            <w:noWrap w:val="0"/>
            <w:vAlign w:val="center"/>
          </w:tcPr>
          <w:p>
            <w:pPr>
              <w:jc w:val="left"/>
              <w:rPr>
                <w:rFonts w:hint="eastAsia" w:ascii="宋体" w:hAnsi="宋体"/>
                <w:color w:val="auto"/>
                <w:sz w:val="18"/>
              </w:rPr>
            </w:pPr>
            <w:r>
              <w:rPr>
                <w:rFonts w:hint="eastAsia" w:ascii="宋体" w:hAnsi="宋体"/>
                <w:color w:val="auto"/>
                <w:sz w:val="18"/>
              </w:rPr>
              <w:t>东侧</w:t>
            </w:r>
            <w:r>
              <w:rPr>
                <w:rFonts w:ascii="宋体" w:hAnsi="宋体"/>
                <w:color w:val="auto"/>
                <w:sz w:val="18"/>
              </w:rPr>
              <w:t>225</w:t>
            </w:r>
            <w:r>
              <w:rPr>
                <w:rFonts w:hint="eastAsia" w:ascii="宋体" w:hAnsi="宋体"/>
                <w:color w:val="auto"/>
                <w:sz w:val="18"/>
              </w:rPr>
              <w:t>0宽度方向开门。       梯门尺寸为</w:t>
            </w:r>
            <w:r>
              <w:rPr>
                <w:rFonts w:ascii="宋体" w:hAnsi="宋体"/>
                <w:color w:val="auto"/>
                <w:sz w:val="18"/>
              </w:rPr>
              <w:t>9</w:t>
            </w:r>
            <w:r>
              <w:rPr>
                <w:rFonts w:hint="eastAsia" w:ascii="宋体" w:hAnsi="宋体"/>
                <w:color w:val="auto"/>
                <w:sz w:val="18"/>
              </w:rPr>
              <w:t>00mm*2100mm</w:t>
            </w:r>
          </w:p>
        </w:tc>
        <w:tc>
          <w:tcPr>
            <w:tcW w:w="993" w:type="dxa"/>
            <w:noWrap w:val="0"/>
            <w:vAlign w:val="center"/>
          </w:tcPr>
          <w:p>
            <w:pPr>
              <w:jc w:val="left"/>
              <w:rPr>
                <w:rFonts w:hint="eastAsia" w:ascii="宋体" w:hAnsi="宋体"/>
                <w:color w:val="auto"/>
                <w:sz w:val="18"/>
              </w:rPr>
            </w:pPr>
            <w:r>
              <w:rPr>
                <w:rFonts w:ascii="宋体" w:hAnsi="宋体"/>
                <w:color w:val="auto"/>
                <w:sz w:val="18"/>
              </w:rPr>
              <w:t>10</w:t>
            </w:r>
            <w:r>
              <w:rPr>
                <w:rFonts w:hint="eastAsia" w:ascii="宋体" w:hAnsi="宋体"/>
                <w:color w:val="auto"/>
                <w:sz w:val="18"/>
              </w:rPr>
              <w:t>层</w:t>
            </w:r>
            <w:r>
              <w:rPr>
                <w:rFonts w:ascii="宋体" w:hAnsi="宋体"/>
                <w:color w:val="auto"/>
                <w:sz w:val="18"/>
              </w:rPr>
              <w:t>10</w:t>
            </w:r>
            <w:r>
              <w:rPr>
                <w:rFonts w:hint="eastAsia" w:ascii="宋体" w:hAnsi="宋体"/>
                <w:color w:val="auto"/>
                <w:sz w:val="18"/>
              </w:rPr>
              <w:t>站</w:t>
            </w:r>
          </w:p>
        </w:tc>
        <w:tc>
          <w:tcPr>
            <w:tcW w:w="1059" w:type="dxa"/>
            <w:noWrap w:val="0"/>
            <w:vAlign w:val="center"/>
          </w:tcPr>
          <w:p>
            <w:pPr>
              <w:jc w:val="left"/>
              <w:rPr>
                <w:rFonts w:hint="eastAsia" w:ascii="宋体" w:hAnsi="宋体"/>
                <w:color w:val="auto"/>
                <w:sz w:val="18"/>
              </w:rPr>
            </w:pPr>
            <w:r>
              <w:rPr>
                <w:rFonts w:ascii="宋体" w:hAnsi="宋体"/>
                <w:color w:val="auto"/>
                <w:sz w:val="18"/>
              </w:rPr>
              <w:t>37.4</w:t>
            </w:r>
          </w:p>
        </w:tc>
        <w:tc>
          <w:tcPr>
            <w:tcW w:w="1067" w:type="dxa"/>
            <w:noWrap w:val="0"/>
            <w:vAlign w:val="center"/>
          </w:tcPr>
          <w:p>
            <w:pPr>
              <w:jc w:val="left"/>
              <w:rPr>
                <w:rFonts w:hint="eastAsia" w:ascii="宋体" w:hAnsi="宋体"/>
                <w:color w:val="auto"/>
                <w:sz w:val="18"/>
              </w:rPr>
            </w:pPr>
            <w:r>
              <w:rPr>
                <w:rFonts w:hint="eastAsia" w:ascii="宋体" w:hAnsi="宋体"/>
                <w:color w:val="auto"/>
                <w:sz w:val="18"/>
              </w:rPr>
              <w:t>普通</w:t>
            </w:r>
          </w:p>
        </w:tc>
        <w:tc>
          <w:tcPr>
            <w:tcW w:w="1059" w:type="dxa"/>
            <w:noWrap w:val="0"/>
            <w:vAlign w:val="center"/>
          </w:tcPr>
          <w:p>
            <w:pPr>
              <w:jc w:val="center"/>
              <w:rPr>
                <w:rFonts w:hint="default" w:ascii="宋体" w:hAnsi="宋体" w:eastAsia="宋体"/>
                <w:color w:val="auto"/>
                <w:sz w:val="18"/>
                <w:lang w:val="en-US" w:eastAsia="zh-CN"/>
              </w:rPr>
            </w:pPr>
            <w:r>
              <w:rPr>
                <w:rFonts w:hint="eastAsia" w:ascii="宋体" w:hAnsi="宋体"/>
                <w:color w:val="auto"/>
                <w:sz w:val="18"/>
                <w:lang w:val="en-US" w:eastAsia="zh-CN"/>
              </w:rPr>
              <w:t>1.5</w:t>
            </w:r>
          </w:p>
        </w:tc>
        <w:tc>
          <w:tcPr>
            <w:tcW w:w="1418" w:type="dxa"/>
            <w:noWrap w:val="0"/>
            <w:vAlign w:val="center"/>
          </w:tcPr>
          <w:p>
            <w:pPr>
              <w:jc w:val="center"/>
              <w:rPr>
                <w:rFonts w:hint="eastAsia" w:ascii="宋体" w:hAnsi="宋体"/>
                <w:color w:val="auto"/>
                <w:sz w:val="18"/>
              </w:rPr>
            </w:pPr>
            <w:r>
              <w:rPr>
                <w:rFonts w:ascii="宋体" w:hAnsi="宋体"/>
                <w:color w:val="auto"/>
                <w:sz w:val="18"/>
              </w:rPr>
              <w:t>10</w:t>
            </w:r>
            <w:r>
              <w:rPr>
                <w:rFonts w:hint="eastAsia" w:ascii="宋体" w:hAnsi="宋体"/>
                <w:color w:val="auto"/>
                <w:sz w:val="18"/>
              </w:rPr>
              <w:t>00KG</w:t>
            </w:r>
            <w:r>
              <w:rPr>
                <w:rFonts w:hint="eastAsia" w:ascii="宋体" w:hAnsi="宋体"/>
                <w:color w:val="auto"/>
                <w:sz w:val="18"/>
                <w:lang w:eastAsia="zh-CN"/>
              </w:rPr>
              <w:t>（</w:t>
            </w:r>
            <w:r>
              <w:rPr>
                <w:rFonts w:hint="eastAsia" w:ascii="宋体" w:hAnsi="宋体"/>
                <w:color w:val="auto"/>
                <w:sz w:val="18"/>
                <w:lang w:val="en-US" w:eastAsia="zh-CN"/>
              </w:rPr>
              <w:t>10人</w:t>
            </w:r>
            <w:r>
              <w:rPr>
                <w:rFonts w:hint="eastAsia" w:ascii="宋体" w:hAnsi="宋体"/>
                <w:color w:val="auto"/>
                <w:sz w:val="18"/>
                <w:lang w:eastAsia="zh-CN"/>
              </w:rPr>
              <w:t>）</w:t>
            </w:r>
          </w:p>
        </w:tc>
        <w:tc>
          <w:tcPr>
            <w:tcW w:w="979" w:type="dxa"/>
            <w:gridSpan w:val="2"/>
            <w:noWrap w:val="0"/>
            <w:vAlign w:val="center"/>
          </w:tcPr>
          <w:p>
            <w:pPr>
              <w:jc w:val="center"/>
              <w:rPr>
                <w:rFonts w:hint="eastAsia" w:ascii="宋体" w:hAnsi="宋体"/>
                <w:color w:val="auto"/>
                <w:sz w:val="18"/>
              </w:rPr>
            </w:pPr>
            <w:r>
              <w:rPr>
                <w:rFonts w:hint="eastAsia" w:ascii="宋体" w:hAnsi="宋体"/>
                <w:color w:val="auto"/>
                <w:sz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466" w:type="dxa"/>
            <w:gridSpan w:val="2"/>
            <w:noWrap w:val="0"/>
            <w:vAlign w:val="center"/>
          </w:tcPr>
          <w:p>
            <w:pPr>
              <w:jc w:val="left"/>
              <w:rPr>
                <w:rFonts w:hint="eastAsia" w:ascii="宋体" w:hAnsi="宋体"/>
                <w:color w:val="auto"/>
                <w:sz w:val="18"/>
              </w:rPr>
            </w:pPr>
            <w:r>
              <w:rPr>
                <w:rFonts w:hint="eastAsia" w:ascii="宋体" w:hAnsi="宋体"/>
                <w:color w:val="auto"/>
                <w:sz w:val="18"/>
              </w:rPr>
              <w:t>3</w:t>
            </w:r>
          </w:p>
        </w:tc>
        <w:tc>
          <w:tcPr>
            <w:tcW w:w="776" w:type="dxa"/>
            <w:noWrap w:val="0"/>
            <w:vAlign w:val="center"/>
          </w:tcPr>
          <w:p>
            <w:pPr>
              <w:jc w:val="left"/>
              <w:rPr>
                <w:rFonts w:hint="eastAsia" w:ascii="宋体" w:hAnsi="宋体"/>
                <w:color w:val="auto"/>
                <w:sz w:val="18"/>
              </w:rPr>
            </w:pPr>
            <w:r>
              <w:rPr>
                <w:rFonts w:hint="eastAsia" w:ascii="宋体" w:hAnsi="宋体"/>
                <w:color w:val="auto"/>
                <w:sz w:val="18"/>
              </w:rPr>
              <w:t>DT3</w:t>
            </w:r>
          </w:p>
        </w:tc>
        <w:tc>
          <w:tcPr>
            <w:tcW w:w="1276" w:type="dxa"/>
            <w:noWrap w:val="0"/>
            <w:vAlign w:val="center"/>
          </w:tcPr>
          <w:p>
            <w:pPr>
              <w:jc w:val="left"/>
              <w:rPr>
                <w:rFonts w:hint="eastAsia" w:ascii="宋体" w:hAnsi="宋体"/>
                <w:color w:val="auto"/>
                <w:sz w:val="18"/>
              </w:rPr>
            </w:pPr>
            <w:r>
              <w:rPr>
                <w:rFonts w:hint="eastAsia" w:ascii="宋体" w:hAnsi="宋体"/>
                <w:color w:val="auto"/>
                <w:sz w:val="18"/>
              </w:rPr>
              <w:t>位于综合楼4轴交H-J轴，从1层提升至10层</w:t>
            </w:r>
          </w:p>
        </w:tc>
        <w:tc>
          <w:tcPr>
            <w:tcW w:w="851" w:type="dxa"/>
            <w:noWrap w:val="0"/>
            <w:vAlign w:val="center"/>
          </w:tcPr>
          <w:p>
            <w:pPr>
              <w:jc w:val="left"/>
              <w:rPr>
                <w:rFonts w:hint="eastAsia" w:ascii="宋体" w:hAnsi="宋体"/>
                <w:color w:val="auto"/>
                <w:sz w:val="18"/>
              </w:rPr>
            </w:pPr>
            <w:r>
              <w:rPr>
                <w:rFonts w:hint="eastAsia" w:ascii="宋体" w:hAnsi="宋体"/>
                <w:color w:val="auto"/>
                <w:sz w:val="18"/>
              </w:rPr>
              <w:t>客梯</w:t>
            </w:r>
          </w:p>
        </w:tc>
        <w:tc>
          <w:tcPr>
            <w:tcW w:w="655" w:type="dxa"/>
            <w:noWrap w:val="0"/>
            <w:vAlign w:val="center"/>
          </w:tcPr>
          <w:p>
            <w:pPr>
              <w:jc w:val="left"/>
              <w:rPr>
                <w:rFonts w:hint="eastAsia" w:ascii="宋体" w:hAnsi="宋体"/>
                <w:color w:val="auto"/>
                <w:sz w:val="18"/>
              </w:rPr>
            </w:pPr>
            <w:r>
              <w:rPr>
                <w:rFonts w:hint="eastAsia" w:ascii="宋体" w:hAnsi="宋体"/>
                <w:color w:val="auto"/>
                <w:sz w:val="18"/>
              </w:rPr>
              <w:t>有机房</w:t>
            </w:r>
          </w:p>
        </w:tc>
        <w:tc>
          <w:tcPr>
            <w:tcW w:w="1120" w:type="dxa"/>
            <w:noWrap w:val="0"/>
            <w:vAlign w:val="center"/>
          </w:tcPr>
          <w:p>
            <w:pPr>
              <w:jc w:val="left"/>
              <w:rPr>
                <w:rFonts w:hint="eastAsia" w:ascii="宋体" w:hAnsi="宋体"/>
                <w:color w:val="auto"/>
                <w:sz w:val="18"/>
              </w:rPr>
            </w:pPr>
            <w:r>
              <w:rPr>
                <w:rFonts w:hint="eastAsia" w:ascii="宋体" w:hAnsi="宋体"/>
                <w:color w:val="auto"/>
                <w:sz w:val="18"/>
              </w:rPr>
              <w:t>2</w:t>
            </w:r>
            <w:r>
              <w:rPr>
                <w:rFonts w:ascii="宋体" w:hAnsi="宋体"/>
                <w:color w:val="auto"/>
                <w:sz w:val="18"/>
              </w:rPr>
              <w:t>2</w:t>
            </w:r>
            <w:r>
              <w:rPr>
                <w:rFonts w:hint="eastAsia" w:ascii="宋体" w:hAnsi="宋体"/>
                <w:color w:val="auto"/>
                <w:sz w:val="18"/>
              </w:rPr>
              <w:t>00x</w:t>
            </w:r>
            <w:r>
              <w:rPr>
                <w:rFonts w:ascii="宋体" w:hAnsi="宋体"/>
                <w:color w:val="auto"/>
                <w:sz w:val="18"/>
              </w:rPr>
              <w:t>2250</w:t>
            </w:r>
          </w:p>
        </w:tc>
        <w:tc>
          <w:tcPr>
            <w:tcW w:w="1134" w:type="dxa"/>
            <w:noWrap w:val="0"/>
            <w:vAlign w:val="center"/>
          </w:tcPr>
          <w:p>
            <w:pPr>
              <w:jc w:val="left"/>
              <w:rPr>
                <w:rFonts w:hint="eastAsia" w:ascii="宋体" w:hAnsi="宋体"/>
                <w:color w:val="auto"/>
                <w:sz w:val="18"/>
              </w:rPr>
            </w:pPr>
            <w:r>
              <w:rPr>
                <w:rFonts w:ascii="宋体" w:hAnsi="宋体"/>
                <w:color w:val="auto"/>
                <w:sz w:val="18"/>
              </w:rPr>
              <w:t>2.0</w:t>
            </w:r>
          </w:p>
        </w:tc>
        <w:tc>
          <w:tcPr>
            <w:tcW w:w="1276" w:type="dxa"/>
            <w:noWrap w:val="0"/>
            <w:vAlign w:val="center"/>
          </w:tcPr>
          <w:p>
            <w:pPr>
              <w:jc w:val="left"/>
              <w:rPr>
                <w:rFonts w:hint="eastAsia" w:ascii="宋体" w:hAnsi="宋体"/>
                <w:color w:val="auto"/>
                <w:sz w:val="18"/>
              </w:rPr>
            </w:pPr>
            <w:r>
              <w:rPr>
                <w:rFonts w:hint="eastAsia" w:ascii="宋体" w:hAnsi="宋体"/>
                <w:color w:val="auto"/>
                <w:sz w:val="18"/>
              </w:rPr>
              <w:t>1</w:t>
            </w:r>
            <w:r>
              <w:rPr>
                <w:rFonts w:ascii="宋体" w:hAnsi="宋体"/>
                <w:color w:val="auto"/>
                <w:sz w:val="18"/>
              </w:rPr>
              <w:t>1</w:t>
            </w:r>
            <w:r>
              <w:rPr>
                <w:rFonts w:hint="eastAsia" w:ascii="宋体" w:hAnsi="宋体"/>
                <w:color w:val="auto"/>
                <w:sz w:val="18"/>
              </w:rPr>
              <w:t>00mm*22</w:t>
            </w:r>
            <w:r>
              <w:rPr>
                <w:rFonts w:ascii="宋体" w:hAnsi="宋体"/>
                <w:color w:val="auto"/>
                <w:sz w:val="18"/>
              </w:rPr>
              <w:t>0</w:t>
            </w:r>
            <w:r>
              <w:rPr>
                <w:rFonts w:hint="eastAsia" w:ascii="宋体" w:hAnsi="宋体"/>
                <w:color w:val="auto"/>
                <w:sz w:val="18"/>
              </w:rPr>
              <w:t>0mm</w:t>
            </w:r>
          </w:p>
        </w:tc>
        <w:tc>
          <w:tcPr>
            <w:tcW w:w="1417" w:type="dxa"/>
            <w:noWrap w:val="0"/>
            <w:vAlign w:val="center"/>
          </w:tcPr>
          <w:p>
            <w:pPr>
              <w:jc w:val="left"/>
              <w:rPr>
                <w:rFonts w:hint="eastAsia" w:ascii="宋体" w:hAnsi="宋体"/>
                <w:color w:val="auto"/>
                <w:sz w:val="18"/>
              </w:rPr>
            </w:pPr>
            <w:r>
              <w:rPr>
                <w:rFonts w:hint="eastAsia" w:ascii="宋体" w:hAnsi="宋体"/>
                <w:color w:val="auto"/>
                <w:sz w:val="18"/>
              </w:rPr>
              <w:t>东侧</w:t>
            </w:r>
            <w:r>
              <w:rPr>
                <w:rFonts w:ascii="宋体" w:hAnsi="宋体"/>
                <w:color w:val="auto"/>
                <w:sz w:val="18"/>
              </w:rPr>
              <w:t>225</w:t>
            </w:r>
            <w:r>
              <w:rPr>
                <w:rFonts w:hint="eastAsia" w:ascii="宋体" w:hAnsi="宋体"/>
                <w:color w:val="auto"/>
                <w:sz w:val="18"/>
              </w:rPr>
              <w:t>0宽度方向开门。       梯门尺寸为</w:t>
            </w:r>
            <w:r>
              <w:rPr>
                <w:rFonts w:ascii="宋体" w:hAnsi="宋体"/>
                <w:color w:val="auto"/>
                <w:sz w:val="18"/>
              </w:rPr>
              <w:t>9</w:t>
            </w:r>
            <w:r>
              <w:rPr>
                <w:rFonts w:hint="eastAsia" w:ascii="宋体" w:hAnsi="宋体"/>
                <w:color w:val="auto"/>
                <w:sz w:val="18"/>
              </w:rPr>
              <w:t>00mm*2100mm</w:t>
            </w:r>
          </w:p>
        </w:tc>
        <w:tc>
          <w:tcPr>
            <w:tcW w:w="993" w:type="dxa"/>
            <w:noWrap w:val="0"/>
            <w:vAlign w:val="center"/>
          </w:tcPr>
          <w:p>
            <w:pPr>
              <w:jc w:val="left"/>
              <w:rPr>
                <w:rFonts w:hint="eastAsia" w:ascii="宋体" w:hAnsi="宋体"/>
                <w:color w:val="auto"/>
                <w:sz w:val="18"/>
              </w:rPr>
            </w:pPr>
            <w:r>
              <w:rPr>
                <w:rFonts w:ascii="宋体" w:hAnsi="宋体"/>
                <w:color w:val="auto"/>
                <w:sz w:val="18"/>
              </w:rPr>
              <w:t>10</w:t>
            </w:r>
            <w:r>
              <w:rPr>
                <w:rFonts w:hint="eastAsia" w:ascii="宋体" w:hAnsi="宋体"/>
                <w:color w:val="auto"/>
                <w:sz w:val="18"/>
              </w:rPr>
              <w:t>层</w:t>
            </w:r>
            <w:r>
              <w:rPr>
                <w:rFonts w:ascii="宋体" w:hAnsi="宋体"/>
                <w:color w:val="auto"/>
                <w:sz w:val="18"/>
              </w:rPr>
              <w:t>10</w:t>
            </w:r>
            <w:r>
              <w:rPr>
                <w:rFonts w:hint="eastAsia" w:ascii="宋体" w:hAnsi="宋体"/>
                <w:color w:val="auto"/>
                <w:sz w:val="18"/>
              </w:rPr>
              <w:t>站</w:t>
            </w:r>
          </w:p>
        </w:tc>
        <w:tc>
          <w:tcPr>
            <w:tcW w:w="1059" w:type="dxa"/>
            <w:noWrap w:val="0"/>
            <w:vAlign w:val="center"/>
          </w:tcPr>
          <w:p>
            <w:pPr>
              <w:jc w:val="left"/>
              <w:rPr>
                <w:rFonts w:hint="eastAsia" w:ascii="宋体" w:hAnsi="宋体"/>
                <w:color w:val="auto"/>
                <w:sz w:val="18"/>
              </w:rPr>
            </w:pPr>
            <w:r>
              <w:rPr>
                <w:rFonts w:ascii="宋体" w:hAnsi="宋体"/>
                <w:color w:val="auto"/>
                <w:sz w:val="18"/>
              </w:rPr>
              <w:t>37.4</w:t>
            </w:r>
          </w:p>
        </w:tc>
        <w:tc>
          <w:tcPr>
            <w:tcW w:w="1067" w:type="dxa"/>
            <w:noWrap w:val="0"/>
            <w:vAlign w:val="center"/>
          </w:tcPr>
          <w:p>
            <w:pPr>
              <w:jc w:val="left"/>
              <w:rPr>
                <w:rFonts w:hint="eastAsia" w:ascii="宋体" w:hAnsi="宋体"/>
                <w:color w:val="auto"/>
                <w:sz w:val="18"/>
              </w:rPr>
            </w:pPr>
            <w:r>
              <w:rPr>
                <w:rFonts w:hint="eastAsia" w:ascii="宋体" w:hAnsi="宋体"/>
                <w:color w:val="auto"/>
                <w:sz w:val="18"/>
              </w:rPr>
              <w:t>普通</w:t>
            </w:r>
          </w:p>
        </w:tc>
        <w:tc>
          <w:tcPr>
            <w:tcW w:w="1059" w:type="dxa"/>
            <w:noWrap w:val="0"/>
            <w:vAlign w:val="center"/>
          </w:tcPr>
          <w:p>
            <w:pPr>
              <w:jc w:val="center"/>
              <w:rPr>
                <w:rFonts w:hint="default" w:ascii="宋体" w:hAnsi="宋体" w:eastAsia="宋体"/>
                <w:color w:val="auto"/>
                <w:sz w:val="18"/>
                <w:lang w:val="en-US" w:eastAsia="zh-CN"/>
              </w:rPr>
            </w:pPr>
            <w:r>
              <w:rPr>
                <w:rFonts w:hint="eastAsia" w:ascii="宋体" w:hAnsi="宋体"/>
                <w:color w:val="auto"/>
                <w:sz w:val="18"/>
                <w:lang w:val="en-US" w:eastAsia="zh-CN"/>
              </w:rPr>
              <w:t>1.5</w:t>
            </w:r>
          </w:p>
        </w:tc>
        <w:tc>
          <w:tcPr>
            <w:tcW w:w="1418" w:type="dxa"/>
            <w:noWrap w:val="0"/>
            <w:vAlign w:val="center"/>
          </w:tcPr>
          <w:p>
            <w:pPr>
              <w:jc w:val="center"/>
              <w:rPr>
                <w:rFonts w:hint="eastAsia" w:ascii="宋体" w:hAnsi="宋体"/>
                <w:color w:val="auto"/>
                <w:sz w:val="18"/>
              </w:rPr>
            </w:pPr>
            <w:r>
              <w:rPr>
                <w:rFonts w:ascii="宋体" w:hAnsi="宋体"/>
                <w:color w:val="auto"/>
                <w:sz w:val="18"/>
              </w:rPr>
              <w:t>10</w:t>
            </w:r>
            <w:r>
              <w:rPr>
                <w:rFonts w:hint="eastAsia" w:ascii="宋体" w:hAnsi="宋体"/>
                <w:color w:val="auto"/>
                <w:sz w:val="18"/>
              </w:rPr>
              <w:t>00KG</w:t>
            </w:r>
            <w:r>
              <w:rPr>
                <w:rFonts w:hint="eastAsia" w:ascii="宋体" w:hAnsi="宋体"/>
                <w:color w:val="auto"/>
                <w:sz w:val="18"/>
                <w:lang w:eastAsia="zh-CN"/>
              </w:rPr>
              <w:t>（</w:t>
            </w:r>
            <w:r>
              <w:rPr>
                <w:rFonts w:hint="eastAsia" w:ascii="宋体" w:hAnsi="宋体"/>
                <w:color w:val="auto"/>
                <w:sz w:val="18"/>
                <w:lang w:val="en-US" w:eastAsia="zh-CN"/>
              </w:rPr>
              <w:t>10人</w:t>
            </w:r>
            <w:r>
              <w:rPr>
                <w:rFonts w:hint="eastAsia" w:ascii="宋体" w:hAnsi="宋体"/>
                <w:color w:val="auto"/>
                <w:sz w:val="18"/>
                <w:lang w:eastAsia="zh-CN"/>
              </w:rPr>
              <w:t>）</w:t>
            </w:r>
          </w:p>
        </w:tc>
        <w:tc>
          <w:tcPr>
            <w:tcW w:w="979" w:type="dxa"/>
            <w:gridSpan w:val="2"/>
            <w:noWrap w:val="0"/>
            <w:vAlign w:val="center"/>
          </w:tcPr>
          <w:p>
            <w:pPr>
              <w:jc w:val="center"/>
              <w:rPr>
                <w:rFonts w:hint="eastAsia" w:ascii="宋体" w:hAnsi="宋体"/>
                <w:color w:val="auto"/>
                <w:sz w:val="18"/>
              </w:rPr>
            </w:pPr>
            <w:r>
              <w:rPr>
                <w:rFonts w:hint="eastAsia" w:ascii="宋体" w:hAnsi="宋体"/>
                <w:color w:val="auto"/>
                <w:sz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trPr>
        <w:tc>
          <w:tcPr>
            <w:tcW w:w="466" w:type="dxa"/>
            <w:gridSpan w:val="2"/>
            <w:tcBorders>
              <w:bottom w:val="single" w:color="auto" w:sz="4" w:space="0"/>
            </w:tcBorders>
            <w:noWrap w:val="0"/>
            <w:vAlign w:val="center"/>
          </w:tcPr>
          <w:p>
            <w:pPr>
              <w:jc w:val="left"/>
              <w:rPr>
                <w:rFonts w:hint="eastAsia" w:ascii="宋体" w:hAnsi="宋体"/>
                <w:color w:val="auto"/>
                <w:sz w:val="18"/>
              </w:rPr>
            </w:pPr>
            <w:r>
              <w:rPr>
                <w:rFonts w:hint="eastAsia" w:ascii="宋体" w:hAnsi="宋体"/>
                <w:color w:val="auto"/>
                <w:sz w:val="18"/>
              </w:rPr>
              <w:t>4</w:t>
            </w:r>
          </w:p>
        </w:tc>
        <w:tc>
          <w:tcPr>
            <w:tcW w:w="776" w:type="dxa"/>
            <w:tcBorders>
              <w:bottom w:val="single" w:color="auto" w:sz="4" w:space="0"/>
            </w:tcBorders>
            <w:noWrap w:val="0"/>
            <w:vAlign w:val="center"/>
          </w:tcPr>
          <w:p>
            <w:pPr>
              <w:jc w:val="left"/>
              <w:rPr>
                <w:rFonts w:hint="eastAsia" w:ascii="宋体" w:hAnsi="宋体"/>
                <w:color w:val="auto"/>
                <w:sz w:val="18"/>
              </w:rPr>
            </w:pPr>
            <w:r>
              <w:rPr>
                <w:rFonts w:hint="eastAsia" w:ascii="宋体" w:hAnsi="宋体"/>
                <w:color w:val="auto"/>
                <w:sz w:val="18"/>
              </w:rPr>
              <w:t>DT</w:t>
            </w:r>
            <w:r>
              <w:rPr>
                <w:rFonts w:ascii="宋体" w:hAnsi="宋体"/>
                <w:color w:val="auto"/>
                <w:sz w:val="18"/>
              </w:rPr>
              <w:t>4</w:t>
            </w:r>
          </w:p>
        </w:tc>
        <w:tc>
          <w:tcPr>
            <w:tcW w:w="1276" w:type="dxa"/>
            <w:tcBorders>
              <w:bottom w:val="single" w:color="auto" w:sz="4" w:space="0"/>
            </w:tcBorders>
            <w:noWrap w:val="0"/>
            <w:vAlign w:val="center"/>
          </w:tcPr>
          <w:p>
            <w:pPr>
              <w:jc w:val="left"/>
              <w:rPr>
                <w:rFonts w:hint="eastAsia" w:ascii="宋体" w:hAnsi="宋体"/>
                <w:color w:val="auto"/>
                <w:sz w:val="18"/>
              </w:rPr>
            </w:pPr>
            <w:r>
              <w:rPr>
                <w:rFonts w:hint="eastAsia" w:ascii="宋体" w:hAnsi="宋体"/>
                <w:color w:val="auto"/>
                <w:sz w:val="18"/>
              </w:rPr>
              <w:t>位于综合楼</w:t>
            </w:r>
            <w:r>
              <w:rPr>
                <w:rFonts w:ascii="宋体" w:hAnsi="宋体"/>
                <w:color w:val="auto"/>
                <w:sz w:val="18"/>
              </w:rPr>
              <w:t>5</w:t>
            </w:r>
            <w:r>
              <w:rPr>
                <w:rFonts w:hint="eastAsia" w:ascii="宋体" w:hAnsi="宋体"/>
                <w:color w:val="auto"/>
                <w:sz w:val="18"/>
              </w:rPr>
              <w:t>轴交</w:t>
            </w:r>
            <w:r>
              <w:rPr>
                <w:rFonts w:ascii="宋体" w:hAnsi="宋体"/>
                <w:color w:val="auto"/>
                <w:sz w:val="18"/>
              </w:rPr>
              <w:t>E-F</w:t>
            </w:r>
            <w:r>
              <w:rPr>
                <w:rFonts w:hint="eastAsia" w:ascii="宋体" w:hAnsi="宋体"/>
                <w:color w:val="auto"/>
                <w:sz w:val="18"/>
              </w:rPr>
              <w:t>轴，从1层提升至</w:t>
            </w:r>
            <w:r>
              <w:rPr>
                <w:rFonts w:ascii="宋体" w:hAnsi="宋体"/>
                <w:color w:val="auto"/>
                <w:sz w:val="18"/>
              </w:rPr>
              <w:t>3</w:t>
            </w:r>
            <w:r>
              <w:rPr>
                <w:rFonts w:hint="eastAsia" w:ascii="宋体" w:hAnsi="宋体"/>
                <w:color w:val="auto"/>
                <w:sz w:val="18"/>
              </w:rPr>
              <w:t>层</w:t>
            </w:r>
          </w:p>
        </w:tc>
        <w:tc>
          <w:tcPr>
            <w:tcW w:w="851" w:type="dxa"/>
            <w:tcBorders>
              <w:bottom w:val="single" w:color="auto" w:sz="4" w:space="0"/>
            </w:tcBorders>
            <w:noWrap w:val="0"/>
            <w:vAlign w:val="center"/>
          </w:tcPr>
          <w:p>
            <w:pPr>
              <w:jc w:val="left"/>
              <w:rPr>
                <w:rFonts w:hint="eastAsia" w:ascii="宋体" w:hAnsi="宋体"/>
                <w:color w:val="auto"/>
                <w:sz w:val="18"/>
              </w:rPr>
            </w:pPr>
            <w:r>
              <w:rPr>
                <w:rFonts w:hint="eastAsia" w:ascii="宋体" w:hAnsi="宋体"/>
                <w:color w:val="auto"/>
                <w:sz w:val="18"/>
                <w:lang w:val="en-US" w:eastAsia="zh-CN"/>
              </w:rPr>
              <w:t>电</w:t>
            </w:r>
            <w:r>
              <w:rPr>
                <w:rFonts w:hint="eastAsia" w:ascii="宋体" w:hAnsi="宋体"/>
                <w:color w:val="auto"/>
                <w:sz w:val="18"/>
              </w:rPr>
              <w:t>梯</w:t>
            </w:r>
            <w:r>
              <w:rPr>
                <w:rFonts w:hint="eastAsia" w:ascii="宋体" w:hAnsi="宋体"/>
                <w:color w:val="auto"/>
                <w:sz w:val="18"/>
                <w:lang w:val="en-US" w:eastAsia="zh-CN"/>
              </w:rPr>
              <w:t>/</w:t>
            </w:r>
            <w:r>
              <w:rPr>
                <w:rFonts w:hint="eastAsia" w:ascii="宋体" w:hAnsi="宋体"/>
                <w:color w:val="auto"/>
                <w:sz w:val="18"/>
              </w:rPr>
              <w:t>兼货梯</w:t>
            </w:r>
            <w:r>
              <w:rPr>
                <w:rFonts w:hint="eastAsia" w:ascii="宋体" w:hAnsi="宋体"/>
                <w:color w:val="auto"/>
                <w:sz w:val="18"/>
                <w:lang w:val="en-US" w:eastAsia="zh-CN"/>
              </w:rPr>
              <w:t>/</w:t>
            </w:r>
            <w:r>
              <w:rPr>
                <w:rFonts w:hint="eastAsia" w:ascii="宋体" w:hAnsi="宋体"/>
                <w:color w:val="auto"/>
                <w:sz w:val="18"/>
              </w:rPr>
              <w:t>兼无障碍电梯</w:t>
            </w:r>
          </w:p>
        </w:tc>
        <w:tc>
          <w:tcPr>
            <w:tcW w:w="655" w:type="dxa"/>
            <w:tcBorders>
              <w:bottom w:val="single" w:color="auto" w:sz="4" w:space="0"/>
            </w:tcBorders>
            <w:noWrap w:val="0"/>
            <w:vAlign w:val="center"/>
          </w:tcPr>
          <w:p>
            <w:pPr>
              <w:jc w:val="left"/>
              <w:rPr>
                <w:rFonts w:hint="eastAsia" w:ascii="宋体" w:hAnsi="宋体"/>
                <w:color w:val="auto"/>
                <w:sz w:val="18"/>
              </w:rPr>
            </w:pPr>
            <w:r>
              <w:rPr>
                <w:rFonts w:hint="eastAsia" w:ascii="宋体" w:hAnsi="宋体"/>
                <w:color w:val="auto"/>
                <w:sz w:val="18"/>
              </w:rPr>
              <w:t>有机房</w:t>
            </w:r>
          </w:p>
        </w:tc>
        <w:tc>
          <w:tcPr>
            <w:tcW w:w="1120" w:type="dxa"/>
            <w:tcBorders>
              <w:bottom w:val="single" w:color="auto" w:sz="4" w:space="0"/>
            </w:tcBorders>
            <w:noWrap w:val="0"/>
            <w:vAlign w:val="center"/>
          </w:tcPr>
          <w:p>
            <w:pPr>
              <w:jc w:val="left"/>
              <w:rPr>
                <w:rFonts w:hint="eastAsia" w:ascii="宋体" w:hAnsi="宋体"/>
                <w:color w:val="auto"/>
                <w:sz w:val="18"/>
              </w:rPr>
            </w:pPr>
            <w:r>
              <w:rPr>
                <w:rFonts w:ascii="宋体" w:hAnsi="宋体"/>
                <w:color w:val="auto"/>
                <w:sz w:val="18"/>
              </w:rPr>
              <w:t>30</w:t>
            </w:r>
            <w:r>
              <w:rPr>
                <w:rFonts w:hint="eastAsia" w:ascii="宋体" w:hAnsi="宋体"/>
                <w:color w:val="auto"/>
                <w:sz w:val="18"/>
              </w:rPr>
              <w:t>00x</w:t>
            </w:r>
            <w:r>
              <w:rPr>
                <w:rFonts w:ascii="宋体" w:hAnsi="宋体"/>
                <w:color w:val="auto"/>
                <w:sz w:val="18"/>
              </w:rPr>
              <w:t>2450</w:t>
            </w:r>
          </w:p>
        </w:tc>
        <w:tc>
          <w:tcPr>
            <w:tcW w:w="1134" w:type="dxa"/>
            <w:tcBorders>
              <w:bottom w:val="single" w:color="auto" w:sz="4" w:space="0"/>
            </w:tcBorders>
            <w:noWrap w:val="0"/>
            <w:vAlign w:val="center"/>
          </w:tcPr>
          <w:p>
            <w:pPr>
              <w:jc w:val="left"/>
              <w:rPr>
                <w:rFonts w:hint="eastAsia" w:ascii="宋体" w:hAnsi="宋体"/>
                <w:color w:val="auto"/>
                <w:sz w:val="18"/>
              </w:rPr>
            </w:pPr>
            <w:r>
              <w:rPr>
                <w:rFonts w:ascii="宋体" w:hAnsi="宋体"/>
                <w:color w:val="auto"/>
                <w:sz w:val="18"/>
              </w:rPr>
              <w:t>1.8</w:t>
            </w:r>
          </w:p>
        </w:tc>
        <w:tc>
          <w:tcPr>
            <w:tcW w:w="1276" w:type="dxa"/>
            <w:tcBorders>
              <w:bottom w:val="single" w:color="auto" w:sz="4" w:space="0"/>
            </w:tcBorders>
            <w:noWrap w:val="0"/>
            <w:vAlign w:val="center"/>
          </w:tcPr>
          <w:p>
            <w:pPr>
              <w:jc w:val="left"/>
              <w:rPr>
                <w:rFonts w:hint="eastAsia" w:ascii="宋体" w:hAnsi="宋体"/>
                <w:color w:val="auto"/>
                <w:sz w:val="18"/>
              </w:rPr>
            </w:pPr>
            <w:r>
              <w:rPr>
                <w:rFonts w:hint="eastAsia" w:ascii="宋体" w:hAnsi="宋体"/>
                <w:color w:val="auto"/>
                <w:sz w:val="18"/>
              </w:rPr>
              <w:t>1</w:t>
            </w:r>
            <w:r>
              <w:rPr>
                <w:rFonts w:ascii="宋体" w:hAnsi="宋体"/>
                <w:color w:val="auto"/>
                <w:sz w:val="18"/>
              </w:rPr>
              <w:t>1</w:t>
            </w:r>
            <w:r>
              <w:rPr>
                <w:rFonts w:hint="eastAsia" w:ascii="宋体" w:hAnsi="宋体"/>
                <w:color w:val="auto"/>
                <w:sz w:val="18"/>
              </w:rPr>
              <w:t>00mm*22</w:t>
            </w:r>
            <w:r>
              <w:rPr>
                <w:rFonts w:ascii="宋体" w:hAnsi="宋体"/>
                <w:color w:val="auto"/>
                <w:sz w:val="18"/>
              </w:rPr>
              <w:t>0</w:t>
            </w:r>
            <w:r>
              <w:rPr>
                <w:rFonts w:hint="eastAsia" w:ascii="宋体" w:hAnsi="宋体"/>
                <w:color w:val="auto"/>
                <w:sz w:val="18"/>
              </w:rPr>
              <w:t>0mm</w:t>
            </w:r>
          </w:p>
        </w:tc>
        <w:tc>
          <w:tcPr>
            <w:tcW w:w="1417" w:type="dxa"/>
            <w:tcBorders>
              <w:bottom w:val="single" w:color="auto" w:sz="4" w:space="0"/>
            </w:tcBorders>
            <w:noWrap w:val="0"/>
            <w:vAlign w:val="center"/>
          </w:tcPr>
          <w:p>
            <w:pPr>
              <w:jc w:val="left"/>
              <w:rPr>
                <w:rFonts w:hint="eastAsia" w:ascii="宋体" w:hAnsi="宋体"/>
                <w:color w:val="auto"/>
                <w:sz w:val="18"/>
              </w:rPr>
            </w:pPr>
            <w:r>
              <w:rPr>
                <w:rFonts w:hint="eastAsia" w:ascii="宋体" w:hAnsi="宋体"/>
                <w:color w:val="auto"/>
                <w:sz w:val="18"/>
              </w:rPr>
              <w:t>北侧</w:t>
            </w:r>
            <w:r>
              <w:rPr>
                <w:rFonts w:ascii="宋体" w:hAnsi="宋体"/>
                <w:color w:val="auto"/>
                <w:sz w:val="18"/>
              </w:rPr>
              <w:t>245</w:t>
            </w:r>
            <w:r>
              <w:rPr>
                <w:rFonts w:hint="eastAsia" w:ascii="宋体" w:hAnsi="宋体"/>
                <w:color w:val="auto"/>
                <w:sz w:val="18"/>
              </w:rPr>
              <w:t>0宽度方向开门。       梯门尺寸为</w:t>
            </w:r>
            <w:r>
              <w:rPr>
                <w:rFonts w:ascii="宋体" w:hAnsi="宋体"/>
                <w:color w:val="auto"/>
                <w:sz w:val="18"/>
              </w:rPr>
              <w:t>9</w:t>
            </w:r>
            <w:r>
              <w:rPr>
                <w:rFonts w:hint="eastAsia" w:ascii="宋体" w:hAnsi="宋体"/>
                <w:color w:val="auto"/>
                <w:sz w:val="18"/>
              </w:rPr>
              <w:t>00mm*2100mm</w:t>
            </w:r>
          </w:p>
        </w:tc>
        <w:tc>
          <w:tcPr>
            <w:tcW w:w="993" w:type="dxa"/>
            <w:tcBorders>
              <w:bottom w:val="single" w:color="auto" w:sz="4" w:space="0"/>
            </w:tcBorders>
            <w:noWrap w:val="0"/>
            <w:vAlign w:val="center"/>
          </w:tcPr>
          <w:p>
            <w:pPr>
              <w:jc w:val="left"/>
              <w:rPr>
                <w:rFonts w:hint="eastAsia" w:ascii="宋体" w:hAnsi="宋体"/>
                <w:color w:val="auto"/>
                <w:sz w:val="18"/>
              </w:rPr>
            </w:pPr>
            <w:r>
              <w:rPr>
                <w:rFonts w:ascii="宋体" w:hAnsi="宋体"/>
                <w:color w:val="auto"/>
                <w:sz w:val="18"/>
              </w:rPr>
              <w:t>3</w:t>
            </w:r>
            <w:r>
              <w:rPr>
                <w:rFonts w:hint="eastAsia" w:ascii="宋体" w:hAnsi="宋体"/>
                <w:color w:val="auto"/>
                <w:sz w:val="18"/>
              </w:rPr>
              <w:t>层</w:t>
            </w:r>
            <w:r>
              <w:rPr>
                <w:rFonts w:ascii="宋体" w:hAnsi="宋体"/>
                <w:color w:val="auto"/>
                <w:sz w:val="18"/>
              </w:rPr>
              <w:t>3</w:t>
            </w:r>
            <w:r>
              <w:rPr>
                <w:rFonts w:hint="eastAsia" w:ascii="宋体" w:hAnsi="宋体"/>
                <w:color w:val="auto"/>
                <w:sz w:val="18"/>
              </w:rPr>
              <w:t>站</w:t>
            </w:r>
          </w:p>
        </w:tc>
        <w:tc>
          <w:tcPr>
            <w:tcW w:w="1059" w:type="dxa"/>
            <w:tcBorders>
              <w:bottom w:val="single" w:color="auto" w:sz="4" w:space="0"/>
            </w:tcBorders>
            <w:noWrap w:val="0"/>
            <w:vAlign w:val="center"/>
          </w:tcPr>
          <w:p>
            <w:pPr>
              <w:jc w:val="left"/>
              <w:rPr>
                <w:rFonts w:hint="eastAsia" w:ascii="宋体" w:hAnsi="宋体"/>
                <w:color w:val="auto"/>
                <w:sz w:val="18"/>
              </w:rPr>
            </w:pPr>
            <w:r>
              <w:rPr>
                <w:rFonts w:ascii="宋体" w:hAnsi="宋体"/>
                <w:color w:val="auto"/>
                <w:sz w:val="18"/>
              </w:rPr>
              <w:t>10.60</w:t>
            </w:r>
          </w:p>
        </w:tc>
        <w:tc>
          <w:tcPr>
            <w:tcW w:w="1067" w:type="dxa"/>
            <w:tcBorders>
              <w:bottom w:val="single" w:color="auto" w:sz="4" w:space="0"/>
            </w:tcBorders>
            <w:noWrap w:val="0"/>
            <w:vAlign w:val="center"/>
          </w:tcPr>
          <w:p>
            <w:pPr>
              <w:jc w:val="left"/>
              <w:rPr>
                <w:rFonts w:hint="eastAsia" w:ascii="宋体" w:hAnsi="宋体"/>
                <w:color w:val="auto"/>
                <w:sz w:val="18"/>
              </w:rPr>
            </w:pPr>
            <w:r>
              <w:rPr>
                <w:rFonts w:hint="eastAsia" w:ascii="宋体" w:hAnsi="宋体"/>
                <w:color w:val="auto"/>
                <w:sz w:val="18"/>
              </w:rPr>
              <w:t>普通</w:t>
            </w:r>
          </w:p>
        </w:tc>
        <w:tc>
          <w:tcPr>
            <w:tcW w:w="1059" w:type="dxa"/>
            <w:tcBorders>
              <w:bottom w:val="single" w:color="auto" w:sz="4" w:space="0"/>
            </w:tcBorders>
            <w:noWrap w:val="0"/>
            <w:vAlign w:val="center"/>
          </w:tcPr>
          <w:p>
            <w:pPr>
              <w:jc w:val="center"/>
              <w:rPr>
                <w:rFonts w:hint="default" w:ascii="宋体" w:hAnsi="宋体" w:eastAsia="宋体"/>
                <w:color w:val="auto"/>
                <w:sz w:val="18"/>
                <w:lang w:val="en-US" w:eastAsia="zh-CN"/>
              </w:rPr>
            </w:pPr>
            <w:r>
              <w:rPr>
                <w:rFonts w:hint="eastAsia" w:ascii="宋体" w:hAnsi="宋体"/>
                <w:color w:val="auto"/>
                <w:sz w:val="18"/>
                <w:lang w:val="en-US" w:eastAsia="zh-CN"/>
              </w:rPr>
              <w:t>1.5</w:t>
            </w:r>
          </w:p>
        </w:tc>
        <w:tc>
          <w:tcPr>
            <w:tcW w:w="1418" w:type="dxa"/>
            <w:tcBorders>
              <w:bottom w:val="single" w:color="auto" w:sz="4" w:space="0"/>
            </w:tcBorders>
            <w:noWrap w:val="0"/>
            <w:vAlign w:val="center"/>
          </w:tcPr>
          <w:p>
            <w:pPr>
              <w:jc w:val="center"/>
              <w:rPr>
                <w:rFonts w:hint="eastAsia" w:ascii="宋体" w:hAnsi="宋体"/>
                <w:color w:val="auto"/>
                <w:sz w:val="18"/>
              </w:rPr>
            </w:pPr>
            <w:r>
              <w:rPr>
                <w:rFonts w:ascii="宋体" w:hAnsi="宋体"/>
                <w:color w:val="auto"/>
                <w:sz w:val="18"/>
              </w:rPr>
              <w:t>10</w:t>
            </w:r>
            <w:r>
              <w:rPr>
                <w:rFonts w:hint="eastAsia" w:ascii="宋体" w:hAnsi="宋体"/>
                <w:color w:val="auto"/>
                <w:sz w:val="18"/>
              </w:rPr>
              <w:t>00KG</w:t>
            </w:r>
            <w:r>
              <w:rPr>
                <w:rFonts w:hint="eastAsia" w:ascii="宋体" w:hAnsi="宋体"/>
                <w:color w:val="auto"/>
                <w:sz w:val="18"/>
                <w:lang w:eastAsia="zh-CN"/>
              </w:rPr>
              <w:t>（</w:t>
            </w:r>
            <w:r>
              <w:rPr>
                <w:rFonts w:hint="eastAsia" w:ascii="宋体" w:hAnsi="宋体"/>
                <w:color w:val="auto"/>
                <w:sz w:val="18"/>
                <w:lang w:val="en-US" w:eastAsia="zh-CN"/>
              </w:rPr>
              <w:t>10人</w:t>
            </w:r>
            <w:r>
              <w:rPr>
                <w:rFonts w:hint="eastAsia" w:ascii="宋体" w:hAnsi="宋体"/>
                <w:color w:val="auto"/>
                <w:sz w:val="18"/>
                <w:lang w:eastAsia="zh-CN"/>
              </w:rPr>
              <w:t>）</w:t>
            </w:r>
          </w:p>
        </w:tc>
        <w:tc>
          <w:tcPr>
            <w:tcW w:w="979" w:type="dxa"/>
            <w:gridSpan w:val="2"/>
            <w:tcBorders>
              <w:bottom w:val="single" w:color="auto" w:sz="4" w:space="0"/>
            </w:tcBorders>
            <w:noWrap w:val="0"/>
            <w:vAlign w:val="center"/>
          </w:tcPr>
          <w:p>
            <w:pPr>
              <w:jc w:val="center"/>
              <w:rPr>
                <w:rFonts w:hint="eastAsia" w:ascii="宋体" w:hAnsi="宋体"/>
                <w:color w:val="auto"/>
                <w:sz w:val="18"/>
              </w:rPr>
            </w:pPr>
            <w:r>
              <w:rPr>
                <w:rFonts w:hint="eastAsia" w:ascii="宋体" w:hAnsi="宋体"/>
                <w:color w:val="auto"/>
                <w:sz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trPr>
        <w:tc>
          <w:tcPr>
            <w:tcW w:w="466" w:type="dxa"/>
            <w:gridSpan w:val="2"/>
            <w:tcBorders>
              <w:bottom w:val="single" w:color="auto" w:sz="4" w:space="0"/>
            </w:tcBorders>
            <w:noWrap w:val="0"/>
            <w:vAlign w:val="center"/>
          </w:tcPr>
          <w:p>
            <w:pPr>
              <w:jc w:val="left"/>
              <w:rPr>
                <w:rFonts w:hint="eastAsia" w:ascii="宋体" w:hAnsi="宋体"/>
                <w:color w:val="auto"/>
                <w:sz w:val="18"/>
              </w:rPr>
            </w:pPr>
            <w:r>
              <w:rPr>
                <w:rFonts w:hint="eastAsia" w:ascii="宋体" w:hAnsi="宋体"/>
                <w:color w:val="auto"/>
                <w:sz w:val="18"/>
              </w:rPr>
              <w:t>5</w:t>
            </w:r>
          </w:p>
        </w:tc>
        <w:tc>
          <w:tcPr>
            <w:tcW w:w="776" w:type="dxa"/>
            <w:tcBorders>
              <w:bottom w:val="single" w:color="auto" w:sz="4" w:space="0"/>
            </w:tcBorders>
            <w:noWrap w:val="0"/>
            <w:vAlign w:val="center"/>
          </w:tcPr>
          <w:p>
            <w:pPr>
              <w:jc w:val="left"/>
              <w:rPr>
                <w:rFonts w:hint="eastAsia" w:ascii="宋体" w:hAnsi="宋体"/>
                <w:color w:val="auto"/>
                <w:sz w:val="18"/>
              </w:rPr>
            </w:pPr>
            <w:r>
              <w:rPr>
                <w:rFonts w:ascii="宋体" w:hAnsi="宋体"/>
                <w:color w:val="auto"/>
                <w:sz w:val="18"/>
              </w:rPr>
              <w:t>3T</w:t>
            </w:r>
            <w:r>
              <w:rPr>
                <w:rFonts w:hint="eastAsia" w:ascii="宋体" w:hAnsi="宋体"/>
                <w:color w:val="auto"/>
                <w:sz w:val="18"/>
              </w:rPr>
              <w:t>货梯</w:t>
            </w:r>
          </w:p>
        </w:tc>
        <w:tc>
          <w:tcPr>
            <w:tcW w:w="1276" w:type="dxa"/>
            <w:tcBorders>
              <w:bottom w:val="single" w:color="auto" w:sz="4" w:space="0"/>
            </w:tcBorders>
            <w:noWrap w:val="0"/>
            <w:vAlign w:val="center"/>
          </w:tcPr>
          <w:p>
            <w:pPr>
              <w:jc w:val="left"/>
              <w:rPr>
                <w:rFonts w:hint="eastAsia" w:ascii="宋体" w:hAnsi="宋体"/>
                <w:color w:val="auto"/>
                <w:sz w:val="18"/>
              </w:rPr>
            </w:pPr>
            <w:r>
              <w:rPr>
                <w:rFonts w:hint="eastAsia" w:ascii="宋体" w:hAnsi="宋体"/>
                <w:color w:val="auto"/>
                <w:sz w:val="18"/>
              </w:rPr>
              <w:t>位于修车库4轴, 从1层提升至</w:t>
            </w:r>
            <w:r>
              <w:rPr>
                <w:rFonts w:ascii="宋体" w:hAnsi="宋体"/>
                <w:color w:val="auto"/>
                <w:sz w:val="18"/>
              </w:rPr>
              <w:t>2</w:t>
            </w:r>
            <w:r>
              <w:rPr>
                <w:rFonts w:hint="eastAsia" w:ascii="宋体" w:hAnsi="宋体"/>
                <w:color w:val="auto"/>
                <w:sz w:val="18"/>
              </w:rPr>
              <w:t>层</w:t>
            </w:r>
          </w:p>
        </w:tc>
        <w:tc>
          <w:tcPr>
            <w:tcW w:w="851" w:type="dxa"/>
            <w:tcBorders>
              <w:bottom w:val="single" w:color="auto" w:sz="4" w:space="0"/>
            </w:tcBorders>
            <w:noWrap w:val="0"/>
            <w:vAlign w:val="center"/>
          </w:tcPr>
          <w:p>
            <w:pPr>
              <w:jc w:val="left"/>
              <w:rPr>
                <w:rFonts w:hint="eastAsia" w:ascii="宋体" w:hAnsi="宋体"/>
                <w:color w:val="auto"/>
                <w:sz w:val="18"/>
              </w:rPr>
            </w:pPr>
            <w:r>
              <w:rPr>
                <w:rFonts w:hint="eastAsia" w:ascii="宋体" w:hAnsi="宋体"/>
                <w:color w:val="auto"/>
                <w:sz w:val="18"/>
              </w:rPr>
              <w:t>货梯</w:t>
            </w:r>
          </w:p>
        </w:tc>
        <w:tc>
          <w:tcPr>
            <w:tcW w:w="655" w:type="dxa"/>
            <w:tcBorders>
              <w:bottom w:val="single" w:color="auto" w:sz="4" w:space="0"/>
            </w:tcBorders>
            <w:noWrap w:val="0"/>
            <w:vAlign w:val="center"/>
          </w:tcPr>
          <w:p>
            <w:pPr>
              <w:jc w:val="left"/>
              <w:rPr>
                <w:rFonts w:hint="eastAsia" w:ascii="宋体" w:hAnsi="宋体"/>
                <w:color w:val="auto"/>
                <w:sz w:val="18"/>
              </w:rPr>
            </w:pPr>
            <w:r>
              <w:rPr>
                <w:rFonts w:hint="eastAsia" w:ascii="宋体" w:hAnsi="宋体"/>
                <w:color w:val="auto"/>
                <w:sz w:val="18"/>
              </w:rPr>
              <w:t>有机房</w:t>
            </w:r>
          </w:p>
        </w:tc>
        <w:tc>
          <w:tcPr>
            <w:tcW w:w="1120" w:type="dxa"/>
            <w:tcBorders>
              <w:bottom w:val="single" w:color="auto" w:sz="4" w:space="0"/>
            </w:tcBorders>
            <w:noWrap w:val="0"/>
            <w:vAlign w:val="center"/>
          </w:tcPr>
          <w:p>
            <w:pPr>
              <w:jc w:val="left"/>
              <w:rPr>
                <w:rFonts w:hint="eastAsia" w:ascii="宋体" w:hAnsi="宋体"/>
                <w:color w:val="auto"/>
                <w:sz w:val="18"/>
              </w:rPr>
            </w:pPr>
            <w:r>
              <w:rPr>
                <w:rFonts w:ascii="宋体" w:hAnsi="宋体"/>
                <w:color w:val="auto"/>
                <w:sz w:val="18"/>
              </w:rPr>
              <w:t>325</w:t>
            </w:r>
            <w:r>
              <w:rPr>
                <w:rFonts w:hint="eastAsia" w:ascii="宋体" w:hAnsi="宋体"/>
                <w:color w:val="auto"/>
                <w:sz w:val="18"/>
              </w:rPr>
              <w:t>0X</w:t>
            </w:r>
            <w:r>
              <w:rPr>
                <w:rFonts w:ascii="宋体" w:hAnsi="宋体"/>
                <w:color w:val="auto"/>
                <w:sz w:val="18"/>
              </w:rPr>
              <w:t>3550</w:t>
            </w:r>
          </w:p>
        </w:tc>
        <w:tc>
          <w:tcPr>
            <w:tcW w:w="1134" w:type="dxa"/>
            <w:tcBorders>
              <w:bottom w:val="single" w:color="auto" w:sz="4" w:space="0"/>
            </w:tcBorders>
            <w:noWrap w:val="0"/>
            <w:vAlign w:val="center"/>
          </w:tcPr>
          <w:p>
            <w:pPr>
              <w:jc w:val="left"/>
              <w:rPr>
                <w:rFonts w:hint="eastAsia" w:ascii="宋体" w:hAnsi="宋体"/>
                <w:color w:val="auto"/>
                <w:sz w:val="18"/>
              </w:rPr>
            </w:pPr>
            <w:r>
              <w:rPr>
                <w:rFonts w:ascii="宋体" w:hAnsi="宋体"/>
                <w:color w:val="auto"/>
                <w:sz w:val="18"/>
              </w:rPr>
              <w:t>1.8</w:t>
            </w:r>
          </w:p>
        </w:tc>
        <w:tc>
          <w:tcPr>
            <w:tcW w:w="1276" w:type="dxa"/>
            <w:tcBorders>
              <w:bottom w:val="single" w:color="auto" w:sz="4" w:space="0"/>
            </w:tcBorders>
            <w:noWrap w:val="0"/>
            <w:vAlign w:val="center"/>
          </w:tcPr>
          <w:p>
            <w:pPr>
              <w:jc w:val="left"/>
              <w:rPr>
                <w:rFonts w:hint="eastAsia" w:ascii="宋体" w:hAnsi="宋体"/>
                <w:color w:val="auto"/>
                <w:sz w:val="18"/>
              </w:rPr>
            </w:pPr>
            <w:r>
              <w:rPr>
                <w:rFonts w:ascii="宋体" w:hAnsi="宋体"/>
                <w:color w:val="auto"/>
                <w:sz w:val="18"/>
              </w:rPr>
              <w:t>18</w:t>
            </w:r>
            <w:r>
              <w:rPr>
                <w:rFonts w:hint="eastAsia" w:ascii="宋体" w:hAnsi="宋体"/>
                <w:color w:val="auto"/>
                <w:sz w:val="18"/>
              </w:rPr>
              <w:t>00x2</w:t>
            </w:r>
            <w:r>
              <w:rPr>
                <w:rFonts w:ascii="宋体" w:hAnsi="宋体"/>
                <w:color w:val="auto"/>
                <w:sz w:val="18"/>
              </w:rPr>
              <w:t>40</w:t>
            </w:r>
            <w:r>
              <w:rPr>
                <w:rFonts w:hint="eastAsia" w:ascii="宋体" w:hAnsi="宋体"/>
                <w:color w:val="auto"/>
                <w:sz w:val="18"/>
              </w:rPr>
              <w:t>0</w:t>
            </w:r>
          </w:p>
        </w:tc>
        <w:tc>
          <w:tcPr>
            <w:tcW w:w="1417" w:type="dxa"/>
            <w:tcBorders>
              <w:bottom w:val="single" w:color="auto" w:sz="4" w:space="0"/>
            </w:tcBorders>
            <w:noWrap w:val="0"/>
            <w:vAlign w:val="center"/>
          </w:tcPr>
          <w:p>
            <w:pPr>
              <w:jc w:val="left"/>
              <w:rPr>
                <w:rFonts w:hint="eastAsia" w:ascii="宋体" w:hAnsi="宋体"/>
                <w:color w:val="auto"/>
                <w:sz w:val="18"/>
              </w:rPr>
            </w:pPr>
            <w:r>
              <w:rPr>
                <w:rFonts w:hint="eastAsia" w:ascii="宋体" w:hAnsi="宋体"/>
                <w:color w:val="auto"/>
                <w:sz w:val="18"/>
              </w:rPr>
              <w:t>东侧</w:t>
            </w:r>
            <w:r>
              <w:rPr>
                <w:rFonts w:ascii="宋体" w:hAnsi="宋体"/>
                <w:color w:val="auto"/>
                <w:sz w:val="18"/>
              </w:rPr>
              <w:t>3250</w:t>
            </w:r>
            <w:r>
              <w:rPr>
                <w:rFonts w:hint="eastAsia" w:ascii="宋体" w:hAnsi="宋体"/>
                <w:color w:val="auto"/>
                <w:sz w:val="18"/>
              </w:rPr>
              <w:t>宽度方向开门。       梯门尺寸为</w:t>
            </w:r>
            <w:r>
              <w:rPr>
                <w:rFonts w:ascii="宋体" w:hAnsi="宋体"/>
                <w:color w:val="auto"/>
                <w:sz w:val="18"/>
              </w:rPr>
              <w:t>16</w:t>
            </w:r>
            <w:r>
              <w:rPr>
                <w:rFonts w:hint="eastAsia" w:ascii="宋体" w:hAnsi="宋体"/>
                <w:color w:val="auto"/>
                <w:sz w:val="18"/>
              </w:rPr>
              <w:t>00mm*</w:t>
            </w:r>
            <w:r>
              <w:rPr>
                <w:rFonts w:ascii="宋体" w:hAnsi="宋体"/>
                <w:color w:val="auto"/>
                <w:sz w:val="18"/>
              </w:rPr>
              <w:t>23</w:t>
            </w:r>
            <w:r>
              <w:rPr>
                <w:rFonts w:hint="eastAsia" w:ascii="宋体" w:hAnsi="宋体"/>
                <w:color w:val="auto"/>
                <w:sz w:val="18"/>
              </w:rPr>
              <w:t>00mm</w:t>
            </w:r>
          </w:p>
        </w:tc>
        <w:tc>
          <w:tcPr>
            <w:tcW w:w="993" w:type="dxa"/>
            <w:tcBorders>
              <w:bottom w:val="single" w:color="auto" w:sz="4" w:space="0"/>
            </w:tcBorders>
            <w:noWrap w:val="0"/>
            <w:vAlign w:val="center"/>
          </w:tcPr>
          <w:p>
            <w:pPr>
              <w:jc w:val="left"/>
              <w:rPr>
                <w:rFonts w:hint="eastAsia" w:ascii="宋体" w:hAnsi="宋体"/>
                <w:color w:val="auto"/>
                <w:sz w:val="18"/>
              </w:rPr>
            </w:pPr>
            <w:r>
              <w:rPr>
                <w:rFonts w:ascii="宋体" w:hAnsi="宋体"/>
                <w:color w:val="auto"/>
                <w:sz w:val="18"/>
              </w:rPr>
              <w:t>4</w:t>
            </w:r>
            <w:r>
              <w:rPr>
                <w:rFonts w:hint="eastAsia" w:ascii="宋体" w:hAnsi="宋体"/>
                <w:color w:val="auto"/>
                <w:sz w:val="18"/>
              </w:rPr>
              <w:t>层</w:t>
            </w:r>
            <w:r>
              <w:rPr>
                <w:rFonts w:ascii="宋体" w:hAnsi="宋体"/>
                <w:color w:val="auto"/>
                <w:sz w:val="18"/>
              </w:rPr>
              <w:t>4</w:t>
            </w:r>
            <w:r>
              <w:rPr>
                <w:rFonts w:hint="eastAsia" w:ascii="宋体" w:hAnsi="宋体"/>
                <w:color w:val="auto"/>
                <w:sz w:val="18"/>
              </w:rPr>
              <w:t>站</w:t>
            </w:r>
          </w:p>
        </w:tc>
        <w:tc>
          <w:tcPr>
            <w:tcW w:w="1059" w:type="dxa"/>
            <w:tcBorders>
              <w:bottom w:val="single" w:color="auto" w:sz="4" w:space="0"/>
            </w:tcBorders>
            <w:noWrap w:val="0"/>
            <w:vAlign w:val="center"/>
          </w:tcPr>
          <w:p>
            <w:pPr>
              <w:jc w:val="left"/>
              <w:rPr>
                <w:rFonts w:hint="eastAsia" w:ascii="宋体" w:hAnsi="宋体"/>
                <w:color w:val="auto"/>
                <w:sz w:val="18"/>
              </w:rPr>
            </w:pPr>
            <w:r>
              <w:rPr>
                <w:rFonts w:ascii="宋体" w:hAnsi="宋体"/>
                <w:color w:val="auto"/>
                <w:sz w:val="18"/>
              </w:rPr>
              <w:t>10.5</w:t>
            </w:r>
          </w:p>
        </w:tc>
        <w:tc>
          <w:tcPr>
            <w:tcW w:w="1067" w:type="dxa"/>
            <w:tcBorders>
              <w:bottom w:val="single" w:color="auto" w:sz="4" w:space="0"/>
            </w:tcBorders>
            <w:noWrap w:val="0"/>
            <w:vAlign w:val="center"/>
          </w:tcPr>
          <w:p>
            <w:pPr>
              <w:jc w:val="left"/>
              <w:rPr>
                <w:rFonts w:hint="eastAsia" w:ascii="宋体" w:hAnsi="宋体"/>
                <w:color w:val="auto"/>
                <w:sz w:val="18"/>
              </w:rPr>
            </w:pPr>
            <w:r>
              <w:rPr>
                <w:rFonts w:hint="eastAsia" w:ascii="宋体" w:hAnsi="宋体"/>
                <w:color w:val="auto"/>
                <w:sz w:val="18"/>
              </w:rPr>
              <w:t>普通</w:t>
            </w:r>
          </w:p>
        </w:tc>
        <w:tc>
          <w:tcPr>
            <w:tcW w:w="1059" w:type="dxa"/>
            <w:tcBorders>
              <w:bottom w:val="single" w:color="auto" w:sz="4" w:space="0"/>
            </w:tcBorders>
            <w:noWrap w:val="0"/>
            <w:vAlign w:val="center"/>
          </w:tcPr>
          <w:p>
            <w:pPr>
              <w:jc w:val="center"/>
              <w:rPr>
                <w:rFonts w:hint="eastAsia" w:ascii="宋体" w:hAnsi="宋体"/>
                <w:color w:val="auto"/>
                <w:sz w:val="18"/>
              </w:rPr>
            </w:pPr>
            <w:r>
              <w:rPr>
                <w:rFonts w:ascii="宋体" w:hAnsi="宋体"/>
                <w:color w:val="auto"/>
                <w:sz w:val="18"/>
              </w:rPr>
              <w:t>0.5</w:t>
            </w:r>
          </w:p>
        </w:tc>
        <w:tc>
          <w:tcPr>
            <w:tcW w:w="1418" w:type="dxa"/>
            <w:tcBorders>
              <w:bottom w:val="single" w:color="auto" w:sz="4" w:space="0"/>
            </w:tcBorders>
            <w:noWrap w:val="0"/>
            <w:vAlign w:val="center"/>
          </w:tcPr>
          <w:p>
            <w:pPr>
              <w:jc w:val="center"/>
              <w:rPr>
                <w:rFonts w:hint="eastAsia" w:ascii="宋体" w:hAnsi="宋体"/>
                <w:color w:val="auto"/>
                <w:sz w:val="18"/>
              </w:rPr>
            </w:pPr>
            <w:r>
              <w:rPr>
                <w:rFonts w:hint="eastAsia" w:ascii="宋体" w:hAnsi="宋体"/>
                <w:color w:val="auto"/>
                <w:sz w:val="18"/>
                <w:lang w:val="en-US" w:eastAsia="zh-CN"/>
              </w:rPr>
              <w:t>3</w:t>
            </w:r>
            <w:r>
              <w:rPr>
                <w:rFonts w:hint="eastAsia" w:ascii="宋体" w:hAnsi="宋体"/>
                <w:color w:val="auto"/>
                <w:sz w:val="18"/>
              </w:rPr>
              <w:t>000KG</w:t>
            </w:r>
          </w:p>
        </w:tc>
        <w:tc>
          <w:tcPr>
            <w:tcW w:w="979" w:type="dxa"/>
            <w:gridSpan w:val="2"/>
            <w:tcBorders>
              <w:bottom w:val="single" w:color="auto" w:sz="4" w:space="0"/>
            </w:tcBorders>
            <w:noWrap w:val="0"/>
            <w:vAlign w:val="center"/>
          </w:tcPr>
          <w:p>
            <w:pPr>
              <w:jc w:val="center"/>
              <w:rPr>
                <w:rFonts w:hint="eastAsia" w:ascii="宋体" w:hAnsi="宋体"/>
                <w:color w:val="auto"/>
                <w:sz w:val="18"/>
              </w:rPr>
            </w:pPr>
            <w:r>
              <w:rPr>
                <w:rFonts w:hint="eastAsia" w:ascii="宋体" w:hAnsi="宋体"/>
                <w:color w:val="auto"/>
                <w:sz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1" w:hRule="atLeast"/>
        </w:trPr>
        <w:tc>
          <w:tcPr>
            <w:tcW w:w="15546" w:type="dxa"/>
            <w:gridSpan w:val="17"/>
            <w:tcBorders>
              <w:top w:val="single" w:color="auto" w:sz="4" w:space="0"/>
              <w:left w:val="nil"/>
              <w:bottom w:val="nil"/>
              <w:right w:val="nil"/>
            </w:tcBorders>
            <w:noWrap w:val="0"/>
            <w:vAlign w:val="center"/>
          </w:tcPr>
          <w:p>
            <w:pPr>
              <w:ind w:firstLine="520" w:firstLineChars="200"/>
              <w:jc w:val="left"/>
              <w:rPr>
                <w:rFonts w:hint="eastAsia"/>
                <w:color w:val="auto"/>
                <w:sz w:val="26"/>
                <w:szCs w:val="26"/>
              </w:rPr>
            </w:pPr>
            <w:r>
              <w:rPr>
                <w:rFonts w:hint="eastAsia"/>
                <w:color w:val="auto"/>
                <w:sz w:val="26"/>
                <w:szCs w:val="26"/>
              </w:rPr>
              <w:t>特别说明：</w:t>
            </w:r>
          </w:p>
          <w:p>
            <w:pPr>
              <w:ind w:firstLine="520" w:firstLineChars="200"/>
              <w:jc w:val="left"/>
              <w:rPr>
                <w:rFonts w:hint="eastAsia"/>
                <w:color w:val="auto"/>
                <w:sz w:val="26"/>
                <w:szCs w:val="26"/>
              </w:rPr>
            </w:pPr>
            <w:r>
              <w:rPr>
                <w:rFonts w:hint="eastAsia"/>
                <w:color w:val="auto"/>
                <w:sz w:val="26"/>
                <w:szCs w:val="26"/>
              </w:rPr>
              <w:t>1、《垂直电梯基本参数表》中“提升高度”、“底坑深度”、“井道尺寸”、“电梯门洞尺寸”、“顶层层高”、“机房层高”中所罗列的参数供投标人参考，具体参数以投标人根据招标人提供的电子版图纸和中标人排</w:t>
            </w:r>
            <w:r>
              <w:rPr>
                <w:rFonts w:hint="eastAsia"/>
                <w:color w:val="auto"/>
                <w:sz w:val="26"/>
                <w:szCs w:val="26"/>
                <w:lang w:val="en-US" w:eastAsia="zh-CN"/>
              </w:rPr>
              <w:t>产</w:t>
            </w:r>
            <w:r>
              <w:rPr>
                <w:rFonts w:hint="eastAsia"/>
                <w:color w:val="auto"/>
                <w:sz w:val="26"/>
                <w:szCs w:val="26"/>
              </w:rPr>
              <w:t>前现场实测尺寸为准。</w:t>
            </w:r>
          </w:p>
          <w:p>
            <w:pPr>
              <w:widowControl/>
              <w:jc w:val="left"/>
              <w:rPr>
                <w:rFonts w:ascii="宋体" w:hAnsi="宋体" w:cs="宋体"/>
                <w:color w:val="auto"/>
                <w:kern w:val="0"/>
                <w:sz w:val="20"/>
              </w:rPr>
            </w:pPr>
          </w:p>
        </w:tc>
      </w:tr>
      <w:tr>
        <w:tblPrEx>
          <w:tblCellMar>
            <w:top w:w="0" w:type="dxa"/>
            <w:left w:w="108" w:type="dxa"/>
            <w:bottom w:w="0" w:type="dxa"/>
            <w:right w:w="108" w:type="dxa"/>
          </w:tblCellMar>
        </w:tblPrEx>
        <w:trPr>
          <w:gridBefore w:val="1"/>
          <w:gridAfter w:val="1"/>
          <w:wBefore w:w="93" w:type="dxa"/>
          <w:wAfter w:w="458" w:type="dxa"/>
          <w:trHeight w:val="420" w:hRule="atLeast"/>
        </w:trPr>
        <w:tc>
          <w:tcPr>
            <w:tcW w:w="14995" w:type="dxa"/>
            <w:gridSpan w:val="15"/>
            <w:tcBorders>
              <w:top w:val="nil"/>
              <w:left w:val="nil"/>
              <w:bottom w:val="nil"/>
              <w:right w:val="nil"/>
            </w:tcBorders>
            <w:noWrap w:val="0"/>
            <w:vAlign w:val="center"/>
          </w:tcPr>
          <w:p>
            <w:pPr>
              <w:widowControl/>
              <w:rPr>
                <w:rFonts w:hint="eastAsia" w:ascii="宋体" w:hAnsi="宋体" w:cs="宋体"/>
                <w:bCs/>
                <w:color w:val="auto"/>
                <w:kern w:val="0"/>
                <w:sz w:val="36"/>
                <w:szCs w:val="36"/>
              </w:rPr>
            </w:pPr>
          </w:p>
        </w:tc>
      </w:tr>
    </w:tbl>
    <w:p>
      <w:pPr>
        <w:pStyle w:val="3"/>
        <w:snapToGrid w:val="0"/>
        <w:spacing w:line="500" w:lineRule="exact"/>
        <w:rPr>
          <w:rFonts w:hint="eastAsia" w:ascii="宋体" w:hAnsi="宋体" w:cs="宋体"/>
          <w:b/>
          <w:bCs/>
          <w:sz w:val="24"/>
        </w:rPr>
        <w:sectPr>
          <w:footerReference r:id="rId5" w:type="default"/>
          <w:pgSz w:w="16838" w:h="11906" w:orient="landscape"/>
          <w:pgMar w:top="1077" w:right="1089" w:bottom="935" w:left="1134" w:header="851" w:footer="992" w:gutter="0"/>
          <w:cols w:space="720" w:num="1"/>
          <w:titlePg/>
          <w:docGrid w:linePitch="312" w:charSpace="0"/>
        </w:sectPr>
      </w:pPr>
    </w:p>
    <w:bookmarkEnd w:id="18"/>
    <w:bookmarkEnd w:id="19"/>
    <w:bookmarkEnd w:id="20"/>
    <w:bookmarkEnd w:id="21"/>
    <w:bookmarkEnd w:id="22"/>
    <w:p>
      <w:pPr>
        <w:pStyle w:val="6"/>
        <w:snapToGrid w:val="0"/>
        <w:spacing w:before="468" w:beforeLines="150" w:after="156" w:afterLines="50" w:line="360" w:lineRule="auto"/>
        <w:jc w:val="left"/>
        <w:rPr>
          <w:rFonts w:hint="eastAsia" w:eastAsia="黑体"/>
          <w:b w:val="0"/>
          <w:bCs w:val="0"/>
          <w:snapToGrid w:val="0"/>
          <w:sz w:val="24"/>
          <w:szCs w:val="24"/>
        </w:rPr>
      </w:pPr>
      <w:bookmarkStart w:id="23" w:name="_Toc22128940"/>
      <w:r>
        <w:rPr>
          <w:rFonts w:hint="eastAsia" w:eastAsia="黑体"/>
          <w:b w:val="0"/>
          <w:bCs w:val="0"/>
          <w:snapToGrid w:val="0"/>
          <w:sz w:val="24"/>
          <w:szCs w:val="24"/>
        </w:rPr>
        <w:t xml:space="preserve">附件6    </w:t>
      </w:r>
      <w:r>
        <w:rPr>
          <w:rFonts w:hint="eastAsia" w:eastAsia="黑体"/>
          <w:b w:val="0"/>
          <w:bCs w:val="0"/>
          <w:snapToGrid w:val="0"/>
          <w:sz w:val="24"/>
          <w:szCs w:val="24"/>
          <w:lang w:val="en-US" w:eastAsia="zh-CN"/>
        </w:rPr>
        <w:t xml:space="preserve">                  </w:t>
      </w:r>
      <w:r>
        <w:rPr>
          <w:rFonts w:hint="eastAsia" w:eastAsia="黑体"/>
          <w:b w:val="0"/>
          <w:bCs w:val="0"/>
          <w:snapToGrid w:val="0"/>
          <w:sz w:val="24"/>
          <w:szCs w:val="24"/>
        </w:rPr>
        <w:t>安全管理协议书</w:t>
      </w:r>
      <w:bookmarkEnd w:id="23"/>
    </w:p>
    <w:p>
      <w:pPr>
        <w:adjustRightInd w:val="0"/>
        <w:snapToGrid w:val="0"/>
        <w:spacing w:line="360" w:lineRule="auto"/>
        <w:ind w:firstLine="420" w:firstLineChars="200"/>
        <w:rPr>
          <w:rFonts w:hint="eastAsia" w:ascii="宋体" w:hAnsi="宋体"/>
          <w:szCs w:val="21"/>
        </w:rPr>
      </w:pPr>
    </w:p>
    <w:p>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为了确保实现</w:t>
      </w:r>
      <w:r>
        <w:rPr>
          <w:rFonts w:hint="eastAsia" w:ascii="宋体" w:hAnsi="宋体" w:cs="宋体"/>
          <w:b/>
          <w:bCs/>
          <w:szCs w:val="21"/>
          <w:u w:val="single"/>
        </w:rPr>
        <w:t>陈庹路公交站场</w:t>
      </w:r>
      <w:r>
        <w:rPr>
          <w:rFonts w:hint="eastAsia" w:ascii="宋体" w:hAnsi="宋体" w:cs="宋体"/>
          <w:b/>
          <w:bCs/>
          <w:szCs w:val="21"/>
          <w:u w:val="single"/>
          <w:lang w:val="en-US" w:eastAsia="zh-CN"/>
        </w:rPr>
        <w:t>电梯采购及安装</w:t>
      </w:r>
      <w:r>
        <w:rPr>
          <w:rFonts w:hint="eastAsia" w:ascii="宋体" w:hAnsi="宋体" w:cs="宋体"/>
          <w:b/>
          <w:bCs/>
          <w:szCs w:val="21"/>
          <w:u w:val="single"/>
        </w:rPr>
        <w:t>工程</w:t>
      </w:r>
      <w:r>
        <w:rPr>
          <w:rFonts w:hint="eastAsia" w:ascii="宋体" w:hAnsi="宋体" w:cs="宋体"/>
          <w:szCs w:val="21"/>
        </w:rPr>
        <w:t>安全生产目标，进一步明确双方的安全管理责任，加强安全生产管理工作的协调、管理力度，</w:t>
      </w:r>
      <w:r>
        <w:rPr>
          <w:rFonts w:hint="eastAsia" w:ascii="宋体" w:hAnsi="宋体" w:cs="宋体"/>
          <w:szCs w:val="21"/>
          <w:u w:val="single"/>
        </w:rPr>
        <w:t>重庆城市综合交通枢纽（集团）有限公司</w:t>
      </w:r>
      <w:r>
        <w:rPr>
          <w:rFonts w:hint="eastAsia" w:ascii="宋体" w:hAnsi="宋体" w:cs="宋体"/>
          <w:szCs w:val="21"/>
        </w:rPr>
        <w:t>（以下简称“发包人”）与</w:t>
      </w:r>
      <w:r>
        <w:rPr>
          <w:rFonts w:hint="eastAsia" w:ascii="宋体" w:hAnsi="宋体" w:cs="宋体"/>
          <w:szCs w:val="21"/>
          <w:u w:val="single"/>
          <w:lang w:val="en-US" w:eastAsia="zh-CN"/>
        </w:rPr>
        <w:t xml:space="preserve">                  </w:t>
      </w:r>
      <w:r>
        <w:rPr>
          <w:rFonts w:hint="eastAsia" w:ascii="宋体" w:hAnsi="宋体" w:cs="宋体"/>
          <w:szCs w:val="21"/>
        </w:rPr>
        <w:t>（以下简称“承包人”）依据国家安全生产相关的法律、法规和安全方面的强制性国家标准或行业标准，双方同意签订该协议作为正式合同安全管理方面的补充规定，并承诺本协议具有与合同相同的法律效力。具体条款如下：</w:t>
      </w:r>
    </w:p>
    <w:p>
      <w:pPr>
        <w:spacing w:before="156" w:beforeLines="50" w:after="156" w:afterLines="50" w:line="360" w:lineRule="auto"/>
        <w:ind w:firstLine="422" w:firstLineChars="200"/>
        <w:rPr>
          <w:rFonts w:hint="eastAsia" w:ascii="宋体" w:hAnsi="宋体" w:cs="宋体"/>
          <w:b/>
          <w:szCs w:val="21"/>
        </w:rPr>
      </w:pPr>
      <w:r>
        <w:rPr>
          <w:rFonts w:hint="eastAsia" w:ascii="宋体" w:hAnsi="宋体" w:cs="宋体"/>
          <w:b/>
          <w:szCs w:val="21"/>
        </w:rPr>
        <w:t>一、协议有效期限</w:t>
      </w:r>
    </w:p>
    <w:p>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本协议中所涉及的安全管理责任自合同签订之日起开始生效，至合同工程全部完工验收签字之日终止。</w:t>
      </w:r>
    </w:p>
    <w:p>
      <w:pPr>
        <w:spacing w:before="156" w:beforeLines="50" w:after="156" w:afterLines="50" w:line="360" w:lineRule="auto"/>
        <w:ind w:firstLine="422" w:firstLineChars="200"/>
        <w:rPr>
          <w:rFonts w:hint="eastAsia" w:ascii="宋体" w:hAnsi="宋体" w:cs="宋体"/>
          <w:b/>
          <w:szCs w:val="21"/>
        </w:rPr>
      </w:pPr>
      <w:r>
        <w:rPr>
          <w:rFonts w:hint="eastAsia" w:ascii="宋体" w:hAnsi="宋体" w:cs="宋体"/>
          <w:b/>
          <w:szCs w:val="21"/>
        </w:rPr>
        <w:t>二、责任目标</w:t>
      </w:r>
    </w:p>
    <w:p>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(一)承包人承诺承担和履行合同和发包人所规定的安全责任，且满足要求。</w:t>
      </w:r>
    </w:p>
    <w:p>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(二)承包人的安全控制目标是确保本工程在实施过程中：</w:t>
      </w:r>
    </w:p>
    <w:p>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1、不发生人身重伤事故；</w:t>
      </w:r>
    </w:p>
    <w:p>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2、不发生火灾事故；</w:t>
      </w:r>
    </w:p>
    <w:p>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3、不发生负有同等及以上事故责任的造成人身重伤的一般交通事故；</w:t>
      </w:r>
    </w:p>
    <w:p>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4、不发生集体食物中毒事件（同时5人及以上的食物中毒）；</w:t>
      </w:r>
    </w:p>
    <w:p>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5、不发生流行性传染病 (无甲型传染病、其他常见传染病未形成多人同时患病)；</w:t>
      </w:r>
    </w:p>
    <w:p>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6、不发生重大环境污染事件（生活、工业垃圾及其他污染物造成环境污染和大面积水土流失）；</w:t>
      </w:r>
    </w:p>
    <w:p>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7、不发生对施工区附近生产、生活造成重大影响的事件（如造成重大设备损坏、人员伤害等）；</w:t>
      </w:r>
    </w:p>
    <w:p>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8、不发生治安保卫事件（构成刑事拘留及以上的事件、盗窃直接损失超过1万元人民币的事件）。</w:t>
      </w:r>
    </w:p>
    <w:p>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（三）承包人承诺在施工中控制以下安全事故的发生：</w:t>
      </w:r>
    </w:p>
    <w:p>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1、人员轻伤事故。</w:t>
      </w:r>
    </w:p>
    <w:p>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2、负有同等及以上事故责任的人身轻伤交通事故。</w:t>
      </w:r>
    </w:p>
    <w:p>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3、其他安全未遂事故和异常事件。</w:t>
      </w:r>
    </w:p>
    <w:p>
      <w:pPr>
        <w:spacing w:before="156" w:beforeLines="50" w:after="156" w:afterLines="50" w:line="360" w:lineRule="auto"/>
        <w:ind w:firstLine="422" w:firstLineChars="200"/>
        <w:rPr>
          <w:rFonts w:hint="eastAsia" w:ascii="宋体" w:hAnsi="宋体" w:cs="宋体"/>
          <w:b/>
          <w:szCs w:val="21"/>
        </w:rPr>
      </w:pPr>
      <w:r>
        <w:rPr>
          <w:rFonts w:hint="eastAsia" w:ascii="宋体" w:hAnsi="宋体" w:cs="宋体"/>
          <w:b/>
          <w:szCs w:val="21"/>
        </w:rPr>
        <w:t>三、安全责任</w:t>
      </w:r>
    </w:p>
    <w:p>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1、承包人负有安全生产的管理责任和直接责任。</w:t>
      </w:r>
    </w:p>
    <w:p>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2、承包人的法人或签署合同的公司总经理对合同安全负有全面的领导责任。</w:t>
      </w:r>
    </w:p>
    <w:p>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3、承包人项目经理对施工现场的安全工作负有全面的直接领导责任。</w:t>
      </w:r>
    </w:p>
    <w:p>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4、承包人保证执行“谁施工、谁负责”的施工安全原则。</w:t>
      </w:r>
    </w:p>
    <w:p>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5、承包人保证服从发包人对安全工作的统一协调和管理。</w:t>
      </w:r>
    </w:p>
    <w:p>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6、承包人保证对本工程项目安全生产条件及其管理资源自行投入，保证安全资金的专款专用。</w:t>
      </w:r>
    </w:p>
    <w:p>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7、承包人保证建立本工程项目的安全管理体系（注：项目安全管理大纲/手册、管理性的程序文件等）。</w:t>
      </w:r>
    </w:p>
    <w:p>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8、承包人保证现场的安全管理专职人员必须持有建设主管部门安全生产培训考核合格证书，保证在安全管理专职人员中至少指派</w:t>
      </w:r>
      <w:r>
        <w:rPr>
          <w:rFonts w:hint="eastAsia" w:ascii="宋体" w:hAnsi="宋体" w:cs="宋体"/>
          <w:szCs w:val="21"/>
          <w:lang w:val="en-US" w:eastAsia="zh-CN"/>
        </w:rPr>
        <w:t>1</w:t>
      </w:r>
      <w:r>
        <w:rPr>
          <w:rFonts w:hint="eastAsia" w:ascii="宋体" w:hAnsi="宋体" w:cs="宋体"/>
          <w:szCs w:val="21"/>
        </w:rPr>
        <w:t>名安全人员。</w:t>
      </w:r>
    </w:p>
    <w:p>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9、承包人保证为现场所有工作人员（含分包商员工及劳务人员）配备符合国家标准或行业标准的有承包人和/或其下属分包商标志的个人劳动保护用品。</w:t>
      </w:r>
    </w:p>
    <w:p>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10、承包人保证按照国家法律规定为现场所有工作人员（含分包商员工及劳务人员）购买意外伤害保险。</w:t>
      </w:r>
    </w:p>
    <w:p>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11、承包人保证施工生活营地（包括自建的和租用的营地）满足消防、安全用电、卫生防疫、防暴雨、防雷击等方面的安全要求。</w:t>
      </w:r>
    </w:p>
    <w:p>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12、承包人保证对带入现场的设备、工具、材料按照国家法规和标准进行检测、试验，并持有法定部门出具的检验证书。</w:t>
      </w:r>
    </w:p>
    <w:p>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13、承包人保证制订施工现场的文明施工措施，保护环境、树木和植被，保持施工现场的良好秩序和整洁的作业环境。</w:t>
      </w:r>
    </w:p>
    <w:p>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14、承包人负责在施工过程中与当地政府、周边群众及其他承包商保持良好的沟通和交流。承包人遇到与周边群众发生纠纷时，应负责协调工作，确保工程能够顺利进行。</w:t>
      </w:r>
    </w:p>
    <w:p>
      <w:pPr>
        <w:spacing w:before="156" w:beforeLines="50" w:after="156" w:afterLines="50" w:line="360" w:lineRule="auto"/>
        <w:ind w:firstLine="422" w:firstLineChars="200"/>
        <w:rPr>
          <w:rFonts w:hint="eastAsia" w:ascii="宋体" w:hAnsi="宋体" w:cs="宋体"/>
          <w:b/>
          <w:szCs w:val="21"/>
        </w:rPr>
      </w:pPr>
      <w:r>
        <w:rPr>
          <w:rFonts w:hint="eastAsia" w:ascii="宋体" w:hAnsi="宋体" w:cs="宋体"/>
          <w:b/>
          <w:szCs w:val="21"/>
        </w:rPr>
        <w:t>四、接口及协调</w:t>
      </w:r>
    </w:p>
    <w:p>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1、发包人委托监理公司对该工程实施监理，监理公司在安全管理方面代表发包人行使监督检查职能，承包人必须给予配合和支持。</w:t>
      </w:r>
    </w:p>
    <w:p>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2、承包人人员、车辆的出入，带入现场的设备、机具、材料，在现场使用的或直接管理的办公、生活、生产性设施的安全管理须满足发包人现场管理的基本要求。</w:t>
      </w:r>
    </w:p>
    <w:p>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3、承包人应指定项目安全管理负责人与发包人委托的监理公司接口，参与安全协调和管理。安全协调和管理的内容包括职业健康、施工安全、消防安全、卫生防疫、交通安全、环境保护、治安保卫等各方面。</w:t>
      </w:r>
    </w:p>
    <w:p>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4、承包人的专职安全管理人员应具备协调安全工作的能力和授权。发包人委托的监理公司有权对专职安全管理人员的能力和权力做出评价，对于不能胜任的专职安全管理人员，发包人委托的监理公司有权要求承包人换人。</w:t>
      </w:r>
    </w:p>
    <w:p>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5、承包人指定的项目安全管理负责人应与发包人委托的监理公司建立联系，在业务上接受发包人委托的监理公司的协调和指导。</w:t>
      </w:r>
    </w:p>
    <w:p>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6、开工后承包人的专职安全管理人员应按照发包人委托的监理公司的规定，定期报送安全月度快报、季报、年报和各种专项事故报告等。</w:t>
      </w:r>
    </w:p>
    <w:p>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7、在工程实体未全部正式移交发包人施工管理部门之前，承包人依旧对施工范围内的安全管理负责。</w:t>
      </w:r>
    </w:p>
    <w:p>
      <w:pPr>
        <w:spacing w:before="156" w:beforeLines="50" w:after="156" w:afterLines="50" w:line="360" w:lineRule="auto"/>
        <w:ind w:firstLine="422" w:firstLineChars="200"/>
        <w:rPr>
          <w:rFonts w:hint="eastAsia" w:ascii="宋体" w:hAnsi="宋体" w:cs="宋体"/>
          <w:b/>
          <w:szCs w:val="21"/>
        </w:rPr>
      </w:pPr>
      <w:r>
        <w:rPr>
          <w:rFonts w:hint="eastAsia" w:ascii="宋体" w:hAnsi="宋体" w:cs="宋体"/>
          <w:b/>
          <w:szCs w:val="21"/>
        </w:rPr>
        <w:t>五、安全资质审查</w:t>
      </w:r>
    </w:p>
    <w:p>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承包人在项目开工前5个工作日内向发包人委托的监理公司提供以下安全资质供审查和存档：</w:t>
      </w:r>
    </w:p>
    <w:p>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1、企业安全生产许可证书复印件。</w:t>
      </w:r>
    </w:p>
    <w:p>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2、企业近三年的施工简历及安全施工业绩证明文件。</w:t>
      </w:r>
    </w:p>
    <w:p>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3、</w:t>
      </w:r>
      <w:r>
        <w:rPr>
          <w:rFonts w:hint="eastAsia" w:ascii="宋体" w:hAnsi="宋体" w:cs="宋体"/>
          <w:szCs w:val="21"/>
          <w:lang w:val="en-US" w:eastAsia="zh-CN"/>
        </w:rPr>
        <w:t>企业主要</w:t>
      </w:r>
      <w:r>
        <w:rPr>
          <w:rFonts w:hint="eastAsia" w:ascii="宋体" w:hAnsi="宋体" w:cs="宋体"/>
          <w:szCs w:val="21"/>
        </w:rPr>
        <w:t>安全管理人员（包括项目经理、项目安全管理负责人）经</w:t>
      </w:r>
      <w:r>
        <w:rPr>
          <w:rFonts w:hint="eastAsia" w:ascii="宋体" w:hAnsi="宋体" w:cs="宋体"/>
          <w:szCs w:val="21"/>
          <w:lang w:val="en-US" w:eastAsia="zh-CN"/>
        </w:rPr>
        <w:t>相关行政</w:t>
      </w:r>
      <w:r>
        <w:rPr>
          <w:rFonts w:hint="eastAsia" w:ascii="宋体" w:hAnsi="宋体" w:cs="宋体"/>
          <w:szCs w:val="21"/>
        </w:rPr>
        <w:t>主管部门安全生产知识考核合格证书。</w:t>
      </w:r>
    </w:p>
    <w:p>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4、特种作业人员资格证书。</w:t>
      </w:r>
    </w:p>
    <w:p>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5、项目安全管理机构及其人员配备（承包人必须配有专职的安全员）。</w:t>
      </w:r>
    </w:p>
    <w:p>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6、适用于本项目的安全管理体系文件（安全管理大纲及管理程序文件）。</w:t>
      </w:r>
    </w:p>
    <w:p>
      <w:pPr>
        <w:spacing w:before="156" w:beforeLines="50" w:after="156" w:afterLines="50" w:line="360" w:lineRule="auto"/>
        <w:ind w:firstLine="422" w:firstLineChars="200"/>
        <w:rPr>
          <w:rFonts w:hint="eastAsia" w:ascii="宋体" w:hAnsi="宋体" w:cs="宋体"/>
          <w:b/>
          <w:szCs w:val="21"/>
        </w:rPr>
      </w:pPr>
      <w:r>
        <w:rPr>
          <w:rFonts w:hint="eastAsia" w:ascii="宋体" w:hAnsi="宋体" w:cs="宋体"/>
          <w:b/>
          <w:szCs w:val="21"/>
        </w:rPr>
        <w:t>六、人员基本素质</w:t>
      </w:r>
    </w:p>
    <w:p>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承包人提供的人员必须满足下列要求:</w:t>
      </w:r>
    </w:p>
    <w:p>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1、身体健康，无影响工作的精神疾病、无传染病和其他重大疾病；承包人需对其雇用的施工人员签发健康声明并保证其健康。其中体检证明材料（县级以上医院）和健康声明作为人员办理入场证件的必备材料。</w:t>
      </w:r>
    </w:p>
    <w:p>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2、无刑事案件牵连。</w:t>
      </w:r>
    </w:p>
    <w:p>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3、无吸毒、酗酒、赌博、嫖娼等恶习及违法行为。</w:t>
      </w:r>
    </w:p>
    <w:p>
      <w:pPr>
        <w:spacing w:before="156" w:beforeLines="50" w:after="156" w:afterLines="50" w:line="360" w:lineRule="auto"/>
        <w:ind w:firstLine="422" w:firstLineChars="200"/>
        <w:rPr>
          <w:rFonts w:hint="eastAsia" w:ascii="宋体" w:hAnsi="宋体" w:cs="宋体"/>
          <w:b/>
          <w:szCs w:val="21"/>
        </w:rPr>
      </w:pPr>
      <w:r>
        <w:rPr>
          <w:rFonts w:hint="eastAsia" w:ascii="宋体" w:hAnsi="宋体" w:cs="宋体"/>
          <w:b/>
          <w:szCs w:val="21"/>
        </w:rPr>
        <w:t>七、劳动保护</w:t>
      </w:r>
    </w:p>
    <w:p>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1、承包人负责为本单位任何用工形式的员工提供个人劳动保护用品（包括工作服、安全帽、安全鞋等）。</w:t>
      </w:r>
    </w:p>
    <w:p>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2、承包人负责向特殊工种的员工提供特殊劳动保护，否则不得从事特殊工种作业。</w:t>
      </w:r>
    </w:p>
    <w:p>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3、发包人委托的监理公司有权检查承包人的个人劳动保护用品是否符合国家的相应标准。</w:t>
      </w:r>
    </w:p>
    <w:p>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4、承包人在特殊风险场所作业而需要特殊防护用品或安全仪表时,必须在上述防护用品全部到位后才能开工。</w:t>
      </w:r>
    </w:p>
    <w:p>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5、承包人应配备临时安全围栏、警示带、警告标志、防火布等集体防护用品。</w:t>
      </w:r>
    </w:p>
    <w:p>
      <w:pPr>
        <w:spacing w:before="156" w:beforeLines="50" w:after="156" w:afterLines="50" w:line="360" w:lineRule="auto"/>
        <w:ind w:firstLine="422" w:firstLineChars="200"/>
        <w:rPr>
          <w:rFonts w:hint="eastAsia" w:ascii="宋体" w:hAnsi="宋体" w:cs="宋体"/>
          <w:b/>
          <w:szCs w:val="21"/>
        </w:rPr>
      </w:pPr>
      <w:r>
        <w:rPr>
          <w:rFonts w:hint="eastAsia" w:ascii="宋体" w:hAnsi="宋体" w:cs="宋体"/>
          <w:b/>
          <w:szCs w:val="21"/>
        </w:rPr>
        <w:t>八、施工机具与材料</w:t>
      </w:r>
    </w:p>
    <w:p>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1、承包人对带入现场的施工机械和工器具的安全负责。</w:t>
      </w:r>
    </w:p>
    <w:p>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2、对于承包人带入现场的特殊工器具，如起重设备、索具、机动车辆、压缩气瓶等，承包人必须按国家法规和标准进行检测、试验，并持有法定部门出具的检验证书。</w:t>
      </w:r>
    </w:p>
    <w:p>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3、对于不属于法定检测的工器具，承包人也必须建立相应的管理、检测制度，这些工器具包括登高工具、脚手架材料、电动工具等等。</w:t>
      </w:r>
    </w:p>
    <w:p>
      <w:pPr>
        <w:spacing w:before="156" w:beforeLines="50" w:after="156" w:afterLines="50" w:line="360" w:lineRule="auto"/>
        <w:ind w:firstLine="422" w:firstLineChars="200"/>
        <w:rPr>
          <w:rFonts w:hint="eastAsia" w:ascii="宋体" w:hAnsi="宋体" w:cs="宋体"/>
          <w:b/>
          <w:szCs w:val="21"/>
        </w:rPr>
      </w:pPr>
      <w:r>
        <w:rPr>
          <w:rFonts w:hint="eastAsia" w:ascii="宋体" w:hAnsi="宋体" w:cs="宋体"/>
          <w:b/>
          <w:szCs w:val="21"/>
        </w:rPr>
        <w:t>九、开工前安全条件检查</w:t>
      </w:r>
    </w:p>
    <w:p>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1、发包人委托的监理公司将在合同生效后，工程项目正式开工5个工作日前，依据合同安全条款的要求逐项对承包人安全准备情况进行检查。不满足开工安全条件时，承包人将不得开工，由此产生的工期和成本的影响,由承包人自行负责。</w:t>
      </w:r>
    </w:p>
    <w:p>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2、开工前安全条件检查的基本内容包括：安全管理体系建设、安全资金投入、危险源识别和安全风险分析、施工机械的安全状况、安全工器具和材料、安全培训教材和教员、专职安全人员的到岗情况、培训的有效性、人员控制、个人劳动保护用品配备等内容。</w:t>
      </w:r>
    </w:p>
    <w:p>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3、发包人委托的监理公司检查发现的缺陷，承包人应在规定期限内完成整改。对于重大缺陷，发包人委托的监理公司有权要求承包人推迟开工，由此对工期产生的影响或经济损失，由承包人承担。</w:t>
      </w:r>
    </w:p>
    <w:p>
      <w:pPr>
        <w:spacing w:before="156" w:beforeLines="50" w:after="156" w:afterLines="50" w:line="360" w:lineRule="auto"/>
        <w:ind w:firstLine="422" w:firstLineChars="200"/>
        <w:rPr>
          <w:rFonts w:hint="eastAsia" w:ascii="宋体" w:hAnsi="宋体" w:cs="宋体"/>
          <w:b/>
          <w:szCs w:val="21"/>
        </w:rPr>
      </w:pPr>
      <w:r>
        <w:rPr>
          <w:rFonts w:hint="eastAsia" w:ascii="宋体" w:hAnsi="宋体" w:cs="宋体"/>
          <w:b/>
          <w:szCs w:val="21"/>
        </w:rPr>
        <w:t>十、安全监督</w:t>
      </w:r>
    </w:p>
    <w:p>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1、承包人应配备有满足项目安全管理需要的专职安全管理人员。</w:t>
      </w:r>
    </w:p>
    <w:p>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2、承包人的专职安全管理人员必须持建设主管部门颁发的安全生产知识考核合格证书。</w:t>
      </w:r>
    </w:p>
    <w:p>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3、承包人的专职安全管理人员在业务上接受发包人委托的监理公司和发包人安全管理部门的协调和指导。</w:t>
      </w:r>
    </w:p>
    <w:p>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4、承包人应建立班前安全交底制度；施工期间坚持开展安全检查和日常安全监督并形成相应的记录。</w:t>
      </w:r>
    </w:p>
    <w:p>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5、承包人应在每个作业区任命兼职安全员，赋予兼职安全员相应的授权和义务，并对兼职安全员进行定期考核。</w:t>
      </w:r>
    </w:p>
    <w:p>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6、承包人应接受和配合发包人专业部门及委托的监理公司的监督与安全评价。</w:t>
      </w:r>
    </w:p>
    <w:p>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7、发包人和委托的监理公司有权对承包人履行安全管理协议的情况进行监督，并有权对违章行为实行停工和处罚，处罚情况将通知承包人。涉及经济处罚时将直接通知合同管理部门从合同结算中扣除。</w:t>
      </w:r>
    </w:p>
    <w:p>
      <w:pPr>
        <w:spacing w:before="156" w:beforeLines="50" w:after="156" w:afterLines="50" w:line="360" w:lineRule="auto"/>
        <w:ind w:firstLine="422" w:firstLineChars="200"/>
        <w:rPr>
          <w:rFonts w:hint="eastAsia" w:ascii="宋体" w:hAnsi="宋体" w:cs="宋体"/>
          <w:b/>
          <w:szCs w:val="21"/>
        </w:rPr>
      </w:pPr>
      <w:r>
        <w:rPr>
          <w:rFonts w:hint="eastAsia" w:ascii="宋体" w:hAnsi="宋体" w:cs="宋体"/>
          <w:b/>
          <w:szCs w:val="21"/>
        </w:rPr>
        <w:t>十一、安全培训与授权</w:t>
      </w:r>
    </w:p>
    <w:p>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1、承包人所有特殊工种人员必须持证上岗，发包人委托的监理公司有权对其进行抽查。承包人要建立特殊工种定期培训和检查计划，这些工种包括但不限于：机动车驾驶员、焊工、起重工、电工等。</w:t>
      </w:r>
    </w:p>
    <w:p>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2、承包人应在特殊工种之外的其他工种中，筛选出高风险工种，并对其开展针对性的专题安全培训。</w:t>
      </w:r>
    </w:p>
    <w:p>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3、承包人应组织 “入场培训”和考核。发包人委托的监理公司有权监督培训、考核情况或组织抽查考核。</w:t>
      </w:r>
    </w:p>
    <w:p>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4、承包人应建立安全培训和考核机制，编制培训教材和培训滚动计划。承包人应组织安全考试/考核，建立培训考核记录，发包人委托的监理公司有权查看这些记录。</w:t>
      </w:r>
    </w:p>
    <w:p>
      <w:pPr>
        <w:spacing w:before="156" w:beforeLines="50" w:after="156" w:afterLines="50" w:line="360" w:lineRule="auto"/>
        <w:ind w:firstLine="422" w:firstLineChars="200"/>
        <w:rPr>
          <w:rFonts w:hint="eastAsia" w:ascii="宋体" w:hAnsi="宋体" w:cs="宋体"/>
          <w:b/>
          <w:szCs w:val="21"/>
        </w:rPr>
      </w:pPr>
      <w:r>
        <w:rPr>
          <w:rFonts w:hint="eastAsia" w:ascii="宋体" w:hAnsi="宋体" w:cs="宋体"/>
          <w:b/>
          <w:szCs w:val="21"/>
        </w:rPr>
        <w:t>十二、职业健康与卫生防疫</w:t>
      </w:r>
    </w:p>
    <w:p>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1、承包人应有特殊健康检查制度，预防有禁忌症患者从事有关职业，如恐高症患者不得从事高空作业，患有心血管疾病的人员不得从事繁重的体力劳动，特殊工种人员的体检应符合国家的规定。</w:t>
      </w:r>
    </w:p>
    <w:p>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2、承包人应保证卫生防疫基本设施的投入，以满足医疗、急救的要求，建立外部医疗支持渠道。</w:t>
      </w:r>
    </w:p>
    <w:p>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3、应建立卫生防疫措施计划，做好生活区和施工区的卫生防疫工作；制定和执行保证饮水卫生、饮食卫生、环境卫生和预防集体食物中毒的措施；有灭蚊、灭鼠和消毒的专项工作计划；有针对性地制订预防各类传染疾病的措施。</w:t>
      </w:r>
    </w:p>
    <w:p>
      <w:pPr>
        <w:spacing w:before="156" w:beforeLines="50" w:after="156" w:afterLines="50" w:line="360" w:lineRule="auto"/>
        <w:ind w:firstLine="422" w:firstLineChars="200"/>
        <w:rPr>
          <w:rFonts w:hint="eastAsia" w:ascii="宋体" w:hAnsi="宋体" w:cs="宋体"/>
          <w:b/>
          <w:szCs w:val="21"/>
        </w:rPr>
      </w:pPr>
      <w:r>
        <w:rPr>
          <w:rFonts w:hint="eastAsia" w:ascii="宋体" w:hAnsi="宋体" w:cs="宋体"/>
          <w:b/>
          <w:szCs w:val="21"/>
        </w:rPr>
        <w:t>十三、文明施工与环保要求</w:t>
      </w:r>
    </w:p>
    <w:p>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1、承包人需制订施工现场的文明施工措施，保持良好的施工现场秩序。施工现场的物料堆放要摆放整齐，安全标志和宣传标志要清楚醒目，废料、废物要分类收集，安全通道要畅通。</w:t>
      </w:r>
    </w:p>
    <w:p>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2、承包人作业时应避免建筑材料抛洒、飞扬、流淌；应尽可能降低噪音、震动。</w:t>
      </w:r>
    </w:p>
    <w:p>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3、承包人应根据实际需要，在施工现场布置临时卫生设施（洗手间、卫生间等），施工作业不破坏环境卫生，不污染现场环境。</w:t>
      </w:r>
    </w:p>
    <w:p>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4、承包人在施工中应充分重视对环境的保护，保护绿色植被，保护古树。施工如需伤害古树，必须报告发包人委托的监理公司，在未得到指令前，禁止擅自伤害古树。</w:t>
      </w:r>
    </w:p>
    <w:p>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5、承包人应及时清理现场废物和垃圾。工业废料与生活垃圾必须分开，有害废物与普通废物必须分开（如油品废物、电池灯管等，必须单独收集、存放）；禁止在非指定场所乱倒、乱堆垃圾。禁止违章处理危险化学品和工业垃圾。</w:t>
      </w:r>
    </w:p>
    <w:p>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6、承包人在施工中应禁止向环境，排放工业污水、生活污水、废油或其他有害物质。</w:t>
      </w:r>
    </w:p>
    <w:p>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7、承包人在施工中应防止水土流失，应及时对裸露的地基、边坡、开挖出来的沙/土以及砂、石、水泥等建筑材料予以保护，防止风刮扬尘，雨水冲刷，流入下水道、排洪沟。如因防护不及时而造成大量水土流失、淤塞道路、沟道或污染环境的，承包人应承担清淤、清扫以及相应的赔偿责任。</w:t>
      </w:r>
    </w:p>
    <w:p>
      <w:pPr>
        <w:spacing w:before="156" w:beforeLines="50" w:after="156" w:afterLines="50" w:line="360" w:lineRule="auto"/>
        <w:ind w:firstLine="422" w:firstLineChars="200"/>
        <w:rPr>
          <w:rFonts w:hint="eastAsia" w:ascii="宋体" w:hAnsi="宋体" w:cs="宋体"/>
          <w:b/>
          <w:szCs w:val="21"/>
        </w:rPr>
      </w:pPr>
      <w:r>
        <w:rPr>
          <w:rFonts w:hint="eastAsia" w:ascii="宋体" w:hAnsi="宋体" w:cs="宋体"/>
          <w:b/>
          <w:szCs w:val="21"/>
        </w:rPr>
        <w:t>十四、工程风险管理与事故预防</w:t>
      </w:r>
    </w:p>
    <w:p>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（一）基本要求</w:t>
      </w:r>
    </w:p>
    <w:p>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1、承包人应对施工过程进行全面、深入的危险源识别和风险分析。在施工安全组织设计中提供危险源及重要危险源清单、作业风险分析报告，该报告应包括（但不限于）如下信息：</w:t>
      </w:r>
    </w:p>
    <w:p>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（1）高风险作业和工种清单：作业名称、类别和数量、主要事故风险。</w:t>
      </w:r>
    </w:p>
    <w:p>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（2）施工能源和机械的种类、数量和主要事故风险。</w:t>
      </w:r>
    </w:p>
    <w:p>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（3）施工作业条件的类型和主要事故风险。</w:t>
      </w:r>
    </w:p>
    <w:p>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（4）主要工艺过程（或施工活动）的类别及其相关的事故风险。</w:t>
      </w:r>
    </w:p>
    <w:p>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（5）主要火灾危险（可燃物、点火源）。</w:t>
      </w:r>
    </w:p>
    <w:p>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（6）主要自然灾害（洪水、大风、雷暴、暴雨、地质灾害等）。</w:t>
      </w:r>
    </w:p>
    <w:p>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（7）主要环境保护事件（有害垃圾、机械的跑冒滴漏、原材料流失、水土流失等）。</w:t>
      </w:r>
    </w:p>
    <w:p>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（8）其他。</w:t>
      </w:r>
    </w:p>
    <w:p>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2、承包人应针对识别出的危险源制定有针对性的事故预防措施并确保在施工中得到有效落实。</w:t>
      </w:r>
    </w:p>
    <w:p>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3、承包人应建立日常施工活动的动态作业风险分析和安全交底制度。该制度应明确规定风险分析的方法、责任和交底的内容、时间及记录。</w:t>
      </w:r>
    </w:p>
    <w:p>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（二）现场作业基本安全条件</w:t>
      </w:r>
    </w:p>
    <w:p>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承包人应规定现场作业的基本安全条件，包括照明条件、通风条件、作业平台和通道条件、物料堆放条件、供电供水条件、吸烟点、休息点等，并对临边现场、道路上作业现场、立体交叉作业现场、地面坑洞和沟道、夜间作业现场等的基本安全条件做出规定。</w:t>
      </w:r>
    </w:p>
    <w:p>
      <w:pPr>
        <w:spacing w:before="156" w:beforeLines="50" w:after="156" w:afterLines="50" w:line="360" w:lineRule="auto"/>
        <w:ind w:firstLine="422" w:firstLineChars="200"/>
        <w:rPr>
          <w:rFonts w:hint="eastAsia" w:ascii="宋体" w:hAnsi="宋体" w:cs="宋体"/>
          <w:b/>
          <w:szCs w:val="21"/>
        </w:rPr>
      </w:pPr>
      <w:r>
        <w:rPr>
          <w:rFonts w:hint="eastAsia" w:ascii="宋体" w:hAnsi="宋体" w:cs="宋体"/>
          <w:b/>
          <w:szCs w:val="21"/>
        </w:rPr>
        <w:t>十五、事故报告与应急救援</w:t>
      </w:r>
    </w:p>
    <w:p>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1、承包人应制定对于未遂事故及以上级别的安全事件和事故，定期报送安全月度快报、季报、年报和各种专项事故报告等。</w:t>
      </w:r>
    </w:p>
    <w:p>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2、承包人应建立安全事故统计记录、未遂事故统计记录、违章统计记录，并根据统计情况进行分析，并就分析结果制定相应的预防措施。</w:t>
      </w:r>
    </w:p>
    <w:p>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3、承包人应建立事故应急救援机制，明确事故处置的基本原则，即现场发生事故时，首先抢救生命，向救援组织报警，并采取措施限制事故扩大。</w:t>
      </w:r>
    </w:p>
    <w:p>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4、承包人应建立相应的应急响应组织，以便能迅速处理突发意外。</w:t>
      </w:r>
    </w:p>
    <w:p>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5、承包人应建立专项应急响应预案，包括重大人身伤亡事故的救护预案、火灾响应预案、“四防”预案（防风、防冻、防雷、防暴雨）、重大疫病防护预案、环境污染防护预案、地质灾害防护预案等。</w:t>
      </w:r>
    </w:p>
    <w:p>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6、承包人应对应急预案每年进行不少于1次进行适当演练，保证应急预案的可操作性。</w:t>
      </w:r>
    </w:p>
    <w:p>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7、在工地的其他施工单位发生重大事故时，承包人应无条件立即配合、支持事故抢险。</w:t>
      </w:r>
    </w:p>
    <w:p>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8、承包人必须为事故处置支付各项费用，包括受伤者的抚恤、补偿等费用，并按合同要求赔偿对发包人造成的损失。</w:t>
      </w:r>
    </w:p>
    <w:p>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9、由于发包人原因而造成的事故，发包人应负责按事故的具体损失情况给予承包人经济赔偿。</w:t>
      </w:r>
    </w:p>
    <w:p>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10、涉及承包人员工的伤害事故，承包人除要报告发包人委托的监理公司外，还应负责按照国家、行业和本单位上级公司的要求，上报事故。</w:t>
      </w:r>
    </w:p>
    <w:p>
      <w:pPr>
        <w:spacing w:before="156" w:beforeLines="50" w:after="156" w:afterLines="50" w:line="360" w:lineRule="auto"/>
        <w:ind w:firstLine="422" w:firstLineChars="200"/>
        <w:rPr>
          <w:rFonts w:hint="eastAsia" w:ascii="宋体" w:hAnsi="宋体" w:cs="宋体"/>
          <w:b/>
          <w:szCs w:val="21"/>
        </w:rPr>
      </w:pPr>
      <w:r>
        <w:rPr>
          <w:rFonts w:hint="eastAsia" w:ascii="宋体" w:hAnsi="宋体" w:cs="宋体"/>
          <w:b/>
          <w:szCs w:val="21"/>
        </w:rPr>
        <w:t>十六、安全业绩考核</w:t>
      </w:r>
    </w:p>
    <w:p>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为了落实安全管理的责任，承包人在施工过程中发生安全事故时，承包人除应按国家有关规定承担责任和处罚外，发包人还将按照以下标准进行考核：</w:t>
      </w:r>
    </w:p>
    <w:tbl>
      <w:tblPr>
        <w:tblStyle w:val="11"/>
        <w:tblW w:w="0" w:type="auto"/>
        <w:jc w:val="center"/>
        <w:tblLayout w:type="fixed"/>
        <w:tblCellMar>
          <w:top w:w="0" w:type="dxa"/>
          <w:left w:w="0" w:type="dxa"/>
          <w:bottom w:w="0" w:type="dxa"/>
          <w:right w:w="0" w:type="dxa"/>
        </w:tblCellMar>
      </w:tblPr>
      <w:tblGrid>
        <w:gridCol w:w="3240"/>
        <w:gridCol w:w="3765"/>
      </w:tblGrid>
      <w:tr>
        <w:tblPrEx>
          <w:tblCellMar>
            <w:top w:w="0" w:type="dxa"/>
            <w:left w:w="0" w:type="dxa"/>
            <w:bottom w:w="0" w:type="dxa"/>
            <w:right w:w="0" w:type="dxa"/>
          </w:tblCellMar>
        </w:tblPrEx>
        <w:trPr>
          <w:trHeight w:val="188" w:hRule="atLeast"/>
          <w:jc w:val="center"/>
        </w:trPr>
        <w:tc>
          <w:tcPr>
            <w:tcW w:w="3240"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adjustRightInd w:val="0"/>
              <w:snapToGrid w:val="0"/>
              <w:spacing w:line="360" w:lineRule="exact"/>
              <w:ind w:firstLine="420" w:firstLineChars="200"/>
              <w:jc w:val="center"/>
              <w:rPr>
                <w:rFonts w:hint="eastAsia" w:ascii="宋体" w:hAnsi="宋体" w:cs="宋体"/>
                <w:szCs w:val="21"/>
              </w:rPr>
            </w:pPr>
            <w:r>
              <w:rPr>
                <w:rFonts w:hint="eastAsia" w:ascii="宋体" w:hAnsi="宋体" w:cs="宋体"/>
                <w:szCs w:val="21"/>
              </w:rPr>
              <w:t>事件类型</w:t>
            </w:r>
          </w:p>
        </w:tc>
        <w:tc>
          <w:tcPr>
            <w:tcW w:w="3765"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adjustRightInd w:val="0"/>
              <w:snapToGrid w:val="0"/>
              <w:spacing w:line="360" w:lineRule="exact"/>
              <w:ind w:firstLine="420" w:firstLineChars="200"/>
              <w:jc w:val="center"/>
              <w:rPr>
                <w:rFonts w:hint="eastAsia" w:ascii="宋体" w:hAnsi="宋体" w:cs="宋体"/>
                <w:szCs w:val="21"/>
              </w:rPr>
            </w:pPr>
            <w:r>
              <w:rPr>
                <w:rFonts w:hint="eastAsia" w:ascii="宋体" w:hAnsi="宋体" w:cs="宋体"/>
                <w:szCs w:val="21"/>
              </w:rPr>
              <w:t>违约金额</w:t>
            </w:r>
          </w:p>
        </w:tc>
      </w:tr>
      <w:tr>
        <w:tblPrEx>
          <w:tblCellMar>
            <w:top w:w="0" w:type="dxa"/>
            <w:left w:w="0" w:type="dxa"/>
            <w:bottom w:w="0" w:type="dxa"/>
            <w:right w:w="0" w:type="dxa"/>
          </w:tblCellMar>
        </w:tblPrEx>
        <w:trPr>
          <w:trHeight w:val="274" w:hRule="atLeast"/>
          <w:jc w:val="center"/>
        </w:trPr>
        <w:tc>
          <w:tcPr>
            <w:tcW w:w="3240"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adjustRightInd w:val="0"/>
              <w:snapToGrid w:val="0"/>
              <w:spacing w:line="360" w:lineRule="exact"/>
              <w:ind w:firstLine="420" w:firstLineChars="200"/>
              <w:jc w:val="center"/>
              <w:rPr>
                <w:rFonts w:hint="eastAsia" w:ascii="宋体" w:hAnsi="宋体" w:cs="宋体"/>
                <w:szCs w:val="21"/>
              </w:rPr>
            </w:pPr>
            <w:r>
              <w:rPr>
                <w:rFonts w:hint="eastAsia" w:ascii="宋体" w:hAnsi="宋体" w:cs="宋体"/>
                <w:szCs w:val="21"/>
              </w:rPr>
              <w:t>较大事故</w:t>
            </w:r>
          </w:p>
        </w:tc>
        <w:tc>
          <w:tcPr>
            <w:tcW w:w="3765" w:type="dxa"/>
            <w:tcBorders>
              <w:top w:val="single" w:color="auto" w:sz="8" w:space="0"/>
              <w:left w:val="nil"/>
              <w:bottom w:val="single" w:color="auto" w:sz="8" w:space="0"/>
              <w:right w:val="single" w:color="auto" w:sz="8" w:space="0"/>
            </w:tcBorders>
            <w:noWrap w:val="0"/>
            <w:vAlign w:val="center"/>
          </w:tcPr>
          <w:p>
            <w:pPr>
              <w:adjustRightInd w:val="0"/>
              <w:snapToGrid w:val="0"/>
              <w:spacing w:line="360" w:lineRule="exact"/>
              <w:ind w:firstLine="420" w:firstLineChars="200"/>
              <w:jc w:val="center"/>
              <w:rPr>
                <w:rFonts w:hint="eastAsia" w:ascii="宋体" w:hAnsi="宋体" w:cs="宋体"/>
                <w:szCs w:val="21"/>
              </w:rPr>
            </w:pPr>
            <w:r>
              <w:rPr>
                <w:rFonts w:hint="eastAsia" w:ascii="宋体" w:hAnsi="宋体" w:cs="宋体"/>
                <w:szCs w:val="21"/>
              </w:rPr>
              <w:t>建安费总额的1‰</w:t>
            </w:r>
          </w:p>
        </w:tc>
      </w:tr>
      <w:tr>
        <w:tblPrEx>
          <w:tblCellMar>
            <w:top w:w="0" w:type="dxa"/>
            <w:left w:w="0" w:type="dxa"/>
            <w:bottom w:w="0" w:type="dxa"/>
            <w:right w:w="0" w:type="dxa"/>
          </w:tblCellMar>
        </w:tblPrEx>
        <w:trPr>
          <w:trHeight w:val="274" w:hRule="atLeast"/>
          <w:jc w:val="center"/>
        </w:trPr>
        <w:tc>
          <w:tcPr>
            <w:tcW w:w="3240"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adjustRightInd w:val="0"/>
              <w:snapToGrid w:val="0"/>
              <w:spacing w:line="360" w:lineRule="exact"/>
              <w:ind w:firstLine="420" w:firstLineChars="200"/>
              <w:jc w:val="center"/>
              <w:rPr>
                <w:rFonts w:hint="eastAsia" w:ascii="宋体" w:hAnsi="宋体" w:cs="宋体"/>
                <w:szCs w:val="21"/>
              </w:rPr>
            </w:pPr>
            <w:r>
              <w:rPr>
                <w:rFonts w:hint="eastAsia" w:ascii="宋体" w:hAnsi="宋体" w:cs="宋体"/>
                <w:szCs w:val="21"/>
              </w:rPr>
              <w:t>重大事故</w:t>
            </w:r>
          </w:p>
        </w:tc>
        <w:tc>
          <w:tcPr>
            <w:tcW w:w="3765" w:type="dxa"/>
            <w:tcBorders>
              <w:top w:val="single" w:color="auto" w:sz="8" w:space="0"/>
              <w:left w:val="nil"/>
              <w:bottom w:val="single" w:color="auto" w:sz="8" w:space="0"/>
              <w:right w:val="single" w:color="auto" w:sz="8" w:space="0"/>
            </w:tcBorders>
            <w:noWrap w:val="0"/>
            <w:vAlign w:val="center"/>
          </w:tcPr>
          <w:p>
            <w:pPr>
              <w:adjustRightInd w:val="0"/>
              <w:snapToGrid w:val="0"/>
              <w:spacing w:line="360" w:lineRule="exact"/>
              <w:ind w:firstLine="420" w:firstLineChars="200"/>
              <w:jc w:val="center"/>
              <w:rPr>
                <w:rFonts w:hint="eastAsia" w:ascii="宋体" w:hAnsi="宋体" w:cs="宋体"/>
                <w:szCs w:val="21"/>
              </w:rPr>
            </w:pPr>
            <w:r>
              <w:rPr>
                <w:rFonts w:hint="eastAsia" w:ascii="宋体" w:hAnsi="宋体" w:cs="宋体"/>
                <w:szCs w:val="21"/>
              </w:rPr>
              <w:t>建安费总额的2‰</w:t>
            </w:r>
          </w:p>
        </w:tc>
      </w:tr>
      <w:tr>
        <w:tblPrEx>
          <w:tblCellMar>
            <w:top w:w="0" w:type="dxa"/>
            <w:left w:w="0" w:type="dxa"/>
            <w:bottom w:w="0" w:type="dxa"/>
            <w:right w:w="0" w:type="dxa"/>
          </w:tblCellMar>
        </w:tblPrEx>
        <w:trPr>
          <w:trHeight w:val="274" w:hRule="atLeast"/>
          <w:jc w:val="center"/>
        </w:trPr>
        <w:tc>
          <w:tcPr>
            <w:tcW w:w="3240"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adjustRightInd w:val="0"/>
              <w:snapToGrid w:val="0"/>
              <w:spacing w:line="360" w:lineRule="exact"/>
              <w:ind w:firstLine="420" w:firstLineChars="200"/>
              <w:jc w:val="center"/>
              <w:rPr>
                <w:rFonts w:hint="eastAsia" w:ascii="宋体" w:hAnsi="宋体" w:cs="宋体"/>
                <w:szCs w:val="21"/>
              </w:rPr>
            </w:pPr>
            <w:r>
              <w:rPr>
                <w:rFonts w:hint="eastAsia" w:ascii="宋体" w:hAnsi="宋体" w:cs="宋体"/>
                <w:szCs w:val="21"/>
              </w:rPr>
              <w:t>特别重大事故</w:t>
            </w:r>
          </w:p>
        </w:tc>
        <w:tc>
          <w:tcPr>
            <w:tcW w:w="3765" w:type="dxa"/>
            <w:tcBorders>
              <w:top w:val="single" w:color="auto" w:sz="8" w:space="0"/>
              <w:left w:val="nil"/>
              <w:bottom w:val="single" w:color="auto" w:sz="8" w:space="0"/>
              <w:right w:val="single" w:color="auto" w:sz="8" w:space="0"/>
            </w:tcBorders>
            <w:noWrap w:val="0"/>
            <w:vAlign w:val="center"/>
          </w:tcPr>
          <w:p>
            <w:pPr>
              <w:adjustRightInd w:val="0"/>
              <w:snapToGrid w:val="0"/>
              <w:spacing w:line="360" w:lineRule="exact"/>
              <w:ind w:firstLine="420" w:firstLineChars="200"/>
              <w:jc w:val="center"/>
              <w:rPr>
                <w:rFonts w:hint="eastAsia" w:ascii="宋体" w:hAnsi="宋体" w:cs="宋体"/>
                <w:szCs w:val="21"/>
              </w:rPr>
            </w:pPr>
            <w:r>
              <w:rPr>
                <w:rFonts w:hint="eastAsia" w:ascii="宋体" w:hAnsi="宋体" w:cs="宋体"/>
                <w:szCs w:val="21"/>
              </w:rPr>
              <w:t>建安费总额的4‰</w:t>
            </w:r>
          </w:p>
        </w:tc>
      </w:tr>
    </w:tbl>
    <w:p>
      <w:pPr>
        <w:spacing w:line="360" w:lineRule="auto"/>
        <w:ind w:firstLine="420" w:firstLineChars="200"/>
        <w:rPr>
          <w:rFonts w:hint="eastAsia" w:ascii="宋体" w:hAnsi="宋体" w:cs="宋体"/>
          <w:szCs w:val="21"/>
        </w:rPr>
      </w:pPr>
      <w:r>
        <w:rPr>
          <w:rFonts w:hint="eastAsia" w:ascii="宋体" w:hAnsi="宋体" w:cs="宋体"/>
          <w:szCs w:val="21"/>
        </w:rPr>
        <w:t>（1）较大事故，是指造成3人以上10人以下死亡，或者10人以上50人以下重伤，或者1000万元以上5000万元以下直接经济损失的事故；</w:t>
      </w:r>
    </w:p>
    <w:p>
      <w:pPr>
        <w:spacing w:line="360" w:lineRule="auto"/>
        <w:ind w:firstLine="420" w:firstLineChars="200"/>
        <w:rPr>
          <w:rFonts w:hint="eastAsia" w:ascii="宋体" w:hAnsi="宋体" w:cs="宋体"/>
          <w:szCs w:val="21"/>
        </w:rPr>
      </w:pPr>
      <w:r>
        <w:rPr>
          <w:rFonts w:hint="eastAsia" w:ascii="宋体" w:hAnsi="宋体" w:cs="宋体"/>
          <w:szCs w:val="21"/>
        </w:rPr>
        <w:t>（2）重大事故，是指造成10人以上30人以下死亡，或者50人以上100人以下重伤，或者5000万元以上1亿元以下直接经济损失的事故；</w:t>
      </w:r>
    </w:p>
    <w:p>
      <w:pPr>
        <w:spacing w:line="360" w:lineRule="auto"/>
        <w:ind w:firstLine="420" w:firstLineChars="200"/>
        <w:rPr>
          <w:rFonts w:hint="eastAsia" w:ascii="宋体" w:hAnsi="宋体" w:cs="宋体"/>
          <w:szCs w:val="21"/>
        </w:rPr>
      </w:pPr>
      <w:r>
        <w:rPr>
          <w:rFonts w:hint="eastAsia" w:ascii="宋体" w:hAnsi="宋体" w:cs="宋体"/>
          <w:szCs w:val="21"/>
        </w:rPr>
        <w:t>（3）特别重大事故，是指造成30人以上死亡，或者100人以上重伤（包括急性工业中毒，下同），或者1亿元以上直接经济损失的事故；</w:t>
      </w:r>
    </w:p>
    <w:p>
      <w:pPr>
        <w:spacing w:line="360" w:lineRule="auto"/>
        <w:ind w:firstLine="420" w:firstLineChars="200"/>
        <w:rPr>
          <w:rFonts w:hint="eastAsia" w:ascii="宋体" w:hAnsi="宋体" w:cs="宋体"/>
          <w:szCs w:val="21"/>
        </w:rPr>
      </w:pPr>
      <w:r>
        <w:rPr>
          <w:rFonts w:hint="eastAsia" w:ascii="宋体" w:hAnsi="宋体" w:cs="宋体"/>
          <w:szCs w:val="21"/>
        </w:rPr>
        <w:t>（4）所称的“以上”包括本数，所称的“以下”不包括本数。</w:t>
      </w:r>
    </w:p>
    <w:p>
      <w:pPr>
        <w:spacing w:line="360" w:lineRule="auto"/>
        <w:ind w:firstLine="420" w:firstLineChars="200"/>
        <w:rPr>
          <w:rFonts w:hint="eastAsia" w:ascii="宋体" w:hAnsi="宋体" w:cs="宋体"/>
          <w:szCs w:val="21"/>
        </w:rPr>
      </w:pPr>
      <w:r>
        <w:rPr>
          <w:rFonts w:hint="eastAsia" w:ascii="宋体" w:hAnsi="宋体" w:cs="宋体"/>
          <w:szCs w:val="21"/>
        </w:rPr>
        <w:t>（5）如整个施工过程未发生以上安全事故，则给予承包人建安费总额的1‰的安全奖励。</w:t>
      </w:r>
    </w:p>
    <w:p>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 xml:space="preserve">4、发包人委托的监理公司负责对承包人的安全业绩进行考核。每次合同支付前，承包人提交自我安全业绩评估报告，然后交发包人委托的监理公司评价。发包人委托的监理公司在签署评价意见后，将作为合同支付依据之一，同时也作为是否可接受承包人再次参加发包人项目投标的依据之一。 </w:t>
      </w:r>
    </w:p>
    <w:p>
      <w:pPr>
        <w:spacing w:before="156" w:beforeLines="50" w:after="156" w:afterLines="50" w:line="360" w:lineRule="auto"/>
        <w:ind w:firstLine="422" w:firstLineChars="200"/>
        <w:rPr>
          <w:rFonts w:hint="eastAsia" w:ascii="宋体" w:hAnsi="宋体" w:cs="宋体"/>
          <w:b/>
          <w:szCs w:val="21"/>
        </w:rPr>
      </w:pPr>
      <w:r>
        <w:rPr>
          <w:rFonts w:hint="eastAsia" w:ascii="宋体" w:hAnsi="宋体" w:cs="宋体"/>
          <w:b/>
          <w:szCs w:val="21"/>
        </w:rPr>
        <w:t>十七、协议条款的修订</w:t>
      </w:r>
    </w:p>
    <w:p>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在项目实施过程中，经双方友好协商，本协议的有关条款也可做出相应的修改。</w:t>
      </w:r>
    </w:p>
    <w:p>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本工程安全管理协议，由发包人、承包人双方在施工承包合同签订后7日内共同签署，作为施工合同附件，其有效期限至保修期满。</w:t>
      </w:r>
    </w:p>
    <w:p>
      <w:pPr>
        <w:adjustRightInd w:val="0"/>
        <w:snapToGrid w:val="0"/>
        <w:spacing w:line="360" w:lineRule="auto"/>
        <w:jc w:val="center"/>
        <w:rPr>
          <w:rFonts w:hint="eastAsia" w:ascii="宋体" w:hAnsi="宋体" w:cs="宋体"/>
          <w:szCs w:val="21"/>
        </w:rPr>
      </w:pPr>
    </w:p>
    <w:p>
      <w:pPr>
        <w:adjustRightInd w:val="0"/>
        <w:snapToGrid w:val="0"/>
        <w:spacing w:line="360" w:lineRule="auto"/>
        <w:rPr>
          <w:rFonts w:hint="eastAsia" w:ascii="宋体" w:hAnsi="宋体" w:cs="宋体"/>
          <w:szCs w:val="21"/>
        </w:rPr>
      </w:pPr>
      <w:r>
        <w:rPr>
          <w:rFonts w:hint="eastAsia" w:ascii="宋体" w:hAnsi="宋体" w:cs="宋体"/>
          <w:szCs w:val="21"/>
        </w:rPr>
        <w:t>发  包  人（公章）：                         承  包  人（公章）：</w:t>
      </w:r>
    </w:p>
    <w:p>
      <w:pPr>
        <w:adjustRightInd w:val="0"/>
        <w:snapToGrid w:val="0"/>
        <w:spacing w:line="360" w:lineRule="auto"/>
        <w:rPr>
          <w:rFonts w:hint="eastAsia" w:ascii="宋体" w:hAnsi="宋体" w:cs="宋体"/>
          <w:szCs w:val="21"/>
        </w:rPr>
      </w:pPr>
      <w:r>
        <w:rPr>
          <w:rFonts w:hint="eastAsia" w:ascii="宋体" w:hAnsi="宋体" w:cs="宋体"/>
          <w:szCs w:val="21"/>
        </w:rPr>
        <w:t>法定代表人（签字）：                         法定代表人（签字）：</w:t>
      </w:r>
    </w:p>
    <w:p>
      <w:pPr>
        <w:autoSpaceDE w:val="0"/>
        <w:autoSpaceDN w:val="0"/>
        <w:adjustRightInd w:val="0"/>
        <w:spacing w:line="360" w:lineRule="auto"/>
        <w:jc w:val="left"/>
        <w:rPr>
          <w:rFonts w:hint="eastAsia" w:ascii="宋体" w:hAnsi="宋体" w:cs="宋体"/>
          <w:szCs w:val="21"/>
        </w:rPr>
      </w:pPr>
      <w:r>
        <w:rPr>
          <w:rFonts w:hint="eastAsia" w:ascii="宋体" w:hAnsi="宋体" w:cs="宋体"/>
          <w:szCs w:val="21"/>
        </w:rPr>
        <w:t xml:space="preserve">        年   月   日                                  年   月   日</w:t>
      </w:r>
    </w:p>
    <w:p>
      <w:pPr>
        <w:rPr>
          <w:szCs w:val="20"/>
        </w:rPr>
      </w:pPr>
    </w:p>
    <w:p>
      <w:pPr>
        <w:spacing w:line="360" w:lineRule="auto"/>
        <w:rPr>
          <w:color w:val="auto"/>
          <w:highlight w:val="none"/>
        </w:rPr>
      </w:pPr>
    </w:p>
    <w:p>
      <w:pPr>
        <w:pStyle w:val="6"/>
        <w:rPr>
          <w:rFonts w:hint="default" w:ascii="Times New Roman" w:hAnsi="Times New Roman" w:cs="Times New Roman"/>
          <w:color w:val="auto"/>
        </w:rPr>
      </w:pPr>
    </w:p>
    <w:p>
      <w:pPr>
        <w:rPr>
          <w:rFonts w:hint="default" w:ascii="Times New Roman" w:hAnsi="Times New Roman" w:cs="Times New Roman"/>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JhengHei">
    <w:panose1 w:val="020B0604030504040204"/>
    <w:charset w:val="88"/>
    <w:family w:val="auto"/>
    <w:pitch w:val="default"/>
    <w:sig w:usb0="000002A7" w:usb1="28CF4400" w:usb2="00000016" w:usb3="00000000" w:csb0="00100009" w:csb1="00000000"/>
  </w:font>
  <w:font w:name="仿宋_GB2312">
    <w:panose1 w:val="02010609030101010101"/>
    <w:charset w:val="86"/>
    <w:family w:val="swiss"/>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left"/>
    </w:pPr>
    <w:r>
      <w:rPr>
        <w:sz w:val="20"/>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I3F45UVAgAAFQQAAA4AAAAAAAAA&#10;AQAgAAAAHwEAAGRycy9lMm9Eb2MueG1sUEsFBgAAAAAGAAYAWQEAAKYFA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jc w:val="center"/>
    </w:pPr>
    <w:r>
      <w:fldChar w:fldCharType="begin"/>
    </w:r>
    <w:r>
      <w:instrText xml:space="preserve"> PAGE   \* MERGEFORMAT </w:instrText>
    </w:r>
    <w:r>
      <w:fldChar w:fldCharType="separate"/>
    </w:r>
    <w:r>
      <w:rPr>
        <w:lang w:val="zh-CN"/>
      </w:rPr>
      <w:t>7</w:t>
    </w:r>
    <w:r>
      <w:rPr>
        <w:lang w:val="zh-CN"/>
      </w:rPr>
      <w:fldChar w:fldCharType="end"/>
    </w:r>
  </w:p>
  <w:p>
    <w:pPr>
      <w:pStyle w:val="9"/>
      <w:framePr w:wrap="around" w:vAnchor="text" w:hAnchor="margin" w:xAlign="center" w:y="1"/>
      <w:rPr>
        <w:rStyle w:val="1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CF3007A"/>
    <w:multiLevelType w:val="singleLevel"/>
    <w:tmpl w:val="8CF3007A"/>
    <w:lvl w:ilvl="0" w:tentative="0">
      <w:start w:val="1"/>
      <w:numFmt w:val="decimal"/>
      <w:suff w:val="nothing"/>
      <w:lvlText w:val="%1、"/>
      <w:lvlJc w:val="left"/>
    </w:lvl>
  </w:abstractNum>
  <w:abstractNum w:abstractNumId="1">
    <w:nsid w:val="8DB2217C"/>
    <w:multiLevelType w:val="singleLevel"/>
    <w:tmpl w:val="8DB2217C"/>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F65CA1"/>
    <w:rsid w:val="00211C4A"/>
    <w:rsid w:val="00411FE1"/>
    <w:rsid w:val="00934CFB"/>
    <w:rsid w:val="012B7046"/>
    <w:rsid w:val="01486067"/>
    <w:rsid w:val="018C0F05"/>
    <w:rsid w:val="02170DF0"/>
    <w:rsid w:val="021A4DD5"/>
    <w:rsid w:val="025302D4"/>
    <w:rsid w:val="02907EE6"/>
    <w:rsid w:val="02BA0BDE"/>
    <w:rsid w:val="02D76FBF"/>
    <w:rsid w:val="02DB6CAD"/>
    <w:rsid w:val="03155754"/>
    <w:rsid w:val="032640B7"/>
    <w:rsid w:val="03990AFF"/>
    <w:rsid w:val="03C90681"/>
    <w:rsid w:val="044C5A17"/>
    <w:rsid w:val="046308C3"/>
    <w:rsid w:val="04972AE8"/>
    <w:rsid w:val="04C37133"/>
    <w:rsid w:val="04CD134A"/>
    <w:rsid w:val="04FA676B"/>
    <w:rsid w:val="053A28AD"/>
    <w:rsid w:val="05527EED"/>
    <w:rsid w:val="057C447A"/>
    <w:rsid w:val="05803160"/>
    <w:rsid w:val="05875336"/>
    <w:rsid w:val="05980C77"/>
    <w:rsid w:val="05AD1FCC"/>
    <w:rsid w:val="05C76257"/>
    <w:rsid w:val="05D812E7"/>
    <w:rsid w:val="05E92ABF"/>
    <w:rsid w:val="063E24C3"/>
    <w:rsid w:val="06602012"/>
    <w:rsid w:val="0666233C"/>
    <w:rsid w:val="06B805C0"/>
    <w:rsid w:val="06DA079C"/>
    <w:rsid w:val="071B0F1C"/>
    <w:rsid w:val="071D2F5C"/>
    <w:rsid w:val="073659C0"/>
    <w:rsid w:val="074E1FBA"/>
    <w:rsid w:val="075E2E14"/>
    <w:rsid w:val="07826B02"/>
    <w:rsid w:val="0785756C"/>
    <w:rsid w:val="07DC4315"/>
    <w:rsid w:val="08312D0B"/>
    <w:rsid w:val="086E79EB"/>
    <w:rsid w:val="089917A0"/>
    <w:rsid w:val="08E963F9"/>
    <w:rsid w:val="08EB7177"/>
    <w:rsid w:val="091E0085"/>
    <w:rsid w:val="095C365A"/>
    <w:rsid w:val="09A40FBE"/>
    <w:rsid w:val="09BF70F1"/>
    <w:rsid w:val="09E262D4"/>
    <w:rsid w:val="0A0C3B73"/>
    <w:rsid w:val="0A2A7E11"/>
    <w:rsid w:val="0A631050"/>
    <w:rsid w:val="0A841ACF"/>
    <w:rsid w:val="0A921118"/>
    <w:rsid w:val="0B5E20FF"/>
    <w:rsid w:val="0B9243F5"/>
    <w:rsid w:val="0BDC2527"/>
    <w:rsid w:val="0BDC78E2"/>
    <w:rsid w:val="0C2A2D47"/>
    <w:rsid w:val="0C613D51"/>
    <w:rsid w:val="0C7D795C"/>
    <w:rsid w:val="0D1F01A3"/>
    <w:rsid w:val="0D2B4ADA"/>
    <w:rsid w:val="0DB0231A"/>
    <w:rsid w:val="0DBE5470"/>
    <w:rsid w:val="0DCA6815"/>
    <w:rsid w:val="0E0A1851"/>
    <w:rsid w:val="0E200EAF"/>
    <w:rsid w:val="0E4C6EDD"/>
    <w:rsid w:val="0E6726B2"/>
    <w:rsid w:val="0E6C73F7"/>
    <w:rsid w:val="0E7400B1"/>
    <w:rsid w:val="0E906155"/>
    <w:rsid w:val="0EB90B11"/>
    <w:rsid w:val="0ECB23C4"/>
    <w:rsid w:val="0ECC7E1C"/>
    <w:rsid w:val="0F1E1389"/>
    <w:rsid w:val="0F3E0A21"/>
    <w:rsid w:val="0FB32198"/>
    <w:rsid w:val="0FB3383F"/>
    <w:rsid w:val="0FE452AC"/>
    <w:rsid w:val="10105626"/>
    <w:rsid w:val="10160356"/>
    <w:rsid w:val="10414845"/>
    <w:rsid w:val="107C6506"/>
    <w:rsid w:val="10943FCB"/>
    <w:rsid w:val="11032A99"/>
    <w:rsid w:val="11131CCD"/>
    <w:rsid w:val="11796073"/>
    <w:rsid w:val="11A3086C"/>
    <w:rsid w:val="11AA4323"/>
    <w:rsid w:val="11FA39D1"/>
    <w:rsid w:val="124303C6"/>
    <w:rsid w:val="12750298"/>
    <w:rsid w:val="12A51A58"/>
    <w:rsid w:val="12C24811"/>
    <w:rsid w:val="12EC6F31"/>
    <w:rsid w:val="12FB7F7F"/>
    <w:rsid w:val="13193447"/>
    <w:rsid w:val="13436FD9"/>
    <w:rsid w:val="13537187"/>
    <w:rsid w:val="136712FE"/>
    <w:rsid w:val="136D6337"/>
    <w:rsid w:val="13A07BA0"/>
    <w:rsid w:val="13DC7AF1"/>
    <w:rsid w:val="13E831BF"/>
    <w:rsid w:val="144C3FF1"/>
    <w:rsid w:val="148C3829"/>
    <w:rsid w:val="14D8152C"/>
    <w:rsid w:val="14F91DE7"/>
    <w:rsid w:val="150F08FF"/>
    <w:rsid w:val="154834AD"/>
    <w:rsid w:val="15C6043B"/>
    <w:rsid w:val="15DA552B"/>
    <w:rsid w:val="15E74039"/>
    <w:rsid w:val="15EA37B6"/>
    <w:rsid w:val="161A6E20"/>
    <w:rsid w:val="162B0564"/>
    <w:rsid w:val="163F0280"/>
    <w:rsid w:val="16402723"/>
    <w:rsid w:val="167837C0"/>
    <w:rsid w:val="16864533"/>
    <w:rsid w:val="168D5A2B"/>
    <w:rsid w:val="16B947B0"/>
    <w:rsid w:val="16E33E35"/>
    <w:rsid w:val="1718218C"/>
    <w:rsid w:val="175F1B1F"/>
    <w:rsid w:val="176D74AD"/>
    <w:rsid w:val="17A8477F"/>
    <w:rsid w:val="17CA6D56"/>
    <w:rsid w:val="17E65EE2"/>
    <w:rsid w:val="17F9431B"/>
    <w:rsid w:val="184B39BA"/>
    <w:rsid w:val="18745635"/>
    <w:rsid w:val="188C212E"/>
    <w:rsid w:val="188C2A77"/>
    <w:rsid w:val="188C2F65"/>
    <w:rsid w:val="18A5333E"/>
    <w:rsid w:val="18BA61B1"/>
    <w:rsid w:val="18E26703"/>
    <w:rsid w:val="19181E4C"/>
    <w:rsid w:val="191E115E"/>
    <w:rsid w:val="194877F1"/>
    <w:rsid w:val="19527718"/>
    <w:rsid w:val="198C1F22"/>
    <w:rsid w:val="19AF06DA"/>
    <w:rsid w:val="1A0F404E"/>
    <w:rsid w:val="1A641BF5"/>
    <w:rsid w:val="1AE57DC1"/>
    <w:rsid w:val="1AF529C6"/>
    <w:rsid w:val="1B1B58F2"/>
    <w:rsid w:val="1BC10923"/>
    <w:rsid w:val="1BC9636C"/>
    <w:rsid w:val="1C1C4734"/>
    <w:rsid w:val="1C2A7DE1"/>
    <w:rsid w:val="1C3112D8"/>
    <w:rsid w:val="1CC05443"/>
    <w:rsid w:val="1CCC323C"/>
    <w:rsid w:val="1CED0E12"/>
    <w:rsid w:val="1D027700"/>
    <w:rsid w:val="1D323986"/>
    <w:rsid w:val="1D6011FD"/>
    <w:rsid w:val="1D9A60BC"/>
    <w:rsid w:val="1DE73015"/>
    <w:rsid w:val="1E364FF8"/>
    <w:rsid w:val="1E3C19DB"/>
    <w:rsid w:val="1E502B5D"/>
    <w:rsid w:val="1E6F7DDC"/>
    <w:rsid w:val="1E805F2B"/>
    <w:rsid w:val="1EDF3FC4"/>
    <w:rsid w:val="1F3D4428"/>
    <w:rsid w:val="1F850613"/>
    <w:rsid w:val="1FAB1F34"/>
    <w:rsid w:val="1FC06ECF"/>
    <w:rsid w:val="1FDB4A00"/>
    <w:rsid w:val="1FF26568"/>
    <w:rsid w:val="1FF64A24"/>
    <w:rsid w:val="20574D54"/>
    <w:rsid w:val="208F64D1"/>
    <w:rsid w:val="20EA0BDF"/>
    <w:rsid w:val="21030579"/>
    <w:rsid w:val="21633FBB"/>
    <w:rsid w:val="218F0C2E"/>
    <w:rsid w:val="21AF2265"/>
    <w:rsid w:val="21B003AE"/>
    <w:rsid w:val="21ED1EE9"/>
    <w:rsid w:val="22112738"/>
    <w:rsid w:val="222C057F"/>
    <w:rsid w:val="225A0D39"/>
    <w:rsid w:val="2286789E"/>
    <w:rsid w:val="22D53256"/>
    <w:rsid w:val="22E47792"/>
    <w:rsid w:val="22EC37D6"/>
    <w:rsid w:val="22F85E1D"/>
    <w:rsid w:val="23291CCA"/>
    <w:rsid w:val="23DE0D87"/>
    <w:rsid w:val="23E138DC"/>
    <w:rsid w:val="247268A8"/>
    <w:rsid w:val="249C1CAE"/>
    <w:rsid w:val="24FB76E4"/>
    <w:rsid w:val="25333EC0"/>
    <w:rsid w:val="2546180A"/>
    <w:rsid w:val="2594182E"/>
    <w:rsid w:val="25C119DF"/>
    <w:rsid w:val="25D71668"/>
    <w:rsid w:val="26620526"/>
    <w:rsid w:val="26D969CC"/>
    <w:rsid w:val="26EC7F8F"/>
    <w:rsid w:val="26F725FC"/>
    <w:rsid w:val="270B514A"/>
    <w:rsid w:val="27610D21"/>
    <w:rsid w:val="27674B20"/>
    <w:rsid w:val="27DF734C"/>
    <w:rsid w:val="28191A12"/>
    <w:rsid w:val="28324193"/>
    <w:rsid w:val="284810A9"/>
    <w:rsid w:val="284D3E2F"/>
    <w:rsid w:val="28541CF4"/>
    <w:rsid w:val="289128AF"/>
    <w:rsid w:val="28BA0C71"/>
    <w:rsid w:val="28CE6B9B"/>
    <w:rsid w:val="28E64A2A"/>
    <w:rsid w:val="2967074F"/>
    <w:rsid w:val="299E6523"/>
    <w:rsid w:val="29A364DC"/>
    <w:rsid w:val="2A023CFE"/>
    <w:rsid w:val="2A211896"/>
    <w:rsid w:val="2A5439E5"/>
    <w:rsid w:val="2A5A124B"/>
    <w:rsid w:val="2A7829F4"/>
    <w:rsid w:val="2AE6679E"/>
    <w:rsid w:val="2AEA69D0"/>
    <w:rsid w:val="2B0A159D"/>
    <w:rsid w:val="2B660D2D"/>
    <w:rsid w:val="2BD06406"/>
    <w:rsid w:val="2C2409D2"/>
    <w:rsid w:val="2C5E2C44"/>
    <w:rsid w:val="2C821F37"/>
    <w:rsid w:val="2D1A3464"/>
    <w:rsid w:val="2D5C2993"/>
    <w:rsid w:val="2D6D7AB2"/>
    <w:rsid w:val="2D894E42"/>
    <w:rsid w:val="2D9B45A8"/>
    <w:rsid w:val="2E3E3610"/>
    <w:rsid w:val="2E613C34"/>
    <w:rsid w:val="2EE219D8"/>
    <w:rsid w:val="2F1D15F6"/>
    <w:rsid w:val="2F326C06"/>
    <w:rsid w:val="2F5A483B"/>
    <w:rsid w:val="2F792016"/>
    <w:rsid w:val="2FB67B85"/>
    <w:rsid w:val="2FC14C8E"/>
    <w:rsid w:val="2FEA3F91"/>
    <w:rsid w:val="2FF36D2A"/>
    <w:rsid w:val="30152018"/>
    <w:rsid w:val="301C72CB"/>
    <w:rsid w:val="30594A9A"/>
    <w:rsid w:val="306E4E96"/>
    <w:rsid w:val="307C20D0"/>
    <w:rsid w:val="3101106D"/>
    <w:rsid w:val="3132580A"/>
    <w:rsid w:val="313C3324"/>
    <w:rsid w:val="31527F8C"/>
    <w:rsid w:val="317F3F74"/>
    <w:rsid w:val="3192108E"/>
    <w:rsid w:val="31D007E4"/>
    <w:rsid w:val="31E76640"/>
    <w:rsid w:val="32335C32"/>
    <w:rsid w:val="327037D3"/>
    <w:rsid w:val="327E64DC"/>
    <w:rsid w:val="32886B41"/>
    <w:rsid w:val="32B93601"/>
    <w:rsid w:val="32EE1282"/>
    <w:rsid w:val="331E31A9"/>
    <w:rsid w:val="33CA3BB7"/>
    <w:rsid w:val="341B6AA1"/>
    <w:rsid w:val="34230B2A"/>
    <w:rsid w:val="34366771"/>
    <w:rsid w:val="3499530E"/>
    <w:rsid w:val="34B60D58"/>
    <w:rsid w:val="34DA1DD4"/>
    <w:rsid w:val="34E5129D"/>
    <w:rsid w:val="34E86638"/>
    <w:rsid w:val="34F23292"/>
    <w:rsid w:val="35003882"/>
    <w:rsid w:val="3503482F"/>
    <w:rsid w:val="354573BB"/>
    <w:rsid w:val="35515D7F"/>
    <w:rsid w:val="356E0065"/>
    <w:rsid w:val="35AB6516"/>
    <w:rsid w:val="35B005E8"/>
    <w:rsid w:val="35CD4AB8"/>
    <w:rsid w:val="35FF08D2"/>
    <w:rsid w:val="36FA29D9"/>
    <w:rsid w:val="374A349C"/>
    <w:rsid w:val="375D0D99"/>
    <w:rsid w:val="376F76EB"/>
    <w:rsid w:val="378070B8"/>
    <w:rsid w:val="37CF5FB6"/>
    <w:rsid w:val="37EB0EBB"/>
    <w:rsid w:val="38060B40"/>
    <w:rsid w:val="38357FD1"/>
    <w:rsid w:val="38AA32C8"/>
    <w:rsid w:val="393636FF"/>
    <w:rsid w:val="394E2D90"/>
    <w:rsid w:val="39C95E97"/>
    <w:rsid w:val="3A4D5816"/>
    <w:rsid w:val="3A623C09"/>
    <w:rsid w:val="3A682C85"/>
    <w:rsid w:val="3A6B715E"/>
    <w:rsid w:val="3A6D03DC"/>
    <w:rsid w:val="3A994BD8"/>
    <w:rsid w:val="3A9C2D2B"/>
    <w:rsid w:val="3AAB5E03"/>
    <w:rsid w:val="3AAF7338"/>
    <w:rsid w:val="3AF46F9F"/>
    <w:rsid w:val="3AF87003"/>
    <w:rsid w:val="3BA84BD0"/>
    <w:rsid w:val="3C6834E0"/>
    <w:rsid w:val="3CA25B14"/>
    <w:rsid w:val="3CBC4225"/>
    <w:rsid w:val="3CDE2724"/>
    <w:rsid w:val="3CF05ADB"/>
    <w:rsid w:val="3D220FE9"/>
    <w:rsid w:val="3DCC15F6"/>
    <w:rsid w:val="3DEC3FF1"/>
    <w:rsid w:val="3E232F94"/>
    <w:rsid w:val="3E3F5F80"/>
    <w:rsid w:val="3E525720"/>
    <w:rsid w:val="3EA02C2B"/>
    <w:rsid w:val="3EDF7433"/>
    <w:rsid w:val="3F0728F9"/>
    <w:rsid w:val="3F1F5C6B"/>
    <w:rsid w:val="3F3737CA"/>
    <w:rsid w:val="3F703BDF"/>
    <w:rsid w:val="3F764500"/>
    <w:rsid w:val="3FAA5060"/>
    <w:rsid w:val="3FCA272D"/>
    <w:rsid w:val="3FD374E7"/>
    <w:rsid w:val="3FE453C6"/>
    <w:rsid w:val="403F4528"/>
    <w:rsid w:val="405913C8"/>
    <w:rsid w:val="40826E00"/>
    <w:rsid w:val="40A148CE"/>
    <w:rsid w:val="40E85BB4"/>
    <w:rsid w:val="40EC50C8"/>
    <w:rsid w:val="41153950"/>
    <w:rsid w:val="413B6328"/>
    <w:rsid w:val="416E1E98"/>
    <w:rsid w:val="418C1A7F"/>
    <w:rsid w:val="419206AC"/>
    <w:rsid w:val="41B80DE7"/>
    <w:rsid w:val="41E85A8E"/>
    <w:rsid w:val="41E86A37"/>
    <w:rsid w:val="425447FD"/>
    <w:rsid w:val="42A61241"/>
    <w:rsid w:val="42D46781"/>
    <w:rsid w:val="43191BBC"/>
    <w:rsid w:val="431C4AB0"/>
    <w:rsid w:val="43511CFC"/>
    <w:rsid w:val="438F61EF"/>
    <w:rsid w:val="43C42A66"/>
    <w:rsid w:val="43C50D9E"/>
    <w:rsid w:val="44115CCA"/>
    <w:rsid w:val="442059B3"/>
    <w:rsid w:val="44223461"/>
    <w:rsid w:val="4438444F"/>
    <w:rsid w:val="44610FD4"/>
    <w:rsid w:val="44815EBA"/>
    <w:rsid w:val="44DA727A"/>
    <w:rsid w:val="44DD2668"/>
    <w:rsid w:val="4506572E"/>
    <w:rsid w:val="45245D24"/>
    <w:rsid w:val="452B389F"/>
    <w:rsid w:val="45566F3E"/>
    <w:rsid w:val="45C656FA"/>
    <w:rsid w:val="45D82E0F"/>
    <w:rsid w:val="45E176F5"/>
    <w:rsid w:val="464454E6"/>
    <w:rsid w:val="46511A04"/>
    <w:rsid w:val="46C45AD5"/>
    <w:rsid w:val="46DC541B"/>
    <w:rsid w:val="47674DAF"/>
    <w:rsid w:val="476777BB"/>
    <w:rsid w:val="479807C1"/>
    <w:rsid w:val="47CB4D90"/>
    <w:rsid w:val="47D5197F"/>
    <w:rsid w:val="47F66E98"/>
    <w:rsid w:val="48272EC2"/>
    <w:rsid w:val="48681ED9"/>
    <w:rsid w:val="4899667A"/>
    <w:rsid w:val="48C72140"/>
    <w:rsid w:val="48FB13C1"/>
    <w:rsid w:val="491B3AC4"/>
    <w:rsid w:val="49325075"/>
    <w:rsid w:val="493D39EE"/>
    <w:rsid w:val="49642A00"/>
    <w:rsid w:val="497F55A7"/>
    <w:rsid w:val="498E15BC"/>
    <w:rsid w:val="49B82AD6"/>
    <w:rsid w:val="49FC03DB"/>
    <w:rsid w:val="4A2B5CBF"/>
    <w:rsid w:val="4A4B6284"/>
    <w:rsid w:val="4A586E66"/>
    <w:rsid w:val="4A5A5018"/>
    <w:rsid w:val="4A631E6B"/>
    <w:rsid w:val="4A733C65"/>
    <w:rsid w:val="4AE87705"/>
    <w:rsid w:val="4B1B216C"/>
    <w:rsid w:val="4B4E7970"/>
    <w:rsid w:val="4B8A472F"/>
    <w:rsid w:val="4B9E52AE"/>
    <w:rsid w:val="4BA33F01"/>
    <w:rsid w:val="4BAB0A9A"/>
    <w:rsid w:val="4C5F7D24"/>
    <w:rsid w:val="4CCA0749"/>
    <w:rsid w:val="4D1677E1"/>
    <w:rsid w:val="4D32402C"/>
    <w:rsid w:val="4D654176"/>
    <w:rsid w:val="4D6B5D1C"/>
    <w:rsid w:val="4D712E27"/>
    <w:rsid w:val="4DDE55C7"/>
    <w:rsid w:val="4E290B61"/>
    <w:rsid w:val="4E2D32CB"/>
    <w:rsid w:val="4E2D5B10"/>
    <w:rsid w:val="4E3F1E23"/>
    <w:rsid w:val="4E722766"/>
    <w:rsid w:val="4F1B7DEB"/>
    <w:rsid w:val="4F26101A"/>
    <w:rsid w:val="4F3B1489"/>
    <w:rsid w:val="4F3E0A57"/>
    <w:rsid w:val="4F3E3CFE"/>
    <w:rsid w:val="4F4F658B"/>
    <w:rsid w:val="4F857B1D"/>
    <w:rsid w:val="4F9C5CEA"/>
    <w:rsid w:val="4FE038DC"/>
    <w:rsid w:val="4FF802F5"/>
    <w:rsid w:val="501327A0"/>
    <w:rsid w:val="502A5ECB"/>
    <w:rsid w:val="503B0AFD"/>
    <w:rsid w:val="50635E0F"/>
    <w:rsid w:val="50667F26"/>
    <w:rsid w:val="50741361"/>
    <w:rsid w:val="513C3E45"/>
    <w:rsid w:val="515F7B13"/>
    <w:rsid w:val="517C22CB"/>
    <w:rsid w:val="517F6739"/>
    <w:rsid w:val="520E186D"/>
    <w:rsid w:val="52184646"/>
    <w:rsid w:val="5246112E"/>
    <w:rsid w:val="52725527"/>
    <w:rsid w:val="52816A75"/>
    <w:rsid w:val="5282680E"/>
    <w:rsid w:val="5295062B"/>
    <w:rsid w:val="52AF3A0C"/>
    <w:rsid w:val="52B2557F"/>
    <w:rsid w:val="52BB6C56"/>
    <w:rsid w:val="52BE62A4"/>
    <w:rsid w:val="52CE5581"/>
    <w:rsid w:val="52FB54C6"/>
    <w:rsid w:val="53380AC3"/>
    <w:rsid w:val="53413C67"/>
    <w:rsid w:val="534F36DC"/>
    <w:rsid w:val="53580C32"/>
    <w:rsid w:val="53A027EF"/>
    <w:rsid w:val="54004431"/>
    <w:rsid w:val="54041D5B"/>
    <w:rsid w:val="54071D78"/>
    <w:rsid w:val="540D13DA"/>
    <w:rsid w:val="545258C3"/>
    <w:rsid w:val="54751BEE"/>
    <w:rsid w:val="549167E2"/>
    <w:rsid w:val="54952B7D"/>
    <w:rsid w:val="54A77B5E"/>
    <w:rsid w:val="54D815D5"/>
    <w:rsid w:val="558257BF"/>
    <w:rsid w:val="55EF09FF"/>
    <w:rsid w:val="55F872C1"/>
    <w:rsid w:val="56515D34"/>
    <w:rsid w:val="56DD4C04"/>
    <w:rsid w:val="573F4B25"/>
    <w:rsid w:val="57414F85"/>
    <w:rsid w:val="575D597B"/>
    <w:rsid w:val="57BD1CF5"/>
    <w:rsid w:val="57CA6085"/>
    <w:rsid w:val="57E20489"/>
    <w:rsid w:val="57E97ADF"/>
    <w:rsid w:val="57EE7922"/>
    <w:rsid w:val="582F41CC"/>
    <w:rsid w:val="584D6BF7"/>
    <w:rsid w:val="586C27D6"/>
    <w:rsid w:val="58BA59CB"/>
    <w:rsid w:val="58CE7B12"/>
    <w:rsid w:val="590339BA"/>
    <w:rsid w:val="59B50D2F"/>
    <w:rsid w:val="59DA0B99"/>
    <w:rsid w:val="5A3B419E"/>
    <w:rsid w:val="5A90639F"/>
    <w:rsid w:val="5A93345C"/>
    <w:rsid w:val="5A982462"/>
    <w:rsid w:val="5AB30478"/>
    <w:rsid w:val="5AD12FF5"/>
    <w:rsid w:val="5B01463F"/>
    <w:rsid w:val="5B120906"/>
    <w:rsid w:val="5B6478EC"/>
    <w:rsid w:val="5BBF66EF"/>
    <w:rsid w:val="5BC51BF7"/>
    <w:rsid w:val="5C162D68"/>
    <w:rsid w:val="5C1A0CB4"/>
    <w:rsid w:val="5C1B0AEB"/>
    <w:rsid w:val="5C285926"/>
    <w:rsid w:val="5C59374F"/>
    <w:rsid w:val="5CC25442"/>
    <w:rsid w:val="5D0349E5"/>
    <w:rsid w:val="5D1F0D6B"/>
    <w:rsid w:val="5D3B2084"/>
    <w:rsid w:val="5DB257B7"/>
    <w:rsid w:val="5DCC40A2"/>
    <w:rsid w:val="5DE3366D"/>
    <w:rsid w:val="5E1660BB"/>
    <w:rsid w:val="5E5C233E"/>
    <w:rsid w:val="5E8C6D41"/>
    <w:rsid w:val="5EF27022"/>
    <w:rsid w:val="5F373757"/>
    <w:rsid w:val="5F4C2474"/>
    <w:rsid w:val="5F7238AD"/>
    <w:rsid w:val="5F75405D"/>
    <w:rsid w:val="5F7E216B"/>
    <w:rsid w:val="5FAB11D3"/>
    <w:rsid w:val="5FB700A6"/>
    <w:rsid w:val="5FE30E92"/>
    <w:rsid w:val="5FF47D18"/>
    <w:rsid w:val="5FF84E48"/>
    <w:rsid w:val="5FFC7BBE"/>
    <w:rsid w:val="60102BA9"/>
    <w:rsid w:val="605143EC"/>
    <w:rsid w:val="60A97ABB"/>
    <w:rsid w:val="60B96C78"/>
    <w:rsid w:val="60C65ECB"/>
    <w:rsid w:val="60D643E4"/>
    <w:rsid w:val="61AC21DA"/>
    <w:rsid w:val="61B062ED"/>
    <w:rsid w:val="61C665B6"/>
    <w:rsid w:val="623F52B8"/>
    <w:rsid w:val="62A97AD6"/>
    <w:rsid w:val="62CC163A"/>
    <w:rsid w:val="632D6130"/>
    <w:rsid w:val="63381D2C"/>
    <w:rsid w:val="63D43C31"/>
    <w:rsid w:val="63DA0743"/>
    <w:rsid w:val="64273D4E"/>
    <w:rsid w:val="642D3D93"/>
    <w:rsid w:val="6441447F"/>
    <w:rsid w:val="64451E36"/>
    <w:rsid w:val="64471E20"/>
    <w:rsid w:val="6456559E"/>
    <w:rsid w:val="64B61B5D"/>
    <w:rsid w:val="64BC718B"/>
    <w:rsid w:val="65424CE1"/>
    <w:rsid w:val="65517801"/>
    <w:rsid w:val="658F6592"/>
    <w:rsid w:val="659A305F"/>
    <w:rsid w:val="65A84F80"/>
    <w:rsid w:val="65F340F9"/>
    <w:rsid w:val="66217D03"/>
    <w:rsid w:val="663A6160"/>
    <w:rsid w:val="66CD3A7E"/>
    <w:rsid w:val="67180EE0"/>
    <w:rsid w:val="673821E8"/>
    <w:rsid w:val="674E4DC4"/>
    <w:rsid w:val="676B0001"/>
    <w:rsid w:val="678A6988"/>
    <w:rsid w:val="683607BB"/>
    <w:rsid w:val="68795869"/>
    <w:rsid w:val="688B21E4"/>
    <w:rsid w:val="6892060D"/>
    <w:rsid w:val="68926E89"/>
    <w:rsid w:val="68A262FF"/>
    <w:rsid w:val="68BF354A"/>
    <w:rsid w:val="68F85981"/>
    <w:rsid w:val="691F6CBC"/>
    <w:rsid w:val="69327FF1"/>
    <w:rsid w:val="69414B89"/>
    <w:rsid w:val="697B7BAD"/>
    <w:rsid w:val="69950DF1"/>
    <w:rsid w:val="69A50E90"/>
    <w:rsid w:val="69AF49B2"/>
    <w:rsid w:val="69EB4597"/>
    <w:rsid w:val="69EB6D5C"/>
    <w:rsid w:val="69FC14C2"/>
    <w:rsid w:val="6A4E76C0"/>
    <w:rsid w:val="6A4F20FD"/>
    <w:rsid w:val="6A502D6C"/>
    <w:rsid w:val="6A603D6A"/>
    <w:rsid w:val="6A6957D5"/>
    <w:rsid w:val="6A740C18"/>
    <w:rsid w:val="6A8E23C5"/>
    <w:rsid w:val="6ABA0128"/>
    <w:rsid w:val="6ADF2994"/>
    <w:rsid w:val="6AEF2754"/>
    <w:rsid w:val="6AF869DC"/>
    <w:rsid w:val="6B3C36AC"/>
    <w:rsid w:val="6BA12AE0"/>
    <w:rsid w:val="6BEE207F"/>
    <w:rsid w:val="6C3206FC"/>
    <w:rsid w:val="6C433472"/>
    <w:rsid w:val="6CB9614B"/>
    <w:rsid w:val="6CD31A1D"/>
    <w:rsid w:val="6D2830A1"/>
    <w:rsid w:val="6D375FB8"/>
    <w:rsid w:val="6D6422C3"/>
    <w:rsid w:val="6DA3052D"/>
    <w:rsid w:val="6DC81AAF"/>
    <w:rsid w:val="6DDB23F6"/>
    <w:rsid w:val="6DF569F2"/>
    <w:rsid w:val="6E2016D9"/>
    <w:rsid w:val="6E297BA3"/>
    <w:rsid w:val="6E845C67"/>
    <w:rsid w:val="6EC51D6C"/>
    <w:rsid w:val="6EEF0B99"/>
    <w:rsid w:val="6EFC716B"/>
    <w:rsid w:val="6F34558D"/>
    <w:rsid w:val="6F3F3016"/>
    <w:rsid w:val="6F906A3C"/>
    <w:rsid w:val="70420180"/>
    <w:rsid w:val="706935C9"/>
    <w:rsid w:val="70884D55"/>
    <w:rsid w:val="709C7D40"/>
    <w:rsid w:val="709E31F3"/>
    <w:rsid w:val="70BD67C0"/>
    <w:rsid w:val="70F65CA1"/>
    <w:rsid w:val="711F028A"/>
    <w:rsid w:val="71480F9B"/>
    <w:rsid w:val="715542BE"/>
    <w:rsid w:val="7195030D"/>
    <w:rsid w:val="71980CB3"/>
    <w:rsid w:val="71C008E1"/>
    <w:rsid w:val="71CB1288"/>
    <w:rsid w:val="71CD0BF4"/>
    <w:rsid w:val="7270487B"/>
    <w:rsid w:val="72AC17EF"/>
    <w:rsid w:val="72E41C43"/>
    <w:rsid w:val="733A00A7"/>
    <w:rsid w:val="73417759"/>
    <w:rsid w:val="73891FFA"/>
    <w:rsid w:val="73900F65"/>
    <w:rsid w:val="73964B12"/>
    <w:rsid w:val="73AE2A4C"/>
    <w:rsid w:val="73B37743"/>
    <w:rsid w:val="73B52893"/>
    <w:rsid w:val="73C84530"/>
    <w:rsid w:val="73D23F1B"/>
    <w:rsid w:val="73FC620D"/>
    <w:rsid w:val="740D27A5"/>
    <w:rsid w:val="743E7BB0"/>
    <w:rsid w:val="745F0BF7"/>
    <w:rsid w:val="74840BBD"/>
    <w:rsid w:val="74A0230D"/>
    <w:rsid w:val="74DF6EC4"/>
    <w:rsid w:val="74E03C9D"/>
    <w:rsid w:val="74EA675D"/>
    <w:rsid w:val="750F3B5F"/>
    <w:rsid w:val="753C58B4"/>
    <w:rsid w:val="758B085F"/>
    <w:rsid w:val="7592484B"/>
    <w:rsid w:val="75A620E7"/>
    <w:rsid w:val="75E057EC"/>
    <w:rsid w:val="75FE1FCE"/>
    <w:rsid w:val="761146A0"/>
    <w:rsid w:val="76A06E82"/>
    <w:rsid w:val="76B4380D"/>
    <w:rsid w:val="77067B74"/>
    <w:rsid w:val="770C1879"/>
    <w:rsid w:val="77137DE4"/>
    <w:rsid w:val="773B6791"/>
    <w:rsid w:val="773C57F9"/>
    <w:rsid w:val="77480DB3"/>
    <w:rsid w:val="775426F9"/>
    <w:rsid w:val="777D5352"/>
    <w:rsid w:val="77C22B17"/>
    <w:rsid w:val="77DE43E9"/>
    <w:rsid w:val="781401B3"/>
    <w:rsid w:val="785B70A5"/>
    <w:rsid w:val="78717D21"/>
    <w:rsid w:val="789A2EC5"/>
    <w:rsid w:val="78C73268"/>
    <w:rsid w:val="790F320A"/>
    <w:rsid w:val="7910501C"/>
    <w:rsid w:val="79761C8B"/>
    <w:rsid w:val="79874C09"/>
    <w:rsid w:val="79902AF6"/>
    <w:rsid w:val="79BC651C"/>
    <w:rsid w:val="79DA7776"/>
    <w:rsid w:val="7A103F4E"/>
    <w:rsid w:val="7A9A7445"/>
    <w:rsid w:val="7ACA30C8"/>
    <w:rsid w:val="7AEC613C"/>
    <w:rsid w:val="7B87363E"/>
    <w:rsid w:val="7B8F0B0E"/>
    <w:rsid w:val="7BBF25C3"/>
    <w:rsid w:val="7BD86800"/>
    <w:rsid w:val="7BF404B8"/>
    <w:rsid w:val="7C2D6D7F"/>
    <w:rsid w:val="7C4C4704"/>
    <w:rsid w:val="7C9A439D"/>
    <w:rsid w:val="7D1D6874"/>
    <w:rsid w:val="7D2804F3"/>
    <w:rsid w:val="7D2A3CD3"/>
    <w:rsid w:val="7D4E3E02"/>
    <w:rsid w:val="7D5C7B8B"/>
    <w:rsid w:val="7DC92282"/>
    <w:rsid w:val="7E2A1107"/>
    <w:rsid w:val="7E7B261F"/>
    <w:rsid w:val="7E8775A8"/>
    <w:rsid w:val="7ED465BC"/>
    <w:rsid w:val="7F000DC8"/>
    <w:rsid w:val="7F1101D3"/>
    <w:rsid w:val="7F2B53D5"/>
    <w:rsid w:val="7F2D4CBE"/>
    <w:rsid w:val="7F313A67"/>
    <w:rsid w:val="7F36649D"/>
    <w:rsid w:val="7FA152B2"/>
    <w:rsid w:val="7FB47409"/>
    <w:rsid w:val="7FBB2D32"/>
    <w:rsid w:val="7FE453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0"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qFormat/>
    <w:uiPriority w:val="1"/>
    <w:pPr>
      <w:jc w:val="center"/>
      <w:outlineLvl w:val="0"/>
    </w:pPr>
    <w:rPr>
      <w:rFonts w:ascii="Microsoft JhengHei" w:hAnsi="Microsoft JhengHei" w:eastAsia="Microsoft JhengHei" w:cs="Microsoft JhengHei"/>
      <w:b/>
      <w:bCs/>
      <w:sz w:val="84"/>
      <w:szCs w:val="84"/>
    </w:rPr>
  </w:style>
  <w:style w:type="paragraph" w:styleId="5">
    <w:name w:val="heading 2"/>
    <w:basedOn w:val="1"/>
    <w:next w:val="1"/>
    <w:qFormat/>
    <w:uiPriority w:val="0"/>
    <w:pPr>
      <w:spacing w:before="100" w:beforeAutospacing="1" w:after="100" w:afterAutospacing="1"/>
      <w:jc w:val="left"/>
    </w:pPr>
    <w:rPr>
      <w:rFonts w:hint="eastAsia" w:ascii="宋体" w:hAnsi="宋体" w:eastAsia="宋体" w:cs="宋体"/>
      <w:b/>
      <w:kern w:val="0"/>
      <w:sz w:val="36"/>
      <w:szCs w:val="36"/>
      <w:lang w:val="en-US" w:eastAsia="zh-CN" w:bidi="ar"/>
    </w:rPr>
  </w:style>
  <w:style w:type="paragraph" w:styleId="6">
    <w:name w:val="heading 3"/>
    <w:basedOn w:val="1"/>
    <w:next w:val="1"/>
    <w:unhideWhenUsed/>
    <w:qFormat/>
    <w:uiPriority w:val="9"/>
    <w:pPr>
      <w:autoSpaceDE w:val="0"/>
      <w:autoSpaceDN w:val="0"/>
      <w:adjustRightInd w:val="0"/>
      <w:spacing w:before="16"/>
      <w:jc w:val="left"/>
      <w:outlineLvl w:val="2"/>
    </w:pPr>
    <w:rPr>
      <w:rFonts w:ascii="仿宋_GB2312" w:eastAsia="仿宋_GB2312"/>
      <w:b/>
      <w:sz w:val="24"/>
      <w:szCs w:val="20"/>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tabs>
        <w:tab w:val="left" w:pos="3600"/>
      </w:tabs>
      <w:ind w:firstLine="420"/>
    </w:pPr>
    <w:rPr>
      <w:b/>
      <w:bCs/>
      <w:sz w:val="24"/>
    </w:rPr>
  </w:style>
  <w:style w:type="paragraph" w:styleId="3">
    <w:name w:val="Body Text"/>
    <w:basedOn w:val="1"/>
    <w:next w:val="1"/>
    <w:qFormat/>
    <w:uiPriority w:val="1"/>
    <w:rPr>
      <w:sz w:val="21"/>
      <w:szCs w:val="21"/>
    </w:rPr>
  </w:style>
  <w:style w:type="paragraph" w:styleId="7">
    <w:name w:val="Body Text Indent"/>
    <w:basedOn w:val="1"/>
    <w:qFormat/>
    <w:uiPriority w:val="0"/>
    <w:pPr>
      <w:spacing w:line="700" w:lineRule="exact"/>
      <w:ind w:left="960"/>
    </w:pPr>
    <w:rPr>
      <w:sz w:val="44"/>
    </w:rPr>
  </w:style>
  <w:style w:type="paragraph" w:styleId="8">
    <w:name w:val="Plain Text"/>
    <w:basedOn w:val="1"/>
    <w:qFormat/>
    <w:uiPriority w:val="0"/>
    <w:pPr>
      <w:autoSpaceDE/>
      <w:autoSpaceDN/>
      <w:jc w:val="both"/>
    </w:pPr>
    <w:rPr>
      <w:rFonts w:hint="eastAsia" w:hAnsi="Courier New" w:cs="Times New Roman"/>
      <w:kern w:val="2"/>
      <w:sz w:val="28"/>
      <w:szCs w:val="28"/>
      <w:lang w:val="en-US" w:bidi="ar-SA"/>
    </w:rPr>
  </w:style>
  <w:style w:type="paragraph" w:styleId="9">
    <w:name w:val="footer"/>
    <w:basedOn w:val="1"/>
    <w:qFormat/>
    <w:uiPriority w:val="99"/>
    <w:pPr>
      <w:tabs>
        <w:tab w:val="center" w:pos="4153"/>
        <w:tab w:val="right" w:pos="8306"/>
      </w:tabs>
      <w:snapToGrid w:val="0"/>
    </w:pPr>
    <w:rPr>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page number"/>
    <w:basedOn w:val="13"/>
    <w:qFormat/>
    <w:uiPriority w:val="0"/>
  </w:style>
  <w:style w:type="paragraph" w:customStyle="1" w:styleId="15">
    <w:name w:val="Table Paragraph"/>
    <w:basedOn w:val="1"/>
    <w:qFormat/>
    <w:uiPriority w:val="1"/>
  </w:style>
  <w:style w:type="paragraph" w:customStyle="1" w:styleId="16">
    <w:name w:val="列出段落11"/>
    <w:basedOn w:val="1"/>
    <w:qFormat/>
    <w:uiPriority w:val="0"/>
    <w:pPr>
      <w:autoSpaceDE/>
      <w:autoSpaceDN/>
      <w:ind w:firstLine="420" w:firstLineChars="200"/>
      <w:jc w:val="both"/>
    </w:pPr>
    <w:rPr>
      <w:rFonts w:ascii="Times New Roman" w:hAnsi="Times New Roman" w:cs="Times New Roman"/>
      <w:kern w:val="2"/>
      <w:sz w:val="21"/>
      <w:szCs w:val="24"/>
      <w:lang w:val="en-US" w:bidi="ar-SA"/>
    </w:rPr>
  </w:style>
  <w:style w:type="paragraph" w:customStyle="1" w:styleId="17">
    <w:name w:val="列出段落12"/>
    <w:basedOn w:val="1"/>
    <w:qFormat/>
    <w:uiPriority w:val="0"/>
    <w:pPr>
      <w:autoSpaceDE/>
      <w:autoSpaceDN/>
      <w:ind w:firstLine="420" w:firstLineChars="200"/>
      <w:jc w:val="both"/>
    </w:pPr>
    <w:rPr>
      <w:rFonts w:ascii="Times New Roman" w:hAnsi="Times New Roman" w:cs="Times New Roman"/>
      <w:kern w:val="2"/>
      <w:sz w:val="28"/>
      <w:szCs w:val="28"/>
      <w:lang w:val="en-US"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Office_11.8.6.8811_F1E327BC-269C-435d-A152-05C5408002CA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2019-09-05T06:55:00Z</dcterms:created>
  <dc:creator>高晶</dc:creator>
  <cp:lastModifiedBy>user</cp:lastModifiedBy>
  <cp:lastPrinted>2021-05-30T07:28:36Z</cp:lastPrinted>
  <dcterms:modified xsi:type="dcterms:W3CDTF">2021-05-30T11:41:04Z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2052-11.8.6.8811</vt:lpwstr>
  </property>
</Properties>
</file>