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jc w:val="center"/>
        <w:rPr>
          <w:rFonts w:ascii="宋体" w:hAnsi="宋体" w:eastAsia="宋体" w:cs="宋体"/>
          <w:b/>
          <w:bCs/>
          <w:color w:val="333333"/>
          <w:sz w:val="28"/>
          <w:szCs w:val="28"/>
        </w:rPr>
      </w:pPr>
      <w:r>
        <w:rPr>
          <w:rFonts w:ascii="宋体" w:hAnsi="宋体" w:eastAsia="宋体" w:cs="宋体"/>
          <w:b/>
          <w:bCs/>
          <w:color w:val="333333"/>
          <w:kern w:val="0"/>
          <w:sz w:val="28"/>
          <w:szCs w:val="28"/>
          <w:shd w:val="clear" w:fill="FFFFFF"/>
          <w:lang w:val="en-US" w:eastAsia="zh-CN" w:bidi="ar"/>
        </w:rPr>
        <w:t>重庆沙坪坝站铁路综合交通枢纽工程电扶梯设备采购及安装工程(第二批)项目（第四次）招标公告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jc w:val="left"/>
        <w:rPr>
          <w:rFonts w:ascii="宋体" w:hAnsi="宋体" w:eastAsia="宋体" w:cs="宋体"/>
          <w:color w:val="333333"/>
          <w:sz w:val="21"/>
          <w:szCs w:val="21"/>
        </w:rPr>
      </w:pPr>
      <w:r>
        <w:rPr>
          <w:rStyle w:val="4"/>
          <w:rFonts w:ascii="宋体" w:hAnsi="宋体" w:eastAsia="宋体" w:cs="宋体"/>
          <w:i w:val="0"/>
          <w:color w:val="333333"/>
          <w:sz w:val="21"/>
          <w:szCs w:val="21"/>
          <w:shd w:val="clear" w:fill="FFFFFF"/>
          <w:lang w:val="en-US" w:eastAsia="zh-CN" w:bidi="ar"/>
        </w:rPr>
        <w:t>1.招标条件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重庆沙坪坝站铁路综合交通枢纽工程已由重庆市发展和改革委员会以《沙坪坝铁路枢纽综合改造工程可行性研究报告批复》（渝发改交〔2012〕1275号）文批准建设，建设单位为重庆城市综合交通枢纽开发投资有限公司。项目已具备招标条件，现对本项目的电扶梯设备采购及安装进行国内公开招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jc w:val="left"/>
        <w:rPr>
          <w:rFonts w:ascii="宋体" w:hAnsi="宋体" w:eastAsia="宋体" w:cs="宋体"/>
          <w:color w:val="333333"/>
          <w:sz w:val="21"/>
          <w:szCs w:val="21"/>
        </w:rPr>
      </w:pPr>
      <w:r>
        <w:rPr>
          <w:rStyle w:val="4"/>
          <w:rFonts w:ascii="宋体" w:hAnsi="宋体" w:eastAsia="宋体" w:cs="宋体"/>
          <w:i w:val="0"/>
          <w:color w:val="333333"/>
          <w:sz w:val="21"/>
          <w:szCs w:val="21"/>
          <w:shd w:val="clear" w:fill="FFFFFF"/>
          <w:lang w:val="en-US" w:eastAsia="zh-CN" w:bidi="ar"/>
        </w:rPr>
        <w:t>2.项目概况与招标范围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 xml:space="preserve">2.1  建设地点：重庆市沙坪坝火车站。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2.2  项目规模：本次拟采购的电扶梯设备暂定为24部自动扶梯和5部垂直电梯,共29台。具体详见“电扶梯技术规格书”。本招标项目投资暂定2160万元，其中电梯160万元、扶梯2000万元。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 xml:space="preserve">2.3  招标范围: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1）本次招标范围暂定29台（招标人有权根据项目最终实施情况调整采购数量，实际发生额按实结算）电、扶梯设备采购及安装工程中涉及的所有工程内容，包括但不限于设计、制造、设备供货（含备品、备件、专用工器具、装配、出厂前测试和检测、检验、包装、装卸、搬运、运输、保险费)；设备安装（含安装开工申报、设备吊装就位、五方通话安装、轿厢内的视频监控安装、动力配电箱至电扶梯控制箱（柜）的线缆敷设（含线、管\桥架）、安全文明施工、调试、试运行、安装完毕检测申报、取得安装监督检验合格报告及特种设备使用标志、24个月免费保修期内维修、保养及检测、人员操作培训、技术资料提交)；电梯外附属项目包括但不限于：井道及底坑整改（除结构改造外）、井道安全护栏、底坑垃圾、外呼面板及指示板底盒开凿（每层每站）、外呼盒电缆孔洞开凿（每层每站）、自动扶梯外包板、电梯安装完成之后厅门收边收口、现有广场、地下通道成品保护及恢复、配合消防验收、配合智能化工程的相关安装工作等，即交付招标人使用的“交钥匙工程”全部内容。具体详见《电扶梯技术规格书》、图纸、施工界面划分表及商务报价条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（2）所有垂直电梯轿厢无需二次精装修，采用厂家标准配置；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（3）本次招标范围暂定29台电扶梯拟分批排产，第一批次排产设备为5台垂直电梯，剩余扶梯根据招标人下达的排产计划排产。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质保期：从设备取得运行许可证并移交运营签字接管使用，并试运行3个月后即进入保修期，保修期为24个月，在保修期内，制造商须按TSGT5002-2017的要求免费进行维修保养。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2.4交货地点：重庆市沙坪坝区三峡广场沙坪坝站铁路综合交通枢纽项目现场招标人指定地点。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2.5交货期：以招标人书面通知的排产时间起计,每批次分别为120日历天（包括生产、运输、安装、调试及验收投用）。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jc w:val="left"/>
        <w:rPr>
          <w:rFonts w:ascii="宋体" w:hAnsi="宋体" w:eastAsia="宋体" w:cs="宋体"/>
          <w:color w:val="333333"/>
          <w:sz w:val="21"/>
          <w:szCs w:val="21"/>
        </w:rPr>
      </w:pPr>
      <w:r>
        <w:rPr>
          <w:rStyle w:val="4"/>
          <w:rFonts w:ascii="宋体" w:hAnsi="宋体" w:eastAsia="宋体" w:cs="宋体"/>
          <w:i w:val="0"/>
          <w:color w:val="333333"/>
          <w:sz w:val="21"/>
          <w:szCs w:val="21"/>
          <w:shd w:val="clear" w:fill="FFFFFF"/>
          <w:lang w:val="en-US" w:eastAsia="zh-CN" w:bidi="ar"/>
        </w:rPr>
        <w:t>3.投标人资格要求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 xml:space="preserve">本次招标采取资格后审，电梯制造商或授权的代理商均可参加本项目投标，要求投标人须具备以下资格条件和业绩要求：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3.1.1电梯生产制造商投标须满足以下条件：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（1）电梯生产制造商须为在中华人民共和国境内合法工商登记注册且具有独立法人资格。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（2）应满足以下①、②两项要求中的任意一项：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①同时具有在有效期内的（新旧证过渡期相关职能部门颁发的有效资质证书）《中华人民共和国特种设备制造许可证（电梯）》且许可范围为：曳引驱动乘客电梯（无机房电梯、观光电梯）A级、自动扶梯B级；和《中华人民共和国特种设备安装改造维修许可证（电梯）》或《中华人民共和国特种设备安装改造修理许可证（电梯）》且许可范围为 ：乘客电梯和自动扶梯安装、维修A级或乘客电梯和自动扶梯安装、修理A级。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②具有在有效期内的《中华人民共和国特种设备生产许可证》，具体许可项目如下：</w:t>
      </w:r>
    </w:p>
    <w:tbl>
      <w:tblPr>
        <w:tblStyle w:val="16"/>
        <w:tblW w:w="8526" w:type="dxa"/>
        <w:tblInd w:w="0" w:type="dxa"/>
        <w:shd w:val="clear" w:color="auto" w:fill="auto"/>
        <w:tblLayout w:type="fixed"/>
        <w:tblCellMar>
          <w:top w:w="0" w:type="dxa"/>
          <w:left w:w="108" w:type="dxa"/>
          <w:bottom w:w="0" w:type="dxa"/>
          <w:right w:w="108" w:type="dxa"/>
        </w:tblCellMar>
      </w:tblPr>
      <w:tblGrid>
        <w:gridCol w:w="3270"/>
        <w:gridCol w:w="3285"/>
        <w:gridCol w:w="1971"/>
      </w:tblGrid>
      <w:tr>
        <w:tblPrEx>
          <w:shd w:val="clear" w:color="auto" w:fill="auto"/>
          <w:tblLayout w:type="fixed"/>
          <w:tblCellMar>
            <w:top w:w="0" w:type="dxa"/>
            <w:left w:w="108" w:type="dxa"/>
            <w:bottom w:w="0" w:type="dxa"/>
            <w:right w:w="108" w:type="dxa"/>
          </w:tblCellMar>
        </w:tblPrEx>
        <w:trPr>
          <w:trHeight w:val="350" w:hRule="atLeast"/>
        </w:trPr>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170" w:firstLine="447"/>
              <w:jc w:val="both"/>
            </w:pPr>
            <w:r>
              <w:rPr>
                <w:rFonts w:hint="eastAsia" w:ascii="宋体" w:hAnsi="宋体" w:eastAsia="宋体" w:cs="宋体"/>
                <w:color w:val="333333"/>
                <w:sz w:val="20"/>
                <w:szCs w:val="20"/>
              </w:rPr>
              <w:br w:type="textWrapping"/>
            </w:r>
            <w:r>
              <w:rPr>
                <w:rFonts w:hint="eastAsia" w:ascii="宋体" w:hAnsi="宋体" w:eastAsia="宋体" w:cs="宋体"/>
                <w:b/>
                <w:color w:val="333333"/>
                <w:sz w:val="20"/>
                <w:szCs w:val="20"/>
              </w:rPr>
              <w:t>许可项目</w:t>
            </w:r>
          </w:p>
        </w:tc>
        <w:tc>
          <w:tcPr>
            <w:tcW w:w="3285"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170" w:firstLine="447"/>
              <w:jc w:val="center"/>
            </w:pPr>
            <w:r>
              <w:rPr>
                <w:rFonts w:hint="eastAsia" w:ascii="宋体" w:hAnsi="宋体" w:eastAsia="宋体" w:cs="宋体"/>
                <w:b/>
                <w:color w:val="333333"/>
                <w:sz w:val="20"/>
                <w:szCs w:val="20"/>
              </w:rPr>
              <w:t>许可子项目</w:t>
            </w:r>
          </w:p>
        </w:tc>
        <w:tc>
          <w:tcPr>
            <w:tcW w:w="1971"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170" w:firstLine="447"/>
              <w:jc w:val="center"/>
            </w:pPr>
            <w:r>
              <w:rPr>
                <w:rFonts w:hint="eastAsia" w:ascii="宋体" w:hAnsi="宋体" w:eastAsia="宋体" w:cs="宋体"/>
                <w:b/>
                <w:color w:val="333333"/>
                <w:sz w:val="20"/>
                <w:szCs w:val="20"/>
              </w:rPr>
              <w:t>许可参数</w:t>
            </w:r>
          </w:p>
        </w:tc>
      </w:tr>
      <w:tr>
        <w:tblPrEx>
          <w:tblLayout w:type="fixed"/>
          <w:tblCellMar>
            <w:top w:w="0" w:type="dxa"/>
            <w:left w:w="108" w:type="dxa"/>
            <w:bottom w:w="0" w:type="dxa"/>
            <w:right w:w="108" w:type="dxa"/>
          </w:tblCellMar>
        </w:tblPrEx>
        <w:trPr>
          <w:trHeight w:val="846" w:hRule="atLeast"/>
        </w:trPr>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333333"/>
                <w:kern w:val="0"/>
                <w:sz w:val="20"/>
                <w:szCs w:val="20"/>
                <w:lang w:val="en-US" w:eastAsia="zh-CN" w:bidi="ar"/>
              </w:rPr>
              <w:t>电梯制造（含安装、修理、改造）</w:t>
            </w:r>
          </w:p>
        </w:tc>
        <w:tc>
          <w:tcPr>
            <w:tcW w:w="32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333333"/>
                <w:kern w:val="0"/>
                <w:sz w:val="20"/>
                <w:szCs w:val="20"/>
                <w:lang w:val="en-US" w:eastAsia="zh-CN" w:bidi="ar"/>
              </w:rPr>
              <w:t>曳引驱动乘客电梯(含消防员电梯）</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0" w:firstLine="447"/>
              <w:jc w:val="center"/>
            </w:pPr>
            <w:r>
              <w:rPr>
                <w:rFonts w:hint="eastAsia" w:ascii="宋体" w:hAnsi="宋体" w:eastAsia="宋体" w:cs="宋体"/>
                <w:color w:val="333333"/>
                <w:kern w:val="0"/>
                <w:sz w:val="20"/>
                <w:szCs w:val="20"/>
                <w:lang w:val="en-US" w:eastAsia="zh-CN" w:bidi="ar"/>
              </w:rPr>
              <w:t>--</w:t>
            </w:r>
          </w:p>
        </w:tc>
      </w:tr>
      <w:tr>
        <w:tblPrEx>
          <w:tblLayout w:type="fixed"/>
          <w:tblCellMar>
            <w:top w:w="0" w:type="dxa"/>
            <w:left w:w="108" w:type="dxa"/>
            <w:bottom w:w="0" w:type="dxa"/>
            <w:right w:w="108" w:type="dxa"/>
          </w:tblCellMar>
        </w:tblPrEx>
        <w:trPr>
          <w:trHeight w:val="844" w:hRule="atLeast"/>
        </w:trPr>
        <w:tc>
          <w:tcPr>
            <w:tcW w:w="3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333333"/>
                <w:kern w:val="0"/>
                <w:sz w:val="20"/>
                <w:szCs w:val="20"/>
                <w:lang w:val="en-US" w:eastAsia="zh-CN" w:bidi="ar"/>
              </w:rPr>
              <w:t>电梯制造（含安装、修理、改造）</w:t>
            </w:r>
          </w:p>
        </w:tc>
        <w:tc>
          <w:tcPr>
            <w:tcW w:w="32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0" w:firstLine="447"/>
              <w:jc w:val="left"/>
            </w:pPr>
            <w:r>
              <w:rPr>
                <w:rFonts w:hint="eastAsia" w:ascii="宋体" w:hAnsi="宋体" w:eastAsia="宋体" w:cs="宋体"/>
                <w:color w:val="333333"/>
                <w:kern w:val="0"/>
                <w:sz w:val="20"/>
                <w:szCs w:val="20"/>
                <w:lang w:val="en-US" w:eastAsia="zh-CN" w:bidi="ar"/>
              </w:rPr>
              <w:t>自动扶梯与自动人行道</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0" w:firstLine="447"/>
              <w:jc w:val="center"/>
            </w:pPr>
            <w:r>
              <w:rPr>
                <w:rFonts w:hint="eastAsia" w:ascii="宋体" w:hAnsi="宋体" w:eastAsia="宋体" w:cs="宋体"/>
                <w:color w:val="333333"/>
                <w:kern w:val="0"/>
                <w:sz w:val="20"/>
                <w:szCs w:val="20"/>
                <w:lang w:val="en-US" w:eastAsia="zh-CN" w:bidi="ar"/>
              </w:rPr>
              <w:t>--</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3）电梯生产制造商可以委托电梯生产制造商的分公司或其它单位进行设备安装，若委托其他单位进行设备安装，该单位应具有中华人民共和国境内独立法人资格，投标文件中必须提供唯一合法授权安装书（或唯一合法委托安装协议）；取得授权的安装单位必须具备以下①、②两项要求中的任意一项：</w:t>
      </w:r>
      <w:r>
        <w:rPr>
          <w:rFonts w:hint="eastAsia" w:ascii="宋体" w:hAnsi="宋体" w:eastAsia="宋体" w:cs="宋体"/>
          <w:color w:val="333333"/>
          <w:sz w:val="20"/>
          <w:szCs w:val="20"/>
          <w:shd w:val="clear" w:fill="FFFFFF"/>
        </w:rPr>
        <w:br w:type="textWrapping"/>
      </w:r>
      <w:r>
        <w:rPr>
          <w:rFonts w:hint="eastAsia" w:ascii="宋体" w:hAnsi="宋体" w:eastAsia="宋体" w:cs="宋体"/>
          <w:color w:val="333333"/>
          <w:sz w:val="20"/>
          <w:szCs w:val="20"/>
          <w:shd w:val="clear" w:fill="FFFFFF"/>
        </w:rPr>
        <w:t>①具有在有效期内的（新旧证过渡期相关职能部门颁发的有效资质证书）《中华人民共和国特种设备安装改造维修许可证（电梯）》或《中华人民共和国特种设备安装改造修理许可证（电梯）》且许可范围为：乘客电梯和自动扶梯的安装、维修A级或乘客电梯和自动扶梯安装、修理A级；</w:t>
      </w:r>
      <w:r>
        <w:rPr>
          <w:rFonts w:hint="eastAsia" w:ascii="宋体" w:hAnsi="宋体" w:eastAsia="宋体" w:cs="宋体"/>
          <w:color w:val="333333"/>
          <w:sz w:val="20"/>
          <w:szCs w:val="20"/>
          <w:shd w:val="clear" w:fill="FFFFFF"/>
        </w:rPr>
        <w:br w:type="textWrapping"/>
      </w:r>
      <w:r>
        <w:rPr>
          <w:rFonts w:hint="eastAsia" w:ascii="宋体" w:hAnsi="宋体" w:eastAsia="宋体" w:cs="宋体"/>
          <w:color w:val="333333"/>
          <w:sz w:val="20"/>
          <w:szCs w:val="20"/>
          <w:shd w:val="clear" w:fill="FFFFFF"/>
        </w:rPr>
        <w:t>②具有在有效期内的《中华人民共和国特种设备生产许可证》，具体许可项目如下：</w:t>
      </w:r>
    </w:p>
    <w:tbl>
      <w:tblPr>
        <w:tblStyle w:val="16"/>
        <w:tblW w:w="8526" w:type="dxa"/>
        <w:tblInd w:w="0" w:type="dxa"/>
        <w:shd w:val="clear" w:color="auto" w:fill="auto"/>
        <w:tblLayout w:type="fixed"/>
        <w:tblCellMar>
          <w:top w:w="0" w:type="dxa"/>
          <w:left w:w="108" w:type="dxa"/>
          <w:bottom w:w="0" w:type="dxa"/>
          <w:right w:w="108" w:type="dxa"/>
        </w:tblCellMar>
      </w:tblPr>
      <w:tblGrid>
        <w:gridCol w:w="2442"/>
        <w:gridCol w:w="3684"/>
        <w:gridCol w:w="2400"/>
      </w:tblGrid>
      <w:tr>
        <w:tblPrEx>
          <w:shd w:val="clear" w:color="auto" w:fill="auto"/>
          <w:tblLayout w:type="fixed"/>
          <w:tblCellMar>
            <w:top w:w="0" w:type="dxa"/>
            <w:left w:w="108" w:type="dxa"/>
            <w:bottom w:w="0" w:type="dxa"/>
            <w:right w:w="108" w:type="dxa"/>
          </w:tblCellMar>
        </w:tblPrEx>
        <w:tc>
          <w:tcPr>
            <w:tcW w:w="24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440" w:right="170" w:firstLine="0"/>
              <w:jc w:val="both"/>
            </w:pPr>
            <w:r>
              <w:rPr>
                <w:rFonts w:hint="eastAsia" w:ascii="宋体" w:hAnsi="宋体" w:eastAsia="宋体" w:cs="宋体"/>
                <w:color w:val="333333"/>
                <w:sz w:val="20"/>
                <w:szCs w:val="20"/>
                <w:shd w:val="clear" w:fill="FFFFFF"/>
              </w:rPr>
              <w:t> </w:t>
            </w:r>
            <w:r>
              <w:rPr>
                <w:rFonts w:hint="eastAsia" w:ascii="宋体" w:hAnsi="宋体" w:eastAsia="宋体" w:cs="宋体"/>
                <w:b/>
                <w:color w:val="333333"/>
                <w:kern w:val="0"/>
                <w:sz w:val="20"/>
                <w:szCs w:val="20"/>
                <w:lang w:val="en-US" w:eastAsia="zh-CN" w:bidi="ar"/>
              </w:rPr>
              <w:t>许可项目</w:t>
            </w:r>
          </w:p>
        </w:tc>
        <w:tc>
          <w:tcPr>
            <w:tcW w:w="36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0" w:firstLine="447"/>
              <w:jc w:val="both"/>
            </w:pPr>
            <w:r>
              <w:rPr>
                <w:rFonts w:hint="eastAsia" w:ascii="宋体" w:hAnsi="宋体" w:eastAsia="宋体" w:cs="宋体"/>
                <w:b/>
                <w:color w:val="333333"/>
                <w:kern w:val="0"/>
                <w:sz w:val="20"/>
                <w:szCs w:val="20"/>
                <w:lang w:val="en-US" w:eastAsia="zh-CN" w:bidi="ar"/>
              </w:rPr>
              <w:t>许可子项目</w:t>
            </w:r>
          </w:p>
        </w:tc>
        <w:tc>
          <w:tcPr>
            <w:tcW w:w="24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0" w:firstLine="447"/>
              <w:jc w:val="center"/>
            </w:pPr>
            <w:r>
              <w:rPr>
                <w:rFonts w:hint="eastAsia" w:ascii="宋体" w:hAnsi="宋体" w:eastAsia="宋体" w:cs="宋体"/>
                <w:b/>
                <w:color w:val="333333"/>
                <w:kern w:val="0"/>
                <w:sz w:val="20"/>
                <w:szCs w:val="20"/>
                <w:lang w:val="en-US" w:eastAsia="zh-CN" w:bidi="ar"/>
              </w:rPr>
              <w:t>许可参数</w:t>
            </w:r>
          </w:p>
        </w:tc>
      </w:tr>
      <w:tr>
        <w:tblPrEx>
          <w:tblLayout w:type="fixed"/>
          <w:tblCellMar>
            <w:top w:w="0" w:type="dxa"/>
            <w:left w:w="108" w:type="dxa"/>
            <w:bottom w:w="0" w:type="dxa"/>
            <w:right w:w="108" w:type="dxa"/>
          </w:tblCellMar>
        </w:tblPrEx>
        <w:trPr>
          <w:trHeight w:val="736" w:hRule="atLeast"/>
        </w:trPr>
        <w:tc>
          <w:tcPr>
            <w:tcW w:w="2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333333"/>
                <w:kern w:val="0"/>
                <w:sz w:val="20"/>
                <w:szCs w:val="20"/>
                <w:lang w:val="en-US" w:eastAsia="zh-CN" w:bidi="ar"/>
              </w:rPr>
              <w:t>电梯安装（含修理）</w:t>
            </w:r>
          </w:p>
        </w:tc>
        <w:tc>
          <w:tcPr>
            <w:tcW w:w="36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333333"/>
                <w:kern w:val="0"/>
                <w:sz w:val="20"/>
                <w:szCs w:val="20"/>
                <w:lang w:val="en-US" w:eastAsia="zh-CN" w:bidi="ar"/>
              </w:rPr>
              <w:t>曳引驱动乘客电梯(含消防员电梯）</w:t>
            </w:r>
          </w:p>
        </w:tc>
        <w:tc>
          <w:tcPr>
            <w:tcW w:w="24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0" w:firstLine="447"/>
              <w:jc w:val="center"/>
            </w:pPr>
            <w:r>
              <w:rPr>
                <w:rFonts w:hint="eastAsia" w:ascii="宋体" w:hAnsi="宋体" w:eastAsia="宋体" w:cs="宋体"/>
                <w:color w:val="333333"/>
                <w:kern w:val="0"/>
                <w:sz w:val="20"/>
                <w:szCs w:val="20"/>
                <w:lang w:val="en-US" w:eastAsia="zh-CN" w:bidi="ar"/>
              </w:rPr>
              <w:t>--</w:t>
            </w:r>
          </w:p>
        </w:tc>
      </w:tr>
      <w:tr>
        <w:tblPrEx>
          <w:tblLayout w:type="fixed"/>
          <w:tblCellMar>
            <w:top w:w="0" w:type="dxa"/>
            <w:left w:w="108" w:type="dxa"/>
            <w:bottom w:w="0" w:type="dxa"/>
            <w:right w:w="108" w:type="dxa"/>
          </w:tblCellMar>
        </w:tblPrEx>
        <w:trPr>
          <w:trHeight w:val="846" w:hRule="atLeast"/>
        </w:trPr>
        <w:tc>
          <w:tcPr>
            <w:tcW w:w="24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333333"/>
                <w:kern w:val="0"/>
                <w:sz w:val="20"/>
                <w:szCs w:val="20"/>
                <w:lang w:val="en-US" w:eastAsia="zh-CN" w:bidi="ar"/>
              </w:rPr>
              <w:t>电梯安装（含修理）</w:t>
            </w:r>
          </w:p>
        </w:tc>
        <w:tc>
          <w:tcPr>
            <w:tcW w:w="36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pPr>
            <w:r>
              <w:rPr>
                <w:rFonts w:hint="eastAsia" w:ascii="宋体" w:hAnsi="宋体" w:eastAsia="宋体" w:cs="宋体"/>
                <w:color w:val="333333"/>
                <w:kern w:val="0"/>
                <w:sz w:val="20"/>
                <w:szCs w:val="20"/>
                <w:lang w:val="en-US" w:eastAsia="zh-CN" w:bidi="ar"/>
              </w:rPr>
              <w:t>自动扶梯与自动人行道</w:t>
            </w:r>
          </w:p>
        </w:tc>
        <w:tc>
          <w:tcPr>
            <w:tcW w:w="24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0" w:firstLine="447"/>
              <w:jc w:val="center"/>
            </w:pPr>
            <w:r>
              <w:rPr>
                <w:rFonts w:hint="eastAsia" w:ascii="宋体" w:hAnsi="宋体" w:eastAsia="宋体" w:cs="宋体"/>
                <w:color w:val="333333"/>
                <w:kern w:val="0"/>
                <w:sz w:val="20"/>
                <w:szCs w:val="20"/>
                <w:lang w:val="en-US" w:eastAsia="zh-CN" w:bidi="ar"/>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3.1.2代理商投标须满足如下条件：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如是代理商投标，其代理产品的制造商必须具备上述对电梯生产制造商投标的要求，代理商还需具备以下资格条件：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（1）具有独立承担民事责任能力的法人资格；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（2）具有电梯生产制造商针对本项目出具的唯一授权函。同一品牌授权多个代理商同时投标或制造商与代理商同时投标的，其投标将均被否决投标。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（3）应满足以下①、②两项要求中的任意一项：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①具有在有效期内的（新旧证过渡期相关职能部门颁发的有效资质证书）《中华人民共和国特种设备安装改造维修许可证（电梯）》或《中华人民共和国特种设备安装改造修理许可证（电梯）》且许可范围为：乘客电梯和自动扶梯安装、维修A级或乘客电梯和自动扶梯安装、修理A级；</w:t>
      </w:r>
      <w:r>
        <w:rPr>
          <w:rFonts w:hint="eastAsia" w:ascii="宋体" w:hAnsi="宋体" w:eastAsia="宋体" w:cs="宋体"/>
          <w:color w:val="333333"/>
          <w:sz w:val="20"/>
          <w:szCs w:val="20"/>
          <w:shd w:val="clear" w:fill="FFFFFF"/>
        </w:rPr>
        <w:br w:type="textWrapping"/>
      </w:r>
      <w:r>
        <w:rPr>
          <w:rFonts w:hint="eastAsia" w:ascii="宋体" w:hAnsi="宋体" w:eastAsia="宋体" w:cs="宋体"/>
          <w:color w:val="333333"/>
          <w:sz w:val="20"/>
          <w:szCs w:val="20"/>
          <w:shd w:val="clear" w:fill="FFFFFF"/>
        </w:rPr>
        <w:t>②具有在有效期内的《中华人民共和国特种设备生产许可证》，具体许可项目如下：</w:t>
      </w:r>
    </w:p>
    <w:tbl>
      <w:tblPr>
        <w:tblStyle w:val="16"/>
        <w:tblW w:w="8526" w:type="dxa"/>
        <w:tblInd w:w="0" w:type="dxa"/>
        <w:shd w:val="clear" w:color="auto" w:fill="auto"/>
        <w:tblLayout w:type="fixed"/>
        <w:tblCellMar>
          <w:top w:w="0" w:type="dxa"/>
          <w:left w:w="108" w:type="dxa"/>
          <w:bottom w:w="0" w:type="dxa"/>
          <w:right w:w="108" w:type="dxa"/>
        </w:tblCellMar>
      </w:tblPr>
      <w:tblGrid>
        <w:gridCol w:w="2455"/>
        <w:gridCol w:w="3702"/>
        <w:gridCol w:w="2369"/>
      </w:tblGrid>
      <w:tr>
        <w:tblPrEx>
          <w:shd w:val="clear" w:color="auto" w:fill="auto"/>
          <w:tblLayout w:type="fixed"/>
          <w:tblCellMar>
            <w:top w:w="0" w:type="dxa"/>
            <w:left w:w="108" w:type="dxa"/>
            <w:bottom w:w="0" w:type="dxa"/>
            <w:right w:w="108" w:type="dxa"/>
          </w:tblCellMar>
        </w:tblPrEx>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0" w:firstLine="447"/>
              <w:jc w:val="both"/>
            </w:pPr>
            <w:r>
              <w:rPr>
                <w:rFonts w:hint="eastAsia" w:ascii="宋体" w:hAnsi="宋体" w:eastAsia="宋体" w:cs="宋体"/>
                <w:b/>
                <w:color w:val="333333"/>
                <w:kern w:val="0"/>
                <w:sz w:val="20"/>
                <w:szCs w:val="20"/>
                <w:lang w:val="en-US" w:eastAsia="zh-CN" w:bidi="ar"/>
              </w:rPr>
              <w:t>许可项目</w:t>
            </w:r>
          </w:p>
        </w:tc>
        <w:tc>
          <w:tcPr>
            <w:tcW w:w="3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0" w:firstLine="447"/>
              <w:jc w:val="both"/>
            </w:pPr>
            <w:r>
              <w:rPr>
                <w:rFonts w:hint="eastAsia" w:ascii="宋体" w:hAnsi="宋体" w:eastAsia="宋体" w:cs="宋体"/>
                <w:b/>
                <w:color w:val="333333"/>
                <w:kern w:val="0"/>
                <w:sz w:val="20"/>
                <w:szCs w:val="20"/>
                <w:lang w:val="en-US" w:eastAsia="zh-CN" w:bidi="ar"/>
              </w:rPr>
              <w:t>许可子项目</w:t>
            </w:r>
          </w:p>
        </w:tc>
        <w:tc>
          <w:tcPr>
            <w:tcW w:w="23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0" w:firstLine="447"/>
              <w:jc w:val="both"/>
            </w:pPr>
            <w:r>
              <w:rPr>
                <w:rFonts w:hint="eastAsia" w:ascii="宋体" w:hAnsi="宋体" w:eastAsia="宋体" w:cs="宋体"/>
                <w:b/>
                <w:color w:val="333333"/>
                <w:kern w:val="0"/>
                <w:sz w:val="20"/>
                <w:szCs w:val="20"/>
                <w:lang w:val="en-US" w:eastAsia="zh-CN" w:bidi="ar"/>
              </w:rPr>
              <w:t>许可参数</w:t>
            </w:r>
          </w:p>
        </w:tc>
      </w:tr>
      <w:tr>
        <w:tblPrEx>
          <w:tblLayout w:type="fixed"/>
          <w:tblCellMar>
            <w:top w:w="0" w:type="dxa"/>
            <w:left w:w="108" w:type="dxa"/>
            <w:bottom w:w="0" w:type="dxa"/>
            <w:right w:w="108" w:type="dxa"/>
          </w:tblCellMar>
        </w:tblPrEx>
        <w:trPr>
          <w:trHeight w:val="868" w:hRule="atLeast"/>
        </w:trPr>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333333"/>
                <w:kern w:val="0"/>
                <w:sz w:val="20"/>
                <w:szCs w:val="20"/>
                <w:lang w:val="en-US" w:eastAsia="zh-CN" w:bidi="ar"/>
              </w:rPr>
              <w:t>电梯安装（含修理）</w:t>
            </w:r>
          </w:p>
        </w:tc>
        <w:tc>
          <w:tcPr>
            <w:tcW w:w="3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333333"/>
                <w:kern w:val="0"/>
                <w:sz w:val="20"/>
                <w:szCs w:val="20"/>
                <w:lang w:val="en-US" w:eastAsia="zh-CN" w:bidi="ar"/>
              </w:rPr>
              <w:t>曳引驱动乘客电梯(含消防员电梯）</w:t>
            </w:r>
          </w:p>
        </w:tc>
        <w:tc>
          <w:tcPr>
            <w:tcW w:w="23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0" w:firstLine="447"/>
              <w:jc w:val="center"/>
            </w:pPr>
            <w:r>
              <w:rPr>
                <w:rFonts w:hint="eastAsia" w:ascii="宋体" w:hAnsi="宋体" w:eastAsia="宋体" w:cs="宋体"/>
                <w:color w:val="333333"/>
                <w:kern w:val="0"/>
                <w:sz w:val="20"/>
                <w:szCs w:val="20"/>
                <w:lang w:val="en-US" w:eastAsia="zh-CN" w:bidi="ar"/>
              </w:rPr>
              <w:t>--</w:t>
            </w:r>
          </w:p>
        </w:tc>
      </w:tr>
      <w:tr>
        <w:tblPrEx>
          <w:tblLayout w:type="fixed"/>
          <w:tblCellMar>
            <w:top w:w="0" w:type="dxa"/>
            <w:left w:w="108" w:type="dxa"/>
            <w:bottom w:w="0" w:type="dxa"/>
            <w:right w:w="108" w:type="dxa"/>
          </w:tblCellMar>
        </w:tblPrEx>
        <w:trPr>
          <w:trHeight w:val="681" w:hRule="atLeast"/>
        </w:trPr>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333333"/>
                <w:kern w:val="0"/>
                <w:sz w:val="20"/>
                <w:szCs w:val="20"/>
                <w:lang w:val="en-US" w:eastAsia="zh-CN" w:bidi="ar"/>
              </w:rPr>
              <w:t>电梯安装（含修理）</w:t>
            </w:r>
          </w:p>
        </w:tc>
        <w:tc>
          <w:tcPr>
            <w:tcW w:w="3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pPr>
            <w:r>
              <w:rPr>
                <w:rFonts w:hint="eastAsia" w:ascii="宋体" w:hAnsi="宋体" w:eastAsia="宋体" w:cs="宋体"/>
                <w:color w:val="333333"/>
                <w:kern w:val="0"/>
                <w:sz w:val="20"/>
                <w:szCs w:val="20"/>
                <w:lang w:val="en-US" w:eastAsia="zh-CN" w:bidi="ar"/>
              </w:rPr>
              <w:t>自动扶梯与自动人行道</w:t>
            </w:r>
          </w:p>
        </w:tc>
        <w:tc>
          <w:tcPr>
            <w:tcW w:w="23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 w:right="0" w:firstLine="447"/>
              <w:jc w:val="center"/>
            </w:pPr>
            <w:r>
              <w:rPr>
                <w:rFonts w:hint="eastAsia" w:ascii="宋体" w:hAnsi="宋体" w:eastAsia="宋体" w:cs="宋体"/>
                <w:color w:val="333333"/>
                <w:kern w:val="0"/>
                <w:sz w:val="20"/>
                <w:szCs w:val="20"/>
                <w:lang w:val="en-US" w:eastAsia="zh-CN" w:bidi="ar"/>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（4）代理商投标时，电梯的安装只能为代理商自己安装或制造厂商安装。如是代理商安装则须提供电梯生产制造商出具的授权安装书（或委托安装协议）原件扫描件并加盖投标人电子印章。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（5）代理商投标的，所投电梯和扶梯产品均应为同一品牌。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3.2业绩要求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6" w:afterAutospacing="0" w:line="360" w:lineRule="auto"/>
        <w:ind w:left="-8" w:right="170" w:firstLine="447"/>
        <w:jc w:val="both"/>
      </w:pPr>
      <w:r>
        <w:rPr>
          <w:rFonts w:hint="eastAsia" w:ascii="宋体" w:hAnsi="宋体" w:eastAsia="宋体" w:cs="宋体"/>
          <w:color w:val="333333"/>
          <w:sz w:val="20"/>
          <w:szCs w:val="20"/>
          <w:shd w:val="clear" w:fill="FFFFFF"/>
        </w:rPr>
        <w:t>2016年1月1日至投标截止之日止（以合同签订时间为准），有中国大陆城市轨道交通（地铁、轻轨）或机场或铁路枢纽站的电梯或扶梯或电扶梯系统设备供货及安装业绩或供货业绩，单项合同金额不低于1500万元人民币，并已投入试运行的业绩至少一个；【注：该业绩应为投标人所投产品制造商的供货及安装业绩或供货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jc w:val="left"/>
        <w:rPr>
          <w:rFonts w:ascii="宋体" w:hAnsi="宋体" w:eastAsia="宋体" w:cs="宋体"/>
          <w:color w:val="333333"/>
          <w:sz w:val="21"/>
          <w:szCs w:val="21"/>
        </w:rPr>
      </w:pPr>
      <w:r>
        <w:rPr>
          <w:rStyle w:val="4"/>
          <w:rFonts w:ascii="宋体" w:hAnsi="宋体" w:eastAsia="宋体" w:cs="宋体"/>
          <w:i w:val="0"/>
          <w:color w:val="333333"/>
          <w:sz w:val="21"/>
          <w:szCs w:val="21"/>
          <w:shd w:val="clear" w:fill="FFFFFF"/>
          <w:lang w:val="en-US" w:eastAsia="zh-CN" w:bidi="ar"/>
        </w:rPr>
        <w:t>4.招标文件的获取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jc w:val="left"/>
        <w:rPr>
          <w:rFonts w:ascii="宋体" w:hAnsi="宋体" w:eastAsia="宋体" w:cs="宋体"/>
          <w:color w:val="333333"/>
          <w:sz w:val="21"/>
          <w:szCs w:val="21"/>
        </w:rPr>
      </w:pPr>
      <w:r>
        <w:rPr>
          <w:rFonts w:ascii="宋体" w:hAnsi="宋体" w:eastAsia="宋体" w:cs="宋体"/>
          <w:color w:val="333333"/>
          <w:kern w:val="0"/>
          <w:sz w:val="21"/>
          <w:szCs w:val="21"/>
          <w:shd w:val="clear" w:fill="FFFFFF"/>
          <w:lang w:val="en-US" w:eastAsia="zh-CN" w:bidi="ar"/>
        </w:rPr>
        <w:t>4.1本招标项目采用全流程电子招投标，投标人在投标前可在重庆市公共资源交易网（www.cqggzy.com）下载招标文件、工程量清单、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jc w:val="left"/>
        <w:rPr>
          <w:rFonts w:ascii="宋体" w:hAnsi="宋体" w:eastAsia="宋体" w:cs="宋体"/>
          <w:color w:val="333333"/>
          <w:sz w:val="21"/>
          <w:szCs w:val="21"/>
        </w:rPr>
      </w:pPr>
      <w:r>
        <w:rPr>
          <w:rFonts w:ascii="宋体" w:hAnsi="宋体" w:eastAsia="宋体" w:cs="宋体"/>
          <w:color w:val="333333"/>
          <w:kern w:val="0"/>
          <w:sz w:val="21"/>
          <w:szCs w:val="21"/>
          <w:shd w:val="clear" w:fill="FFFFFF"/>
          <w:lang w:val="en-US" w:eastAsia="zh-CN" w:bidi="ar"/>
        </w:rPr>
        <w:t>4.2投标人可在重庆市公共资源交易网（www.cqggzy.com)本项目招标公告网页下方“我要提问”栏提处疑问，提问时间从本公告发布至2021-05-06 17:00:00（北京时间）前。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jc w:val="left"/>
        <w:rPr>
          <w:rFonts w:ascii="宋体" w:hAnsi="宋体" w:eastAsia="宋体" w:cs="宋体"/>
          <w:color w:val="333333"/>
          <w:sz w:val="21"/>
          <w:szCs w:val="21"/>
        </w:rPr>
      </w:pPr>
      <w:r>
        <w:rPr>
          <w:rFonts w:ascii="宋体" w:hAnsi="宋体" w:eastAsia="宋体" w:cs="宋体"/>
          <w:color w:val="333333"/>
          <w:kern w:val="0"/>
          <w:sz w:val="21"/>
          <w:szCs w:val="21"/>
          <w:shd w:val="clear" w:fill="FFFFFF"/>
          <w:lang w:val="en-US" w:eastAsia="zh-CN" w:bidi="ar"/>
        </w:rPr>
        <w:t>4.3招标人应于2021-05-10 17:30:00（北京时间）前在重庆市公共资源交易网（www.cqggzy.com)或者/发布澄清。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jc w:val="left"/>
        <w:rPr>
          <w:rFonts w:ascii="宋体" w:hAnsi="宋体" w:eastAsia="宋体" w:cs="宋体"/>
          <w:color w:val="333333"/>
          <w:sz w:val="21"/>
          <w:szCs w:val="21"/>
        </w:rPr>
      </w:pPr>
      <w:r>
        <w:rPr>
          <w:rStyle w:val="4"/>
          <w:rFonts w:ascii="宋体" w:hAnsi="宋体" w:eastAsia="宋体" w:cs="宋体"/>
          <w:i w:val="0"/>
          <w:color w:val="333333"/>
          <w:sz w:val="21"/>
          <w:szCs w:val="21"/>
          <w:shd w:val="clear" w:fill="FFFFFF"/>
          <w:lang w:val="en-US" w:eastAsia="zh-CN" w:bidi="ar"/>
        </w:rPr>
        <w:t>5.投标文件递交的内容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jc w:val="left"/>
        <w:rPr>
          <w:rFonts w:ascii="宋体" w:hAnsi="宋体" w:eastAsia="宋体" w:cs="宋体"/>
          <w:color w:val="333333"/>
          <w:sz w:val="21"/>
          <w:szCs w:val="21"/>
        </w:rPr>
      </w:pPr>
      <w:r>
        <w:rPr>
          <w:rFonts w:ascii="宋体" w:hAnsi="宋体" w:eastAsia="宋体" w:cs="宋体"/>
          <w:color w:val="333333"/>
          <w:kern w:val="0"/>
          <w:sz w:val="21"/>
          <w:szCs w:val="21"/>
          <w:shd w:val="clear" w:fill="FFFFFF"/>
          <w:lang w:val="en-US" w:eastAsia="zh-CN" w:bidi="ar"/>
        </w:rPr>
        <w:t>5.1投标文件递交的截止时间（投标截止时间，下同）为2021-05-26 10:00，投标人应当在投标截止时间前，通过互联网使用CA数字证书登录重庆市电子招投标系统，将加密的电子投标文件上传。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jc w:val="left"/>
        <w:rPr>
          <w:rFonts w:ascii="宋体" w:hAnsi="宋体" w:eastAsia="宋体" w:cs="宋体"/>
          <w:color w:val="333333"/>
          <w:sz w:val="21"/>
          <w:szCs w:val="21"/>
        </w:rPr>
      </w:pPr>
      <w:r>
        <w:rPr>
          <w:rFonts w:ascii="宋体" w:hAnsi="宋体" w:eastAsia="宋体" w:cs="宋体"/>
          <w:color w:val="333333"/>
          <w:kern w:val="0"/>
          <w:sz w:val="21"/>
          <w:szCs w:val="21"/>
          <w:shd w:val="clear" w:fill="FFFFFF"/>
          <w:lang w:val="en-US" w:eastAsia="zh-CN" w:bidi="ar"/>
        </w:rPr>
        <w:t>5.2未按要求加密的电子投标文件，将无法上传至重庆市电子招投标系统，逾期未完成投标文件上传的，视为撤回投标文件。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jc w:val="left"/>
        <w:rPr>
          <w:rFonts w:ascii="宋体" w:hAnsi="宋体" w:eastAsia="宋体" w:cs="宋体"/>
          <w:color w:val="333333"/>
          <w:sz w:val="21"/>
          <w:szCs w:val="21"/>
        </w:rPr>
      </w:pPr>
      <w:r>
        <w:rPr>
          <w:rStyle w:val="4"/>
          <w:rFonts w:ascii="宋体" w:hAnsi="宋体" w:eastAsia="宋体" w:cs="宋体"/>
          <w:i w:val="0"/>
          <w:color w:val="333333"/>
          <w:sz w:val="21"/>
          <w:szCs w:val="21"/>
          <w:shd w:val="clear" w:fill="FFFFFF"/>
          <w:lang w:val="en-US" w:eastAsia="zh-CN" w:bidi="ar"/>
        </w:rPr>
        <w:t>6.发布公告的媒介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jc w:val="left"/>
        <w:rPr>
          <w:rFonts w:ascii="宋体" w:hAnsi="宋体" w:eastAsia="宋体" w:cs="宋体"/>
          <w:color w:val="333333"/>
          <w:sz w:val="21"/>
          <w:szCs w:val="21"/>
        </w:rPr>
      </w:pPr>
      <w:r>
        <w:rPr>
          <w:rFonts w:ascii="宋体" w:hAnsi="宋体" w:eastAsia="宋体" w:cs="宋体"/>
          <w:color w:val="333333"/>
          <w:kern w:val="0"/>
          <w:sz w:val="21"/>
          <w:szCs w:val="21"/>
          <w:shd w:val="clear" w:fill="FFFFFF"/>
          <w:lang w:val="en-US" w:eastAsia="zh-CN" w:bidi="ar"/>
        </w:rPr>
        <w:t xml:space="preserve">本次招标公告同时在重庆市公共资源交易监督网（http://ggzyjyjgj.cq.gov.cn）和重庆市公共资源交易网（www.cqggzy.com)、重庆城市交通开发投资(集团)有限公司、重庆城市综合交通枢纽(集团)有限公司网上发布。[提示：依法必须招标项目的招标公告，必须在重庆市公共资源交易监督网上发布。] </w:t>
      </w:r>
    </w:p>
    <w:p>
      <w:pPr>
        <w:numPr>
          <w:ilvl w:val="0"/>
          <w:numId w:val="1"/>
        </w:numPr>
        <w:rPr>
          <w:rStyle w:val="4"/>
          <w:rFonts w:ascii="宋体" w:hAnsi="宋体" w:eastAsia="宋体" w:cs="宋体"/>
          <w:i w:val="0"/>
          <w:color w:val="333333"/>
          <w:sz w:val="21"/>
          <w:szCs w:val="21"/>
          <w:shd w:val="clear" w:fill="FFFFFF"/>
          <w:lang w:val="en-US" w:eastAsia="zh-CN" w:bidi="ar"/>
        </w:rPr>
      </w:pPr>
      <w:r>
        <w:rPr>
          <w:rStyle w:val="4"/>
          <w:rFonts w:ascii="宋体" w:hAnsi="宋体" w:eastAsia="宋体" w:cs="宋体"/>
          <w:i w:val="0"/>
          <w:color w:val="333333"/>
          <w:sz w:val="21"/>
          <w:szCs w:val="21"/>
          <w:shd w:val="clear" w:fill="FFFFFF"/>
          <w:lang w:val="en-US" w:eastAsia="zh-CN" w:bidi="ar"/>
        </w:rPr>
        <w:t>联系方式</w:t>
      </w:r>
    </w:p>
    <w:p>
      <w:pPr>
        <w:numPr>
          <w:ilvl w:val="0"/>
          <w:numId w:val="0"/>
        </w:numPr>
        <w:rPr>
          <w:rStyle w:val="4"/>
          <w:rFonts w:ascii="宋体" w:hAnsi="宋体" w:eastAsia="宋体" w:cs="宋体"/>
          <w:i w:val="0"/>
          <w:color w:val="333333"/>
          <w:sz w:val="21"/>
          <w:szCs w:val="21"/>
          <w:shd w:val="clear" w:fill="FFFFFF"/>
          <w:lang w:val="en-US" w:eastAsia="zh-CN" w:bidi="ar"/>
        </w:rPr>
      </w:pPr>
    </w:p>
    <w:tbl>
      <w:tblPr>
        <w:tblStyle w:val="16"/>
        <w:tblW w:w="9525" w:type="dxa"/>
        <w:tblCellSpacing w:w="15" w:type="dxa"/>
        <w:tblInd w:w="-3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5"/>
        <w:gridCol w:w="3795"/>
        <w:gridCol w:w="1140"/>
        <w:gridCol w:w="3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9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招标人:</w:t>
            </w:r>
          </w:p>
        </w:tc>
        <w:tc>
          <w:tcPr>
            <w:tcW w:w="376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重庆城市综合交通枢纽开发投资有限公司</w:t>
            </w:r>
          </w:p>
        </w:tc>
        <w:tc>
          <w:tcPr>
            <w:tcW w:w="11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代理机构:</w:t>
            </w:r>
          </w:p>
        </w:tc>
        <w:tc>
          <w:tcPr>
            <w:tcW w:w="3510"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 xml:space="preserve">重庆招标采购（集团）有限责任公司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地址:</w:t>
            </w:r>
          </w:p>
        </w:tc>
        <w:tc>
          <w:tcPr>
            <w:tcW w:w="3765"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重庆市沙坪坝区天陈路12号重庆师范大学综合实验楼7楼</w:t>
            </w:r>
          </w:p>
        </w:tc>
        <w:tc>
          <w:tcPr>
            <w:tcW w:w="11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地址:</w:t>
            </w:r>
          </w:p>
        </w:tc>
        <w:tc>
          <w:tcPr>
            <w:tcW w:w="3510"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重庆市江北区五简路二号重庆咨询大厦1507室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联系人:</w:t>
            </w:r>
          </w:p>
        </w:tc>
        <w:tc>
          <w:tcPr>
            <w:tcW w:w="3765"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 xml:space="preserve">黄女士 </w:t>
            </w:r>
          </w:p>
        </w:tc>
        <w:tc>
          <w:tcPr>
            <w:tcW w:w="11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联系人:</w:t>
            </w:r>
          </w:p>
        </w:tc>
        <w:tc>
          <w:tcPr>
            <w:tcW w:w="3510"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 xml:space="preserve">陈莉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电子邮箱:</w:t>
            </w:r>
          </w:p>
        </w:tc>
        <w:tc>
          <w:tcPr>
            <w:tcW w:w="3765" w:type="dxa"/>
            <w:shd w:val="clear" w:color="auto" w:fill="auto"/>
            <w:tcMar>
              <w:top w:w="0" w:type="dxa"/>
              <w:left w:w="0" w:type="dxa"/>
              <w:bottom w:w="0" w:type="dxa"/>
              <w:right w:w="0" w:type="dxa"/>
            </w:tcMar>
            <w:vAlign w:val="center"/>
          </w:tcPr>
          <w:p>
            <w:pPr>
              <w:rPr>
                <w:rFonts w:hint="eastAsia" w:ascii="宋体" w:hAnsi="宋体" w:eastAsia="宋体" w:cs="宋体"/>
                <w:color w:val="333333"/>
                <w:sz w:val="21"/>
                <w:szCs w:val="21"/>
              </w:rPr>
            </w:pPr>
          </w:p>
        </w:tc>
        <w:tc>
          <w:tcPr>
            <w:tcW w:w="11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电子邮箱:</w:t>
            </w:r>
          </w:p>
        </w:tc>
        <w:tc>
          <w:tcPr>
            <w:tcW w:w="3510" w:type="dxa"/>
            <w:shd w:val="clear" w:color="auto" w:fill="auto"/>
            <w:tcMar>
              <w:top w:w="0" w:type="dxa"/>
              <w:left w:w="0" w:type="dxa"/>
              <w:bottom w:w="0" w:type="dxa"/>
              <w:right w:w="0" w:type="dxa"/>
            </w:tcMar>
            <w:vAlign w:val="center"/>
          </w:tcPr>
          <w:p>
            <w:pP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邮编:</w:t>
            </w:r>
          </w:p>
        </w:tc>
        <w:tc>
          <w:tcPr>
            <w:tcW w:w="3765" w:type="dxa"/>
            <w:shd w:val="clear" w:color="auto" w:fill="auto"/>
            <w:tcMar>
              <w:top w:w="0" w:type="dxa"/>
              <w:left w:w="0" w:type="dxa"/>
              <w:bottom w:w="0" w:type="dxa"/>
              <w:right w:w="0" w:type="dxa"/>
            </w:tcMar>
            <w:vAlign w:val="center"/>
          </w:tcPr>
          <w:p>
            <w:pPr>
              <w:rPr>
                <w:rFonts w:hint="eastAsia" w:ascii="宋体" w:hAnsi="宋体" w:eastAsia="宋体" w:cs="宋体"/>
                <w:color w:val="333333"/>
                <w:sz w:val="21"/>
                <w:szCs w:val="21"/>
              </w:rPr>
            </w:pPr>
          </w:p>
        </w:tc>
        <w:tc>
          <w:tcPr>
            <w:tcW w:w="11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邮编:</w:t>
            </w:r>
          </w:p>
        </w:tc>
        <w:tc>
          <w:tcPr>
            <w:tcW w:w="3510" w:type="dxa"/>
            <w:shd w:val="clear" w:color="auto" w:fill="auto"/>
            <w:tcMar>
              <w:top w:w="0" w:type="dxa"/>
              <w:left w:w="0" w:type="dxa"/>
              <w:bottom w:w="0" w:type="dxa"/>
              <w:right w:w="0" w:type="dxa"/>
            </w:tcMar>
            <w:vAlign w:val="center"/>
          </w:tcPr>
          <w:p>
            <w:pP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联系电话:</w:t>
            </w:r>
          </w:p>
        </w:tc>
        <w:tc>
          <w:tcPr>
            <w:tcW w:w="376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 xml:space="preserve">023-65380352 </w:t>
            </w:r>
          </w:p>
        </w:tc>
        <w:tc>
          <w:tcPr>
            <w:tcW w:w="11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联系电话:</w:t>
            </w:r>
          </w:p>
        </w:tc>
        <w:tc>
          <w:tcPr>
            <w:tcW w:w="35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 xml:space="preserve">15178711198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传真:</w:t>
            </w:r>
          </w:p>
        </w:tc>
        <w:tc>
          <w:tcPr>
            <w:tcW w:w="3765" w:type="dxa"/>
            <w:shd w:val="clear" w:color="auto" w:fill="auto"/>
            <w:tcMar>
              <w:top w:w="0" w:type="dxa"/>
              <w:left w:w="0" w:type="dxa"/>
              <w:bottom w:w="0" w:type="dxa"/>
              <w:right w:w="0" w:type="dxa"/>
            </w:tcMar>
            <w:vAlign w:val="center"/>
          </w:tcPr>
          <w:p>
            <w:pPr>
              <w:rPr>
                <w:rFonts w:hint="eastAsia" w:ascii="宋体" w:hAnsi="宋体" w:eastAsia="宋体" w:cs="宋体"/>
                <w:color w:val="333333"/>
                <w:sz w:val="21"/>
                <w:szCs w:val="21"/>
              </w:rPr>
            </w:pPr>
          </w:p>
        </w:tc>
        <w:tc>
          <w:tcPr>
            <w:tcW w:w="11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传真:</w:t>
            </w:r>
          </w:p>
        </w:tc>
        <w:tc>
          <w:tcPr>
            <w:tcW w:w="35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 xml:space="preserve">023-67763020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开户银行:</w:t>
            </w:r>
          </w:p>
        </w:tc>
        <w:tc>
          <w:tcPr>
            <w:tcW w:w="3765" w:type="dxa"/>
            <w:shd w:val="clear" w:color="auto" w:fill="auto"/>
            <w:tcMar>
              <w:top w:w="0" w:type="dxa"/>
              <w:left w:w="0" w:type="dxa"/>
              <w:bottom w:w="0" w:type="dxa"/>
              <w:right w:w="0" w:type="dxa"/>
            </w:tcMar>
            <w:vAlign w:val="center"/>
          </w:tcPr>
          <w:p>
            <w:pPr>
              <w:rPr>
                <w:rFonts w:hint="eastAsia" w:ascii="宋体" w:hAnsi="宋体" w:eastAsia="宋体" w:cs="宋体"/>
                <w:color w:val="333333"/>
                <w:sz w:val="21"/>
                <w:szCs w:val="21"/>
              </w:rPr>
            </w:pPr>
          </w:p>
        </w:tc>
        <w:tc>
          <w:tcPr>
            <w:tcW w:w="11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开户银行:</w:t>
            </w:r>
          </w:p>
        </w:tc>
        <w:tc>
          <w:tcPr>
            <w:tcW w:w="3510" w:type="dxa"/>
            <w:shd w:val="clear" w:color="auto" w:fill="auto"/>
            <w:tcMar>
              <w:top w:w="0" w:type="dxa"/>
              <w:left w:w="0" w:type="dxa"/>
              <w:bottom w:w="0" w:type="dxa"/>
              <w:right w:w="0" w:type="dxa"/>
            </w:tcMar>
            <w:vAlign w:val="center"/>
          </w:tcPr>
          <w:p>
            <w:pP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账号:</w:t>
            </w:r>
          </w:p>
        </w:tc>
        <w:tc>
          <w:tcPr>
            <w:tcW w:w="3765" w:type="dxa"/>
            <w:shd w:val="clear" w:color="auto" w:fill="auto"/>
            <w:tcMar>
              <w:top w:w="0" w:type="dxa"/>
              <w:left w:w="0" w:type="dxa"/>
              <w:bottom w:w="0" w:type="dxa"/>
              <w:right w:w="0" w:type="dxa"/>
            </w:tcMar>
            <w:vAlign w:val="center"/>
          </w:tcPr>
          <w:p>
            <w:pPr>
              <w:rPr>
                <w:rFonts w:hint="eastAsia" w:ascii="宋体" w:hAnsi="宋体" w:eastAsia="宋体" w:cs="宋体"/>
                <w:color w:val="333333"/>
                <w:sz w:val="21"/>
                <w:szCs w:val="21"/>
              </w:rPr>
            </w:pPr>
          </w:p>
        </w:tc>
        <w:tc>
          <w:tcPr>
            <w:tcW w:w="11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账号:</w:t>
            </w:r>
          </w:p>
        </w:tc>
        <w:tc>
          <w:tcPr>
            <w:tcW w:w="3510" w:type="dxa"/>
            <w:shd w:val="clear" w:color="auto" w:fill="auto"/>
            <w:tcMar>
              <w:top w:w="0" w:type="dxa"/>
              <w:left w:w="0" w:type="dxa"/>
              <w:bottom w:w="0" w:type="dxa"/>
              <w:right w:w="0" w:type="dxa"/>
            </w:tcMar>
            <w:vAlign w:val="center"/>
          </w:tcPr>
          <w:p>
            <w:pP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9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kern w:val="0"/>
                <w:sz w:val="21"/>
                <w:szCs w:val="21"/>
                <w:lang w:val="en-US" w:eastAsia="zh-CN" w:bidi="ar"/>
              </w:rPr>
            </w:pPr>
            <w:bookmarkStart w:id="0" w:name="_GoBack"/>
            <w:bookmarkEnd w:id="0"/>
          </w:p>
        </w:tc>
        <w:tc>
          <w:tcPr>
            <w:tcW w:w="3765" w:type="dxa"/>
            <w:shd w:val="clear" w:color="auto" w:fill="auto"/>
            <w:tcMar>
              <w:top w:w="0" w:type="dxa"/>
              <w:left w:w="0" w:type="dxa"/>
              <w:bottom w:w="0" w:type="dxa"/>
              <w:right w:w="0" w:type="dxa"/>
            </w:tcMar>
            <w:vAlign w:val="center"/>
          </w:tcPr>
          <w:p>
            <w:pPr>
              <w:rPr>
                <w:rFonts w:hint="eastAsia" w:ascii="宋体" w:hAnsi="宋体" w:eastAsia="宋体" w:cs="宋体"/>
                <w:color w:val="333333"/>
                <w:sz w:val="21"/>
                <w:szCs w:val="21"/>
              </w:rPr>
            </w:pPr>
          </w:p>
        </w:tc>
        <w:tc>
          <w:tcPr>
            <w:tcW w:w="1110"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18" w:lineRule="atLeast"/>
              <w:ind w:left="0" w:right="0"/>
              <w:jc w:val="left"/>
              <w:rPr>
                <w:rFonts w:hint="eastAsia" w:ascii="宋体" w:hAnsi="宋体" w:eastAsia="宋体" w:cs="宋体"/>
                <w:color w:val="333333"/>
                <w:kern w:val="0"/>
                <w:sz w:val="21"/>
                <w:szCs w:val="21"/>
                <w:lang w:val="en-US" w:eastAsia="zh-CN" w:bidi="ar"/>
              </w:rPr>
            </w:pPr>
          </w:p>
        </w:tc>
        <w:tc>
          <w:tcPr>
            <w:tcW w:w="3510" w:type="dxa"/>
            <w:shd w:val="clear" w:color="auto" w:fill="auto"/>
            <w:tcMar>
              <w:top w:w="0" w:type="dxa"/>
              <w:left w:w="0" w:type="dxa"/>
              <w:bottom w:w="0" w:type="dxa"/>
              <w:right w:w="0" w:type="dxa"/>
            </w:tcMar>
            <w:vAlign w:val="center"/>
          </w:tcPr>
          <w:p>
            <w:pPr>
              <w:rPr>
                <w:rFonts w:hint="eastAsia" w:ascii="宋体" w:hAnsi="宋体" w:eastAsia="宋体" w:cs="宋体"/>
                <w:color w:val="333333"/>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13500" w:right="0"/>
        <w:jc w:val="left"/>
        <w:rPr>
          <w:rFonts w:ascii="宋体" w:hAnsi="宋体" w:eastAsia="宋体" w:cs="宋体"/>
          <w:color w:val="333333"/>
          <w:sz w:val="21"/>
          <w:szCs w:val="21"/>
        </w:rPr>
      </w:pPr>
    </w:p>
    <w:tbl>
      <w:tblPr>
        <w:tblStyle w:val="16"/>
        <w:tblW w:w="10160" w:type="dxa"/>
        <w:tblCellSpacing w:w="0" w:type="dxa"/>
        <w:tblInd w:w="-743"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090"/>
        <w:gridCol w:w="3165"/>
        <w:gridCol w:w="390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85" w:hRule="atLeast"/>
          <w:tblCellSpacing w:w="0" w:type="dxa"/>
        </w:trPr>
        <w:tc>
          <w:tcPr>
            <w:tcW w:w="10160" w:type="dxa"/>
            <w:gridSpan w:val="3"/>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333333"/>
                <w:sz w:val="27"/>
                <w:szCs w:val="27"/>
              </w:rPr>
            </w:pPr>
            <w:r>
              <w:rPr>
                <w:rFonts w:hint="eastAsia" w:ascii="宋体" w:hAnsi="宋体" w:eastAsia="宋体" w:cs="宋体"/>
                <w:color w:val="333333"/>
                <w:kern w:val="0"/>
                <w:sz w:val="24"/>
                <w:szCs w:val="24"/>
                <w:lang w:val="en-US" w:eastAsia="zh-CN" w:bidi="ar"/>
              </w:rPr>
              <w:t>重庆沙坪坝站铁路综合交通枢纽工程电扶梯设备采购及安装工程(第二批)项目（第四次）</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43" w:hRule="atLeast"/>
          <w:tblCellSpacing w:w="0" w:type="dxa"/>
        </w:trPr>
        <w:tc>
          <w:tcPr>
            <w:tcW w:w="10160" w:type="dxa"/>
            <w:gridSpan w:val="3"/>
            <w:shd w:val="clear" w:color="auto" w:fill="auto"/>
            <w:tcMar>
              <w:top w:w="0" w:type="dxa"/>
              <w:left w:w="0" w:type="dxa"/>
              <w:bottom w:w="0" w:type="dxa"/>
              <w:right w:w="0" w:type="dxa"/>
            </w:tcMar>
            <w:vAlign w:val="center"/>
          </w:tcPr>
          <w:p>
            <w:pPr>
              <w:rPr>
                <w:rFonts w:hint="eastAsia" w:ascii="宋体" w:hAnsi="宋体" w:eastAsia="宋体" w:cs="宋体"/>
                <w:color w:val="333333"/>
                <w:sz w:val="27"/>
                <w:szCs w:val="27"/>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43" w:hRule="atLeast"/>
          <w:tblCellSpacing w:w="0" w:type="dxa"/>
        </w:trPr>
        <w:tc>
          <w:tcPr>
            <w:tcW w:w="3090"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户名</w:t>
            </w:r>
          </w:p>
        </w:tc>
        <w:tc>
          <w:tcPr>
            <w:tcW w:w="3165"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开户行</w:t>
            </w:r>
          </w:p>
        </w:tc>
        <w:tc>
          <w:tcPr>
            <w:tcW w:w="3905"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投标保证金账号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26" w:hRule="atLeast"/>
          <w:tblCellSpacing w:w="0" w:type="dxa"/>
        </w:trPr>
        <w:tc>
          <w:tcPr>
            <w:tcW w:w="3090" w:type="dxa"/>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50" w:lineRule="atLeast"/>
              <w:ind w:left="0" w:leftChars="0" w:right="0" w:rightChars="0" w:firstLine="0" w:firstLineChars="0"/>
              <w:jc w:val="center"/>
              <w:textAlignment w:val="auto"/>
              <w:outlineLvl w:val="9"/>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重庆联合产权交易所集团股份有限公司</w:t>
            </w:r>
          </w:p>
        </w:tc>
        <w:tc>
          <w:tcPr>
            <w:tcW w:w="3165" w:type="dxa"/>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90" w:lineRule="atLeast"/>
              <w:ind w:left="0" w:leftChars="0" w:right="0" w:rightChars="0" w:firstLine="0" w:firstLineChars="0"/>
              <w:jc w:val="center"/>
              <w:textAlignment w:val="auto"/>
              <w:outlineLvl w:val="9"/>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招商银行股份有限公司重庆分行营业部</w:t>
            </w:r>
          </w:p>
        </w:tc>
        <w:tc>
          <w:tcPr>
            <w:tcW w:w="3905"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1239048087108091555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255" w:hRule="atLeast"/>
          <w:tblCellSpacing w:w="0" w:type="dxa"/>
        </w:trPr>
        <w:tc>
          <w:tcPr>
            <w:tcW w:w="3090" w:type="dxa"/>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90" w:lineRule="atLeast"/>
              <w:ind w:left="0" w:leftChars="0" w:right="0" w:rightChars="0" w:firstLine="0" w:firstLineChars="0"/>
              <w:jc w:val="center"/>
              <w:textAlignment w:val="auto"/>
              <w:outlineLvl w:val="9"/>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重庆联合产权交易所集团股份有限公司</w:t>
            </w:r>
          </w:p>
        </w:tc>
        <w:tc>
          <w:tcPr>
            <w:tcW w:w="3165" w:type="dxa"/>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90" w:lineRule="atLeast"/>
              <w:ind w:left="0" w:leftChars="0" w:right="0" w:rightChars="0" w:firstLine="0" w:firstLineChars="0"/>
              <w:jc w:val="center"/>
              <w:textAlignment w:val="auto"/>
              <w:outlineLvl w:val="9"/>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重庆农村商业银行沙坪坝支行营业部</w:t>
            </w:r>
          </w:p>
        </w:tc>
        <w:tc>
          <w:tcPr>
            <w:tcW w:w="3905"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0304010120010019214022319</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255" w:hRule="atLeast"/>
          <w:tblCellSpacing w:w="0" w:type="dxa"/>
        </w:trPr>
        <w:tc>
          <w:tcPr>
            <w:tcW w:w="3090" w:type="dxa"/>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90" w:lineRule="atLeast"/>
              <w:ind w:left="0" w:leftChars="0" w:right="0" w:rightChars="0" w:firstLine="0" w:firstLineChars="0"/>
              <w:jc w:val="center"/>
              <w:textAlignment w:val="auto"/>
              <w:outlineLvl w:val="9"/>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重庆联合产权交易所集团股份有限公司</w:t>
            </w:r>
          </w:p>
        </w:tc>
        <w:tc>
          <w:tcPr>
            <w:tcW w:w="3165" w:type="dxa"/>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90" w:lineRule="atLeast"/>
              <w:ind w:left="0" w:leftChars="0" w:right="0" w:rightChars="0" w:firstLine="0" w:firstLineChars="0"/>
              <w:jc w:val="center"/>
              <w:textAlignment w:val="auto"/>
              <w:outlineLvl w:val="9"/>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重庆银行七星岗支行</w:t>
            </w:r>
          </w:p>
        </w:tc>
        <w:tc>
          <w:tcPr>
            <w:tcW w:w="3905"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150101040015152-110581</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255" w:hRule="atLeast"/>
          <w:tblCellSpacing w:w="0" w:type="dxa"/>
        </w:trPr>
        <w:tc>
          <w:tcPr>
            <w:tcW w:w="3090" w:type="dxa"/>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90" w:lineRule="atLeast"/>
              <w:ind w:left="0" w:leftChars="0" w:right="0" w:rightChars="0" w:firstLine="0" w:firstLineChars="0"/>
              <w:jc w:val="center"/>
              <w:textAlignment w:val="auto"/>
              <w:outlineLvl w:val="9"/>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重庆联合产权交易所集团股份有限公司</w:t>
            </w:r>
          </w:p>
        </w:tc>
        <w:tc>
          <w:tcPr>
            <w:tcW w:w="3165" w:type="dxa"/>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90" w:lineRule="atLeast"/>
              <w:ind w:left="0" w:leftChars="0" w:right="0" w:rightChars="0" w:firstLine="0" w:firstLineChars="0"/>
              <w:jc w:val="center"/>
              <w:textAlignment w:val="auto"/>
              <w:outlineLvl w:val="9"/>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中国建设银行股份有限公司重庆中山路支行</w:t>
            </w:r>
          </w:p>
        </w:tc>
        <w:tc>
          <w:tcPr>
            <w:tcW w:w="3905"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50050100414100000213-005416</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270" w:hRule="atLeast"/>
          <w:tblCellSpacing w:w="0" w:type="dxa"/>
        </w:trPr>
        <w:tc>
          <w:tcPr>
            <w:tcW w:w="3090" w:type="dxa"/>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90" w:lineRule="atLeast"/>
              <w:ind w:left="0" w:leftChars="0" w:right="0" w:rightChars="0" w:firstLine="0" w:firstLineChars="0"/>
              <w:jc w:val="center"/>
              <w:textAlignment w:val="auto"/>
              <w:outlineLvl w:val="9"/>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重庆联合产权交易所集团股份有限公司</w:t>
            </w:r>
          </w:p>
        </w:tc>
        <w:tc>
          <w:tcPr>
            <w:tcW w:w="3165" w:type="dxa"/>
            <w:shd w:val="clear" w:color="auto" w:fill="auto"/>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190" w:lineRule="atLeast"/>
              <w:ind w:left="0" w:leftChars="0" w:right="0" w:rightChars="0" w:firstLine="0" w:firstLineChars="0"/>
              <w:jc w:val="center"/>
              <w:textAlignment w:val="auto"/>
              <w:outlineLvl w:val="9"/>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中国工商银行股份有限公司重庆花园新村支行</w:t>
            </w:r>
          </w:p>
        </w:tc>
        <w:tc>
          <w:tcPr>
            <w:tcW w:w="3905"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333333"/>
                <w:sz w:val="27"/>
                <w:szCs w:val="27"/>
              </w:rPr>
            </w:pPr>
            <w:r>
              <w:rPr>
                <w:rFonts w:hint="eastAsia" w:ascii="宋体" w:hAnsi="宋体" w:eastAsia="宋体" w:cs="宋体"/>
                <w:color w:val="333333"/>
                <w:kern w:val="0"/>
                <w:sz w:val="27"/>
                <w:szCs w:val="27"/>
                <w:lang w:val="en-US" w:eastAsia="zh-CN" w:bidi="ar"/>
              </w:rPr>
              <w:t>9558853100005746767</w:t>
            </w:r>
          </w:p>
        </w:tc>
      </w:tr>
    </w:tbl>
    <w:p>
      <w:pPr>
        <w:numPr>
          <w:ilvl w:val="0"/>
          <w:numId w:val="0"/>
        </w:numPr>
        <w:rPr>
          <w:rStyle w:val="4"/>
          <w:rFonts w:ascii="宋体" w:hAnsi="宋体" w:eastAsia="宋体" w:cs="宋体"/>
          <w:i w:val="0"/>
          <w:color w:val="333333"/>
          <w:sz w:val="21"/>
          <w:szCs w:val="21"/>
          <w:shd w:val="clear" w:fill="FFFFFF"/>
          <w:lang w:val="en-US" w:eastAsia="zh-CN" w:bidi="ar"/>
        </w:rPr>
      </w:pPr>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A5A44"/>
    <w:multiLevelType w:val="singleLevel"/>
    <w:tmpl w:val="608A5A44"/>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20663"/>
    <w:rsid w:val="56D21EB4"/>
    <w:rsid w:val="57C206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Emphasis"/>
    <w:basedOn w:val="3"/>
    <w:qFormat/>
    <w:uiPriority w:val="0"/>
  </w:style>
  <w:style w:type="character" w:styleId="7">
    <w:name w:val="HTML Definition"/>
    <w:basedOn w:val="3"/>
    <w:qFormat/>
    <w:uiPriority w:val="0"/>
  </w:style>
  <w:style w:type="character" w:styleId="8">
    <w:name w:val="HTML Typewriter"/>
    <w:basedOn w:val="3"/>
    <w:qFormat/>
    <w:uiPriority w:val="0"/>
    <w:rPr>
      <w:rFonts w:hint="default" w:ascii="monospace" w:hAnsi="monospace" w:eastAsia="monospace" w:cs="monospace"/>
      <w:sz w:val="20"/>
    </w:rPr>
  </w:style>
  <w:style w:type="character" w:styleId="9">
    <w:name w:val="HTML Acronym"/>
    <w:basedOn w:val="3"/>
    <w:qFormat/>
    <w:uiPriority w:val="0"/>
  </w:style>
  <w:style w:type="character" w:styleId="10">
    <w:name w:val="HTML Variable"/>
    <w:basedOn w:val="3"/>
    <w:uiPriority w:val="0"/>
  </w:style>
  <w:style w:type="character" w:styleId="11">
    <w:name w:val="Hyperlink"/>
    <w:basedOn w:val="3"/>
    <w:qFormat/>
    <w:uiPriority w:val="0"/>
    <w:rPr>
      <w:color w:val="0000FF"/>
      <w:u w:val="none"/>
    </w:rPr>
  </w:style>
  <w:style w:type="character" w:styleId="12">
    <w:name w:val="HTML Code"/>
    <w:basedOn w:val="3"/>
    <w:qFormat/>
    <w:uiPriority w:val="0"/>
    <w:rPr>
      <w:rFonts w:ascii="monospace" w:hAnsi="monospace" w:eastAsia="monospace" w:cs="monospace"/>
      <w:sz w:val="20"/>
    </w:rPr>
  </w:style>
  <w:style w:type="character" w:styleId="13">
    <w:name w:val="HTML Cite"/>
    <w:basedOn w:val="3"/>
    <w:uiPriority w:val="0"/>
  </w:style>
  <w:style w:type="character" w:styleId="14">
    <w:name w:val="HTML Keyboard"/>
    <w:basedOn w:val="3"/>
    <w:qFormat/>
    <w:uiPriority w:val="0"/>
    <w:rPr>
      <w:rFonts w:hint="default" w:ascii="monospace" w:hAnsi="monospace" w:eastAsia="monospace" w:cs="monospace"/>
      <w:sz w:val="20"/>
    </w:rPr>
  </w:style>
  <w:style w:type="character" w:styleId="15">
    <w:name w:val="HTML Sample"/>
    <w:basedOn w:val="3"/>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2021-04-29T06:49:00Z</dcterms:created>
  <dc:creator>黄佳</dc:creator>
  <cp:lastModifiedBy>黄佳</cp:lastModifiedBy>
  <dcterms:modified xsi:type="dcterms:W3CDTF">2021-04-29T07:10:13Z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