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val="0"/>
          <w:bCs w:val="0"/>
          <w:color w:val="000000" w:themeColor="text1"/>
          <w:sz w:val="32"/>
          <w:szCs w:val="32"/>
          <w:highlight w:val="none"/>
          <w:shd w:val="clear" w:color="auto" w:fill="auto"/>
          <w:lang w:eastAsia="zh-CN"/>
          <w14:textFill>
            <w14:solidFill>
              <w14:schemeClr w14:val="tx1"/>
            </w14:solidFill>
          </w14:textFill>
        </w:rPr>
        <w:t>附件</w:t>
      </w:r>
      <w:r>
        <w:rPr>
          <w:rFonts w:hint="eastAsia" w:ascii="方正小标宋_GBK" w:hAnsi="仿宋_GB2312" w:eastAsia="方正小标宋_GBK" w:cs="仿宋_GB2312"/>
          <w:b w:val="0"/>
          <w:bCs w:val="0"/>
          <w:color w:val="000000" w:themeColor="text1"/>
          <w:sz w:val="32"/>
          <w:szCs w:val="32"/>
          <w:highlight w:val="none"/>
          <w:shd w:val="clear" w:color="auto" w:fill="auto"/>
          <w:lang w:val="en-US" w:eastAsia="zh-CN"/>
          <w14:textFill>
            <w14:solidFill>
              <w14:schemeClr w14:val="tx1"/>
            </w14:solidFill>
          </w14:textFill>
        </w:rPr>
        <w:t>1  比选文件范本</w:t>
      </w:r>
    </w:p>
    <w:p>
      <w:pPr>
        <w:jc w:val="cente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重庆</w:t>
      </w:r>
      <w:r>
        <w:rPr>
          <w:rFonts w:hint="eastAsia" w:ascii="方正小标宋_GBK" w:hAnsi="仿宋_GB2312" w:eastAsia="方正小标宋_GBK" w:cs="仿宋_GB2312"/>
          <w:b/>
          <w:bCs/>
          <w:color w:val="000000" w:themeColor="text1"/>
          <w:sz w:val="36"/>
          <w:szCs w:val="36"/>
          <w:highlight w:val="none"/>
          <w:lang w:eastAsia="zh-CN"/>
          <w14:textFill>
            <w14:solidFill>
              <w14:schemeClr w14:val="tx1"/>
            </w14:solidFill>
          </w14:textFill>
        </w:rPr>
        <w:t>城市综合</w:t>
      </w:r>
      <w:r>
        <w:rPr>
          <w:rFonts w:hint="eastAsia" w:ascii="方正小标宋_GBK" w:hAnsi="仿宋_GB2312" w:eastAsia="方正小标宋_GBK" w:cs="仿宋_GB2312"/>
          <w:b/>
          <w:bCs/>
          <w:color w:val="000000" w:themeColor="text1"/>
          <w:sz w:val="36"/>
          <w:szCs w:val="36"/>
          <w:highlight w:val="none"/>
          <w:u w:val="single"/>
          <w:lang w:eastAsia="zh-CN"/>
          <w14:textFill>
            <w14:solidFill>
              <w14:schemeClr w14:val="tx1"/>
            </w14:solidFill>
          </w14:textFill>
        </w:rPr>
        <w:t>交通枢纽</w:t>
      </w: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(集团)有限公司</w:t>
      </w:r>
    </w:p>
    <w:p>
      <w:pPr>
        <w:tabs>
          <w:tab w:val="left" w:pos="-7488"/>
        </w:tabs>
        <w:ind w:right="611" w:rightChars="291"/>
        <w:jc w:val="center"/>
        <w:rPr>
          <w:rFonts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关于</w:t>
      </w:r>
      <w:r>
        <w:rPr>
          <w:rFonts w:hint="eastAsia" w:ascii="方正小标宋_GBK" w:hAnsi="仿宋_GB2312" w:eastAsia="方正小标宋_GBK" w:cs="仿宋_GB2312"/>
          <w:b/>
          <w:bCs/>
          <w:color w:val="000000" w:themeColor="text1"/>
          <w:sz w:val="36"/>
          <w:szCs w:val="36"/>
          <w:highlight w:val="none"/>
          <w:u w:val="single"/>
          <w14:textFill>
            <w14:solidFill>
              <w14:schemeClr w14:val="tx1"/>
            </w14:solidFill>
          </w14:textFill>
        </w:rPr>
        <w:t xml:space="preserve"> 重庆东站铁路综合交通枢纽高铁新经济区基础设施工程片区路网项目地勘初勘审查、高边坡及深基坑可行性评估等工作</w:t>
      </w: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比选</w:t>
      </w:r>
      <w:r>
        <w:rPr>
          <w:rFonts w:hint="eastAsia" w:ascii="方正小标宋_GBK" w:hAnsi="仿宋_GB2312" w:eastAsia="方正小标宋_GBK" w:cs="仿宋_GB2312"/>
          <w:b/>
          <w:bCs/>
          <w:color w:val="000000" w:themeColor="text1"/>
          <w:sz w:val="36"/>
          <w:szCs w:val="36"/>
          <w:highlight w:val="none"/>
          <w:lang w:eastAsia="zh-CN"/>
          <w14:textFill>
            <w14:solidFill>
              <w14:schemeClr w14:val="tx1"/>
            </w14:solidFill>
          </w14:textFill>
        </w:rPr>
        <w:t>文件</w:t>
      </w:r>
    </w:p>
    <w:p>
      <w:pPr>
        <w:jc w:val="left"/>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我司拟开展</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重庆东站铁路综合交通枢纽高铁新经济区基础设施工程片区路网项目地勘初勘审查、高边坡及深基坑可行性评估等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工作，本次工作</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实施单位的</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确定将采用比选方式进行。现邀请贵单位作为潜在</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比选人</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之一参加报价和比选。具体项目情况如</w:t>
      </w:r>
      <w:bookmarkStart w:id="1" w:name="_GoBack"/>
      <w:bookmarkEnd w:id="1"/>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numPr>
                <w:ilvl w:val="0"/>
                <w:numId w:val="0"/>
              </w:numPr>
              <w:rPr>
                <w:rFonts w:ascii="方正仿宋_GBK" w:hAnsi="仿宋_GB2312" w:eastAsia="方正仿宋_GBK" w:cs="仿宋_GB2312"/>
                <w:color w:val="000000" w:themeColor="text1"/>
                <w:spacing w:val="0"/>
                <w:w w:val="10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w w:val="100"/>
                <w:sz w:val="24"/>
                <w:szCs w:val="24"/>
                <w:highlight w:val="none"/>
                <w:lang w:val="en-US" w:eastAsia="zh-CN"/>
                <w14:textFill>
                  <w14:solidFill>
                    <w14:schemeClr w14:val="tx1"/>
                  </w14:solidFill>
                </w14:textFill>
              </w:rPr>
              <w:t>一、</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项目概况</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 xml:space="preserve"> </w:t>
            </w:r>
          </w:p>
          <w:p>
            <w:pPr>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项目名称</w:t>
            </w:r>
          </w:p>
        </w:tc>
        <w:tc>
          <w:tcPr>
            <w:tcW w:w="6293" w:type="dxa"/>
            <w:vAlign w:val="center"/>
          </w:tcPr>
          <w:p>
            <w:pPr>
              <w:ind w:firstLine="480" w:firstLineChars="200"/>
              <w:rPr>
                <w:rFonts w:hint="eastAsia" w:eastAsia="宋体"/>
                <w:color w:val="000000" w:themeColor="text1"/>
                <w:spacing w:val="0"/>
                <w:w w:val="100"/>
                <w:sz w:val="24"/>
                <w:szCs w:val="24"/>
                <w:highlight w:val="none"/>
                <w:vertAlign w:val="baseline"/>
                <w:lang w:val="en-US" w:eastAsia="zh-CN"/>
                <w14:textFill>
                  <w14:solidFill>
                    <w14:schemeClr w14:val="tx1"/>
                  </w14:solidFill>
                </w14:textFill>
              </w:rPr>
            </w:pPr>
            <w:r>
              <w:rPr>
                <w:rFonts w:hint="eastAsia"/>
                <w:color w:val="000000" w:themeColor="text1"/>
                <w:spacing w:val="0"/>
                <w:w w:val="100"/>
                <w:sz w:val="24"/>
                <w:szCs w:val="24"/>
                <w:highlight w:val="none"/>
                <w:vertAlign w:val="baseline"/>
                <w14:textFill>
                  <w14:solidFill>
                    <w14:schemeClr w14:val="tx1"/>
                  </w14:solidFill>
                </w14:textFill>
              </w:rPr>
              <w:t>重庆东站铁路综合交通枢纽高铁新经济区基础设施工程片区路网</w:t>
            </w:r>
            <w:r>
              <w:rPr>
                <w:rFonts w:hint="eastAsia"/>
                <w:color w:val="000000" w:themeColor="text1"/>
                <w:spacing w:val="0"/>
                <w:w w:val="100"/>
                <w:sz w:val="24"/>
                <w:szCs w:val="24"/>
                <w:highlight w:val="none"/>
                <w:vertAlign w:val="baseline"/>
                <w:lang w:val="en-US" w:eastAsia="zh-CN"/>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项目投资</w:t>
            </w:r>
          </w:p>
        </w:tc>
        <w:tc>
          <w:tcPr>
            <w:tcW w:w="6293" w:type="dxa"/>
            <w:vAlign w:val="center"/>
          </w:tcPr>
          <w:p>
            <w:pPr>
              <w:ind w:firstLine="480" w:firstLineChars="200"/>
              <w:rPr>
                <w:rFonts w:hint="eastAsia" w:eastAsia="方正仿宋_GBK"/>
                <w:color w:val="000000" w:themeColor="text1"/>
                <w:spacing w:val="0"/>
                <w:w w:val="100"/>
                <w:sz w:val="24"/>
                <w:szCs w:val="24"/>
                <w:highlight w:val="none"/>
                <w:vertAlign w:val="baseli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本项目建安总投资约</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13</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亿</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元</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，本项目初勘工程估算约</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310</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万</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项目具体概况</w:t>
            </w:r>
          </w:p>
        </w:tc>
        <w:tc>
          <w:tcPr>
            <w:tcW w:w="6293" w:type="dxa"/>
            <w:vAlign w:val="center"/>
          </w:tcPr>
          <w:p>
            <w:pPr>
              <w:spacing w:line="276" w:lineRule="auto"/>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本项目实施范围</w:t>
            </w:r>
            <w:r>
              <w:rPr>
                <w:rFonts w:hint="eastAsia" w:ascii="方正仿宋_GBK" w:hAnsi="方正仿宋_GBK" w:eastAsia="方正仿宋_GBK" w:cs="方正仿宋_GBK"/>
                <w:color w:val="000000" w:themeColor="text1"/>
                <w:sz w:val="24"/>
                <w:szCs w:val="24"/>
                <w:highlight w:val="none"/>
                <w:u w:val="none"/>
                <w:lang w:eastAsia="zh-CN"/>
                <w14:textFill>
                  <w14:solidFill>
                    <w14:schemeClr w14:val="tx1"/>
                  </w14:solidFill>
                </w14:textFill>
              </w:rPr>
              <w:t>前片区路网工程（含地下道路），总长约14.0km，位于重庆东站站前片区，为广茂大道、长生北路、开成路、玉马路围合区域</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。建设区域为重庆南岸区、经开区、巴南区。</w:t>
            </w:r>
          </w:p>
          <w:p>
            <w:pPr>
              <w:ind w:firstLine="480" w:firstLineChars="200"/>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站前片区路网工程</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按照城市主干路、次干路及支路的道路等级设计，设计时速20-50km/h，红线宽16-36m。其中主干路2条，长度0.79Km，次干路5条，长度5.82Km，支路9条，长度5.13Km，横向道路13条，纵向道路3条。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地下道路系统包含“一环三射”，其中地下环道长约1.6km，单向3车道次干路标准设计，设计时速30km/h，标准路幅宽度13.5m。3条向外辐射线路长约1.2km，其中一条为双向4车道，标准路幅宽度9m。2条为单向2车道，标准路幅宽度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工期</w:t>
            </w:r>
          </w:p>
        </w:tc>
        <w:tc>
          <w:tcPr>
            <w:tcW w:w="6293"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拟于202</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年</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月</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30</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日</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前取得含审查报告、高边坡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及深基坑</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可行性评估报告等满足初步设计报建深度的内容，本次工作需满足取得初步设计上报时间节点要求。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预计开工时间</w:t>
            </w:r>
          </w:p>
        </w:tc>
        <w:tc>
          <w:tcPr>
            <w:tcW w:w="6293"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pacing w:val="0"/>
                <w:w w:val="100"/>
                <w:sz w:val="24"/>
                <w:szCs w:val="24"/>
                <w:highlight w:val="none"/>
                <w:lang w:val="en-US" w:eastAsia="zh-CN"/>
                <w14:textFill>
                  <w14:solidFill>
                    <w14:schemeClr w14:val="tx1"/>
                  </w14:solidFill>
                </w14:textFill>
              </w:rPr>
              <w:t>二、</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比选范围及内容</w:t>
            </w:r>
          </w:p>
        </w:tc>
        <w:tc>
          <w:tcPr>
            <w:tcW w:w="6293" w:type="dxa"/>
            <w:vAlign w:val="center"/>
          </w:tcPr>
          <w:p>
            <w:pPr>
              <w:pStyle w:val="9"/>
              <w:numPr>
                <w:ilvl w:val="0"/>
                <w:numId w:val="1"/>
              </w:numPr>
              <w:ind w:left="-140" w:leftChars="0" w:firstLineChars="0"/>
              <w:jc w:val="left"/>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范围为重庆东站铁路综合交通枢纽高铁新经济区基础设施工程</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站前片区路网工程</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地勘初勘审查、高边坡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及深基坑</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可行性评估报告</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人工挖孔桩审查</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等满足初步设计阶段行业主管部门要求的审查内容。</w:t>
            </w:r>
          </w:p>
          <w:p>
            <w:pPr>
              <w:pStyle w:val="9"/>
              <w:numPr>
                <w:ilvl w:val="0"/>
                <w:numId w:val="1"/>
              </w:numPr>
              <w:ind w:left="-140" w:leftChars="0" w:firstLineChars="0"/>
              <w:jc w:val="left"/>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比选人审查合格书、高边坡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及深基坑</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可行性评估报告</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人工挖孔桩审查</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等相关成果必须符合国家和地方的相关规范要求。</w:t>
            </w:r>
          </w:p>
          <w:p>
            <w:pPr>
              <w:pStyle w:val="9"/>
              <w:numPr>
                <w:ilvl w:val="0"/>
                <w:numId w:val="1"/>
              </w:numPr>
              <w:tabs>
                <w:tab w:val="left" w:pos="-135"/>
              </w:tabs>
              <w:ind w:left="-140" w:leftChars="0" w:firstLine="480" w:firstLineChars="0"/>
              <w:jc w:val="left"/>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中选后不得转包、分包。</w:t>
            </w:r>
          </w:p>
          <w:p>
            <w:pPr>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1"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比选人资格要求</w:t>
            </w:r>
          </w:p>
        </w:tc>
        <w:tc>
          <w:tcPr>
            <w:tcW w:w="6293" w:type="dxa"/>
            <w:vAlign w:val="center"/>
          </w:tcPr>
          <w:p>
            <w:pPr>
              <w:numPr>
                <w:ilvl w:val="0"/>
                <w:numId w:val="2"/>
              </w:numPr>
              <w:spacing w:line="600" w:lineRule="exact"/>
              <w:ind w:left="-62" w:leftChars="0" w:firstLine="478" w:firstLineChars="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具备独立法人资格，具备有效的营业执照；</w:t>
            </w:r>
          </w:p>
          <w:p>
            <w:pPr>
              <w:numPr>
                <w:ilvl w:val="0"/>
                <w:numId w:val="2"/>
              </w:numPr>
              <w:spacing w:line="600" w:lineRule="exact"/>
              <w:ind w:left="-62" w:leftChars="0" w:firstLine="478" w:firstLineChars="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比选人须同时具备建设行政主管部门颁发的施工图审查市政（行业和含道路、桥隧专业）一类、勘察一类资质；且列入我市施工图审查机构名录，并报住建部备案，并在人员、设备、资金等方面具有相应的能力。</w:t>
            </w:r>
          </w:p>
          <w:p>
            <w:pPr>
              <w:pStyle w:val="9"/>
              <w:numPr>
                <w:ilvl w:val="0"/>
                <w:numId w:val="2"/>
              </w:numPr>
              <w:spacing w:line="600" w:lineRule="exact"/>
              <w:ind w:left="-62" w:leftChars="0" w:firstLineChars="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本工程不接受联合体。</w:t>
            </w:r>
          </w:p>
          <w:p>
            <w:pPr>
              <w:pStyle w:val="9"/>
              <w:numPr>
                <w:ilvl w:val="0"/>
                <w:numId w:val="2"/>
              </w:numPr>
              <w:spacing w:line="600" w:lineRule="exact"/>
              <w:ind w:left="-62" w:leftChars="0" w:firstLineChars="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主要人员要求</w:t>
            </w:r>
          </w:p>
          <w:p>
            <w:pPr>
              <w:spacing w:line="56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ascii="方正仿宋_GBK" w:hAnsi="仿宋_GB2312" w:eastAsia="方正仿宋_GBK" w:cs="仿宋_GB2312"/>
                <w:color w:val="000000" w:themeColor="text1"/>
                <w:sz w:val="24"/>
                <w:szCs w:val="24"/>
                <w:highlight w:val="none"/>
                <w14:textFill>
                  <w14:solidFill>
                    <w14:schemeClr w14:val="tx1"/>
                  </w14:solidFill>
                </w14:textFill>
              </w:rPr>
              <w:t>项目负责人</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w:t>
            </w:r>
            <w:r>
              <w:rPr>
                <w:rFonts w:ascii="方正仿宋_GBK" w:hAnsi="仿宋_GB2312" w:eastAsia="方正仿宋_GBK" w:cs="仿宋_GB2312"/>
                <w:color w:val="000000" w:themeColor="text1"/>
                <w:sz w:val="24"/>
                <w:szCs w:val="24"/>
                <w:highlight w:val="none"/>
                <w14:textFill>
                  <w14:solidFill>
                    <w14:schemeClr w14:val="tx1"/>
                  </w14:solidFill>
                </w14:textFill>
              </w:rPr>
              <w:t>项目负责人1人，具有岩土或结构等相关专业高级及以上职称、具有注册土木工程师（岩土），审查人员资格印章显示专业为“岩土”。</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ascii="方正仿宋_GBK" w:hAnsi="仿宋_GB2312" w:eastAsia="方正仿宋_GBK" w:cs="仿宋_GB2312"/>
                <w:color w:val="000000" w:themeColor="text1"/>
                <w:sz w:val="24"/>
                <w:szCs w:val="24"/>
                <w:highlight w:val="none"/>
                <w14:textFill>
                  <w14:solidFill>
                    <w14:schemeClr w14:val="tx1"/>
                  </w14:solidFill>
                </w14:textFill>
              </w:rPr>
              <w:t>岩土专业审查人员</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w:t>
            </w:r>
            <w:r>
              <w:rPr>
                <w:rFonts w:ascii="方正仿宋_GBK" w:hAnsi="仿宋_GB2312" w:eastAsia="方正仿宋_GBK" w:cs="仿宋_GB2312"/>
                <w:color w:val="000000" w:themeColor="text1"/>
                <w:sz w:val="24"/>
                <w:szCs w:val="24"/>
                <w:highlight w:val="none"/>
                <w14:textFill>
                  <w14:solidFill>
                    <w14:schemeClr w14:val="tx1"/>
                  </w14:solidFill>
                </w14:textFill>
              </w:rPr>
              <w:t>岩土专业审查人员不少于2人，具有高级及以上职称，具有注册土木工程师（岩土），具有有效期内的施工图审查人员资格印章。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比选文件递交时间、地点及比选文件份数</w:t>
            </w:r>
          </w:p>
        </w:tc>
        <w:tc>
          <w:tcPr>
            <w:tcW w:w="6293" w:type="dxa"/>
            <w:vAlign w:val="center"/>
          </w:tcPr>
          <w:p>
            <w:pPr>
              <w:spacing w:line="44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递交时间：于 202</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年</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月</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7</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日</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15</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 xml:space="preserve">时00分截止。  </w:t>
            </w:r>
          </w:p>
          <w:p>
            <w:pPr>
              <w:spacing w:line="60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 xml:space="preserve">递交地点：重庆市南岸区天文街道莲池路金隅时代之星A座12楼（大会议室） </w:t>
            </w:r>
          </w:p>
          <w:p>
            <w:pPr>
              <w:spacing w:line="60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比选时间：于 202</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年</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月</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7</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日1</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时00分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 xml:space="preserve">    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exac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限价及比选报价要求</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限价：根据重庆市勘察设计协会《重庆市施工图审查设计文件审查收费指导意见》（渝设协字〔2019〕05号）及市场行情，</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初勘勘察审查市政工程按国家规定的工程勘察收费总额6%计取</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高边坡及深基坑可行性评估（包含人工挖孔桩评估）限价按照1.5万/处</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取。</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本次比选为一次性最终报价，不再议价。请比选人根据自身情况自主报价，报价超过该限价的为否决比选。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exac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比选报价要求（举例）：</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本次比选报价分为地勘初勘审查、高边坡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及深基坑</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可行性评估报告</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人工挖孔桩审查</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，其中地勘初勘审查按照费率进行报价，高边坡</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及深基坑</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可行性评估报告</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人工挖孔桩审查</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按照单价进行报价。该报价不因任何原因进行调整。中选单位最后付款根据报价和实际审查情况进行结算</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报价为全费用包干固定综合单价，</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包含但不限于人工费、材料费、机械费、企业管理费、利润、风险费用、检测费、措施费（含安全文明施工费）、赶工补偿费、水电费、垃圾清运费弃渣费、规费、税金以及本工程备案与验收、其他风险等相关手续的所有费用</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结算时综合包干单价不作任何调整，结算工程量按甲方确认的乙方实际检测数量进行计算。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费用支付方式（举例）</w:t>
            </w:r>
          </w:p>
        </w:tc>
        <w:tc>
          <w:tcPr>
            <w:tcW w:w="6293" w:type="dxa"/>
            <w:vAlign w:val="center"/>
          </w:tcPr>
          <w:p>
            <w:pPr>
              <w:spacing w:line="44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本项目工作费用不实行预支费用，初步设计开展完毕并出具审查报告，取得初步设计概算批复后一次性进行支付和结算。</w:t>
            </w:r>
          </w:p>
          <w:p>
            <w:pPr>
              <w:spacing w:line="44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支付方式：初步设计开展完毕并出具审查报告，取得初步设计概算批复后一次性进行支付和结算。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rFonts w:hint="eastAsia"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工程</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全部结束，乙方出具正式</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结算</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报告经甲方确认并办理完结算手续后，甲方向乙方一次性付清</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余</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款。</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以上费用乙方按甲方税收征管要求出具相应发票后，再进行支付。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其他需告知比选的要求</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color w:val="000000" w:themeColor="text1"/>
                <w:spacing w:val="0"/>
                <w:w w:val="100"/>
                <w:sz w:val="24"/>
                <w:szCs w:val="24"/>
                <w:highlight w:val="none"/>
                <w:vertAlign w:val="baseline"/>
                <w:lang w:val="en-US" w:eastAsia="zh-CN"/>
                <w14:textFill>
                  <w14:solidFill>
                    <w14:schemeClr w14:val="tx1"/>
                  </w14:solidFill>
                </w14:textFill>
              </w:rPr>
            </w:pPr>
            <w:r>
              <w:rPr>
                <w:rFonts w:hint="eastAsia"/>
                <w:color w:val="000000" w:themeColor="text1"/>
                <w:spacing w:val="0"/>
                <w:w w:val="100"/>
                <w:sz w:val="24"/>
                <w:szCs w:val="24"/>
                <w:highlight w:val="none"/>
                <w:vertAlign w:val="baseli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三、评选、定选方式（举例）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exact"/>
        </w:trPr>
        <w:tc>
          <w:tcPr>
            <w:tcW w:w="8522" w:type="dxa"/>
            <w:gridSpan w:val="2"/>
            <w:vAlign w:val="center"/>
          </w:tcPr>
          <w:p>
            <w:pPr>
              <w:spacing w:line="600" w:lineRule="exact"/>
              <w:ind w:firstLine="480" w:firstLineChars="200"/>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当众开封查验响应性文件，宣读报价书，委托代理人签字确认报价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后离场，评选小组对比选文件进行评审，</w:t>
            </w:r>
            <w:r>
              <w:rPr>
                <w:rFonts w:hint="eastAsia" w:ascii="方正仿宋_GBK" w:hAnsi="宋体" w:eastAsia="方正仿宋_GBK"/>
                <w:color w:val="000000" w:themeColor="text1"/>
                <w:sz w:val="24"/>
                <w:szCs w:val="24"/>
                <w:highlight w:val="none"/>
                <w:lang w:eastAsia="zh-CN"/>
                <w14:textFill>
                  <w14:solidFill>
                    <w14:schemeClr w14:val="tx1"/>
                  </w14:solidFill>
                </w14:textFill>
              </w:rPr>
              <w:t>在</w:t>
            </w:r>
            <w:r>
              <w:rPr>
                <w:rFonts w:hint="eastAsia" w:ascii="方正仿宋_GBK" w:hAnsi="宋体" w:eastAsia="方正仿宋_GBK"/>
                <w:color w:val="000000" w:themeColor="text1"/>
                <w:sz w:val="24"/>
                <w:szCs w:val="24"/>
                <w:highlight w:val="none"/>
                <w14:textFill>
                  <w14:solidFill>
                    <w14:schemeClr w14:val="tx1"/>
                  </w14:solidFill>
                </w14:textFill>
              </w:rPr>
              <w:t>满足</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比选文件邀请函</w:t>
            </w:r>
            <w:r>
              <w:rPr>
                <w:rFonts w:hint="eastAsia" w:ascii="方正仿宋_GBK" w:hAnsi="宋体" w:eastAsia="方正仿宋_GBK"/>
                <w:color w:val="000000" w:themeColor="text1"/>
                <w:sz w:val="24"/>
                <w:szCs w:val="24"/>
                <w:highlight w:val="none"/>
                <w14:textFill>
                  <w14:solidFill>
                    <w14:schemeClr w14:val="tx1"/>
                  </w14:solidFill>
                </w14:textFill>
              </w:rPr>
              <w:t>要求的情况下，所有</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eastAsia="zh-CN"/>
                <w14:textFill>
                  <w14:solidFill>
                    <w14:schemeClr w14:val="tx1"/>
                  </w14:solidFill>
                </w14:textFill>
              </w:rPr>
              <w:t>否决比选的（</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报价高于最高限价的及资质业绩人员不符合要求</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，不参与评</w:t>
            </w:r>
            <w:r>
              <w:rPr>
                <w:rFonts w:hint="eastAsia" w:ascii="方正仿宋_GBK" w:hAnsi="宋体" w:eastAsia="方正仿宋_GBK"/>
                <w:color w:val="000000" w:themeColor="text1"/>
                <w:sz w:val="24"/>
                <w:szCs w:val="24"/>
                <w:highlight w:val="none"/>
                <w:lang w:eastAsia="zh-CN"/>
                <w14:textFill>
                  <w14:solidFill>
                    <w14:schemeClr w14:val="tx1"/>
                  </w14:solidFill>
                </w14:textFill>
              </w:rPr>
              <w:t>选</w:t>
            </w:r>
            <w:r>
              <w:rPr>
                <w:rFonts w:hint="eastAsia" w:ascii="方正仿宋_GBK" w:hAnsi="宋体" w:eastAsia="方正仿宋_GBK"/>
                <w:color w:val="000000" w:themeColor="text1"/>
                <w:sz w:val="24"/>
                <w:szCs w:val="24"/>
                <w:highlight w:val="none"/>
                <w14:textFill>
                  <w14:solidFill>
                    <w14:schemeClr w14:val="tx1"/>
                  </w14:solidFill>
                </w14:textFill>
              </w:rPr>
              <w:t>）的</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总报价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中</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以报价最低的潜在</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单位为</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第一</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候选单位</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对未中</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情况不做解释</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如果出现报价并列第一，将采用现场抽签确定中选人。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四、</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文件</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组成及</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宋体" w:eastAsia="方正仿宋_GBK"/>
                <w:color w:val="000000" w:themeColor="text1"/>
                <w:sz w:val="24"/>
                <w:szCs w:val="24"/>
                <w:highlight w:val="none"/>
                <w:lang w:val="en-US"/>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比选文件包括但不限于以下内容：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（1）比选函及报价清单；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（2）营业执照、企业资质证书复印件；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（3）法定代表人或授权代理人身份证明及授权委托书；（4）公司业绩证明材料；（5）拟派人员及资格、职称证书；（6）根据比选项目要求情况需要添加的其他资料，如技术文件、方案等。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  </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2、要求提供的资料均需加盖鲜章，所有资料密封并在密封袋上写明单位名称并加盖公章。</w:t>
            </w:r>
            <w:r>
              <w:rPr>
                <w:rFonts w:hint="eastAsia" w:ascii="方正仿宋_GBK" w:hAnsi="宋体" w:eastAsia="方正仿宋_GBK"/>
                <w:color w:val="000000" w:themeColor="text1"/>
                <w:sz w:val="24"/>
                <w:szCs w:val="24"/>
                <w:highlight w:val="none"/>
                <w14:textFill>
                  <w14:solidFill>
                    <w14:schemeClr w14:val="tx1"/>
                  </w14:solidFill>
                </w14:textFill>
              </w:rPr>
              <w:t>正副本装订在一个文件袋内。</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5" w:hRule="exact"/>
        </w:trPr>
        <w:tc>
          <w:tcPr>
            <w:tcW w:w="8522" w:type="dxa"/>
            <w:gridSpan w:val="2"/>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未在规定的时间内递交比选文件。</w:t>
            </w:r>
          </w:p>
          <w:p>
            <w:pPr>
              <w:spacing w:line="440" w:lineRule="exact"/>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2、未按要求</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或</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超过最高限价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的；</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安全文明施工费为不竞争价，未按公布的安全文明施工费报价的。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资质（或营业执照明确的经营范围）不符合文件上述要求，审查营业执照范围或资质证书等级、如施工单位还需审查安全生产许可证。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业绩证明材料不符合文件上述要求，审查内容：合同时间、合同金额、业绩规模、完成情况证明材料（提供合同复印件、竣工验收证明、施工图审查合格书等，根据比选项目的类型进行选择）。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6、</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人员相关资格证明材料不符合文件上述要求，审查证书名称、专业、证书有效时间、社保证明等。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8、发现</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串通投标或弄虚作假或有其他违法行为的。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9、</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联合体参与投标的应提交联合体协议书，并明确联合体牵头人，否则作否决比选处理。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仿宋_GB2312" w:eastAsia="方正仿宋_GBK" w:cs="仿宋_GB2312"/>
                <w:b/>
                <w:bCs/>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b/>
                <w:bCs/>
                <w:color w:val="000000" w:themeColor="text1"/>
                <w:sz w:val="24"/>
                <w:szCs w:val="24"/>
                <w:highlight w:val="none"/>
                <w:lang w:val="en-US" w:eastAsia="zh-CN"/>
                <w14:textFill>
                  <w14:solidFill>
                    <w14:schemeClr w14:val="tx1"/>
                  </w14:solidFill>
                </w14:textFill>
              </w:rPr>
              <w:t>（以上列举条款应根据文件前款要求的事项进行约定，可增加或删减）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p>
        </w:tc>
      </w:tr>
    </w:tbl>
    <w:p>
      <w:pP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br w:type="page"/>
      </w:r>
    </w:p>
    <w:p>
      <w:pPr>
        <w:jc w:val="both"/>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比选文件格式</w:t>
      </w:r>
    </w:p>
    <w:p>
      <w:pPr>
        <w:jc w:val="cente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格式一</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函</w:t>
      </w:r>
    </w:p>
    <w:p>
      <w:pPr>
        <w:rPr>
          <w:rFonts w:ascii="方正仿宋_GBK" w:hAnsi="仿宋_GB2312" w:eastAsia="方正仿宋_GBK" w:cs="仿宋_GB2312"/>
          <w:color w:val="000000" w:themeColor="text1"/>
          <w:sz w:val="28"/>
          <w:szCs w:val="28"/>
          <w:highlight w:val="none"/>
          <w:u w:val="singl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根据贵方</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项目的</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函文件，本公司正式授权的下述签字人</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（姓名和职务）代表本公司</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名称），提交本</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ind w:firstLine="561"/>
        <w:jc w:val="left"/>
        <w:textAlignment w:val="auto"/>
        <w:rPr>
          <w:rFonts w:hint="default" w:ascii="方正仿宋_GBK" w:hAnsi="仿宋_GB2312" w:eastAsia="方正仿宋_GBK" w:cs="仿宋_GB2312"/>
          <w:b w:val="0"/>
          <w:bCs w:val="0"/>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(1) 愿意接受比选函中提出的酬金支付方式与合同条款并按照重庆市勘察设计协会《重庆市施工图审查设计文件审查收费指导意见》（渝设协字〔2019〕05号），其中地勘初勘审查费取费费率为</w:t>
      </w:r>
      <w:r>
        <w:rPr>
          <w:rFonts w:hint="eastAsia" w:ascii="方正仿宋_GBK" w:hAnsi="仿宋_GB2312" w:eastAsia="方正仿宋_GBK" w:cs="仿宋_GB2312"/>
          <w:i/>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（所填报数字必须保留至小数点后1位，小数点后数字不能填写0，例如5.1%）</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，高边坡</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及深基坑</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可行性评估报告取费标准为</w:t>
      </w:r>
      <w:r>
        <w:rPr>
          <w:rFonts w:hint="eastAsia" w:ascii="方正仿宋_GBK" w:hAnsi="仿宋_GB2312" w:eastAsia="方正仿宋_GBK" w:cs="仿宋_GB2312"/>
          <w:i/>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i/>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元/个</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包含人工挖孔桩）</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，以上两项作为本项目报价。 </w:t>
      </w:r>
    </w:p>
    <w:p>
      <w:pPr>
        <w:numPr>
          <w:ilvl w:val="-1"/>
          <w:numId w:val="0"/>
        </w:numPr>
        <w:ind w:left="0" w:firstLine="560" w:firstLineChars="200"/>
        <w:rPr>
          <w:rFonts w:hint="eastAsia" w:ascii="方正仿宋_GBK" w:hAnsi="仿宋_GB2312" w:eastAsia="方正仿宋_GBK" w:cs="仿宋_GB2312"/>
          <w:b w:val="0"/>
          <w:bCs w:val="0"/>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(2)</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我司承诺满足贵单位比选邀请函中的“</w:t>
      </w:r>
      <w:r>
        <w:rPr>
          <w:rFonts w:hint="eastAsia" w:ascii="方正仿宋_GBK" w:hAnsi="仿宋_GB2312" w:eastAsia="方正仿宋_GBK" w:cs="仿宋_GB2312"/>
          <w:color w:val="000000" w:themeColor="text1"/>
          <w:spacing w:val="0"/>
          <w:w w:val="100"/>
          <w:sz w:val="28"/>
          <w:szCs w:val="28"/>
          <w:highlight w:val="none"/>
          <w:lang w:val="en-US" w:eastAsia="zh-CN"/>
          <w14:textFill>
            <w14:solidFill>
              <w14:schemeClr w14:val="tx1"/>
            </w14:solidFill>
          </w14:textFill>
        </w:rPr>
        <w:t>比选被邀请人资格要求</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sym w:font="Wingdings" w:char="00A8"/>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资质要求</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sym w:font="Wingdings" w:char="00A8"/>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业绩要求</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sym w:font="Wingdings" w:char="00A8"/>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人员要求的指标（勾选）。</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3</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)我们已详细阅读了</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函全部内容，我们知道必须放弃提出含糊不清或误解的问题的权利。</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)我们保证根据规定履行合同责任和义务，不得要求变更我司所报下浮比例。</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)本</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报价人全称（公章）：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通信地址：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电话、传真：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报价人法定代表人或授权代理人签字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日期： </w:t>
      </w:r>
    </w:p>
    <w:p>
      <w:pPr>
        <w:rPr>
          <w:rFonts w:ascii="方正仿宋_GBK" w:hAnsi="仿宋_GB2312" w:eastAsia="方正仿宋_GBK" w:cs="仿宋_GB2312"/>
          <w:color w:val="000000" w:themeColor="text1"/>
          <w:sz w:val="28"/>
          <w:szCs w:val="28"/>
          <w:highlight w:val="none"/>
          <w14:textFill>
            <w14:solidFill>
              <w14:schemeClr w14:val="tx1"/>
            </w14:solidFill>
          </w14:textFill>
        </w:rPr>
      </w:pPr>
    </w:p>
    <w:p>
      <w:pPr>
        <w:jc w:val="center"/>
        <w:rPr>
          <w:rFonts w:hint="eastAsia"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br w:type="page"/>
      </w:r>
    </w:p>
    <w:p>
      <w:pPr>
        <w:jc w:val="cente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格式二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报价清单</w:t>
      </w:r>
    </w:p>
    <w:tbl>
      <w:tblPr>
        <w:tblStyle w:val="6"/>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337"/>
        <w:gridCol w:w="786"/>
        <w:gridCol w:w="1137"/>
        <w:gridCol w:w="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序号</w:t>
            </w:r>
          </w:p>
        </w:tc>
        <w:tc>
          <w:tcPr>
            <w:tcW w:w="2337"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清单名称</w:t>
            </w:r>
          </w:p>
        </w:tc>
        <w:tc>
          <w:tcPr>
            <w:tcW w:w="786"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数量</w:t>
            </w:r>
          </w:p>
        </w:tc>
        <w:tc>
          <w:tcPr>
            <w:tcW w:w="1137"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单价（元）</w:t>
            </w:r>
          </w:p>
        </w:tc>
        <w:tc>
          <w:tcPr>
            <w:tcW w:w="1421" w:type="dxa"/>
            <w:gridSpan w:val="2"/>
            <w:vAlign w:val="center"/>
          </w:tcPr>
          <w:p>
            <w:pPr>
              <w:jc w:val="center"/>
              <w:rPr>
                <w:rFonts w:hint="default"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t>费率（%）</w:t>
            </w: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合价（元）</w:t>
            </w: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ascii="方正仿宋_GBK" w:hAnsi="仿宋_GB2312" w:eastAsia="方正仿宋_GBK" w:cs="仿宋_GB2312"/>
                <w:color w:val="000000" w:themeColor="text1"/>
                <w:kern w:val="2"/>
                <w:sz w:val="28"/>
                <w:szCs w:val="28"/>
                <w:highlight w:val="none"/>
                <w:lang w:val="en-US" w:eastAsia="zh-CN" w:bidi="ar-SA"/>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1</w:t>
            </w:r>
          </w:p>
        </w:tc>
        <w:tc>
          <w:tcPr>
            <w:tcW w:w="2337" w:type="dxa"/>
            <w:vAlign w:val="center"/>
          </w:tcPr>
          <w:p>
            <w:pPr>
              <w:jc w:val="center"/>
              <w:rPr>
                <w:rFonts w:hint="eastAsia" w:ascii="方正仿宋_GBK" w:hAnsi="仿宋_GB2312" w:eastAsia="方正仿宋_GBK" w:cs="仿宋_GB2312"/>
                <w:color w:val="000000" w:themeColor="text1"/>
                <w:kern w:val="2"/>
                <w:sz w:val="28"/>
                <w:szCs w:val="28"/>
                <w:highlight w:val="none"/>
                <w:lang w:val="en-US" w:eastAsia="zh-CN" w:bidi="ar-SA"/>
                <w14:textFill>
                  <w14:solidFill>
                    <w14:schemeClr w14:val="tx1"/>
                  </w14:solidFill>
                </w14:textFill>
              </w:rPr>
            </w:pPr>
            <w:r>
              <w:rPr>
                <w:rFonts w:ascii="方正仿宋_GBK" w:hAnsi="仿宋_GB2312" w:eastAsia="方正仿宋_GBK" w:cs="仿宋_GB2312"/>
                <w:color w:val="000000" w:themeColor="text1"/>
                <w:sz w:val="28"/>
                <w:szCs w:val="28"/>
                <w:highlight w:val="none"/>
                <w14:textFill>
                  <w14:solidFill>
                    <w14:schemeClr w14:val="tx1"/>
                  </w14:solidFill>
                </w14:textFill>
              </w:rPr>
              <w:t>地勘初勘审查</w:t>
            </w:r>
          </w:p>
        </w:tc>
        <w:tc>
          <w:tcPr>
            <w:tcW w:w="786"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t>/</w:t>
            </w:r>
          </w:p>
        </w:tc>
        <w:tc>
          <w:tcPr>
            <w:tcW w:w="1137"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t>/</w:t>
            </w:r>
          </w:p>
        </w:tc>
        <w:tc>
          <w:tcPr>
            <w:tcW w:w="1421" w:type="dxa"/>
            <w:gridSpan w:val="2"/>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ascii="方正仿宋_GBK" w:hAnsi="仿宋_GB2312" w:eastAsia="方正仿宋_GBK" w:cs="仿宋_GB2312"/>
                <w:color w:val="000000" w:themeColor="text1"/>
                <w:kern w:val="2"/>
                <w:sz w:val="28"/>
                <w:szCs w:val="28"/>
                <w:highlight w:val="none"/>
                <w:lang w:val="en-US" w:eastAsia="zh-CN" w:bidi="ar-SA"/>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2</w:t>
            </w:r>
          </w:p>
        </w:tc>
        <w:tc>
          <w:tcPr>
            <w:tcW w:w="2337" w:type="dxa"/>
            <w:vAlign w:val="center"/>
          </w:tcPr>
          <w:p>
            <w:pPr>
              <w:jc w:val="center"/>
              <w:rPr>
                <w:rFonts w:hint="eastAsia" w:ascii="方正仿宋_GBK" w:hAnsi="仿宋_GB2312" w:eastAsia="方正仿宋_GBK" w:cs="仿宋_GB2312"/>
                <w:color w:val="000000" w:themeColor="text1"/>
                <w:kern w:val="2"/>
                <w:sz w:val="28"/>
                <w:szCs w:val="28"/>
                <w:highlight w:val="none"/>
                <w:lang w:val="en-US" w:eastAsia="zh-CN" w:bidi="ar-SA"/>
                <w14:textFill>
                  <w14:solidFill>
                    <w14:schemeClr w14:val="tx1"/>
                  </w14:solidFill>
                </w14:textFill>
              </w:rPr>
            </w:pPr>
            <w:r>
              <w:rPr>
                <w:rFonts w:ascii="方正仿宋_GBK" w:hAnsi="仿宋_GB2312" w:eastAsia="方正仿宋_GBK" w:cs="仿宋_GB2312"/>
                <w:color w:val="000000" w:themeColor="text1"/>
                <w:sz w:val="28"/>
                <w:szCs w:val="28"/>
                <w:highlight w:val="none"/>
                <w14:textFill>
                  <w14:solidFill>
                    <w14:schemeClr w14:val="tx1"/>
                  </w14:solidFill>
                </w14:textFill>
              </w:rPr>
              <w:t>高边坡</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及深基坑</w:t>
            </w:r>
            <w:r>
              <w:rPr>
                <w:rFonts w:ascii="方正仿宋_GBK" w:hAnsi="仿宋_GB2312" w:eastAsia="方正仿宋_GBK" w:cs="仿宋_GB2312"/>
                <w:color w:val="000000" w:themeColor="text1"/>
                <w:sz w:val="28"/>
                <w:szCs w:val="28"/>
                <w:highlight w:val="none"/>
                <w14:textFill>
                  <w14:solidFill>
                    <w14:schemeClr w14:val="tx1"/>
                  </w14:solidFill>
                </w14:textFill>
              </w:rPr>
              <w:t>可行性评估报告</w:t>
            </w:r>
          </w:p>
        </w:tc>
        <w:tc>
          <w:tcPr>
            <w:tcW w:w="786" w:type="dxa"/>
            <w:vAlign w:val="center"/>
          </w:tcPr>
          <w:p>
            <w:pPr>
              <w:jc w:val="cente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t>2</w:t>
            </w:r>
          </w:p>
        </w:tc>
        <w:tc>
          <w:tcPr>
            <w:tcW w:w="1137"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gridSpan w:val="2"/>
            <w:vAlign w:val="center"/>
          </w:tcPr>
          <w:p>
            <w:pPr>
              <w:jc w:val="cente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val="en-US" w:eastAsia="zh-CN"/>
                <w14:textFill>
                  <w14:solidFill>
                    <w14:schemeClr w14:val="tx1"/>
                  </w14:solidFill>
                </w14:textFill>
              </w:rPr>
              <w:t>/</w:t>
            </w: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2337"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786"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137"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gridSpan w:val="2"/>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2337"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786"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137"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gridSpan w:val="2"/>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3" w:type="dxa"/>
            <w:gridSpan w:val="3"/>
            <w:vAlign w:val="center"/>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合计（元）</w:t>
            </w:r>
          </w:p>
        </w:tc>
        <w:tc>
          <w:tcPr>
            <w:tcW w:w="1138" w:type="dxa"/>
            <w:gridSpan w:val="2"/>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4262" w:type="dxa"/>
            <w:gridSpan w:val="3"/>
            <w:vAlign w:val="center"/>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bl>
    <w:p>
      <w:pPr>
        <w:jc w:val="both"/>
        <w:rPr>
          <w:rFonts w:hint="eastAsia" w:ascii="方正仿宋_GBK" w:hAnsi="仿宋_GB2312" w:eastAsia="方正仿宋_GBK" w:cs="仿宋_GB2312"/>
          <w:color w:val="000000" w:themeColor="text1"/>
          <w:sz w:val="28"/>
          <w:szCs w:val="28"/>
          <w:highlight w:val="none"/>
          <w14:textFill>
            <w14:solidFill>
              <w14:schemeClr w14:val="tx1"/>
            </w14:solidFill>
          </w14:textFill>
        </w:rPr>
      </w:pPr>
    </w:p>
    <w:p>
      <w:pPr>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br w:type="page"/>
      </w:r>
    </w:p>
    <w:p>
      <w:pPr>
        <w:jc w:val="center"/>
        <w:rPr>
          <w:rFonts w:ascii="方正仿宋_GBK" w:hAnsi="宋体" w:eastAsia="方正仿宋_GBK" w:cs="宋体"/>
          <w:b/>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格式三</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法定代表人授权</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委托</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color w:val="000000" w:themeColor="text1"/>
          <w:kern w:val="0"/>
          <w:sz w:val="28"/>
          <w:szCs w:val="28"/>
          <w:highlight w:val="none"/>
          <w14:textFill>
            <w14:solidFill>
              <w14:schemeClr w14:val="tx1"/>
            </w14:solidFill>
          </w14:textFill>
        </w:rPr>
      </w:pP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 </w:t>
      </w:r>
      <w:r>
        <w:rPr>
          <w:rFonts w:hint="eastAsia" w:ascii="方正仿宋_GBK" w:hAnsi="仿宋_GB2312" w:eastAsia="方正仿宋_GBK" w:cs="仿宋_GB2312"/>
          <w:bCs/>
          <w:color w:val="000000" w:themeColor="text1"/>
          <w:kern w:val="0"/>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 本授权书声明：注册于</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（注册地址）</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的</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（公司名称）</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公司的在下面签字的</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（法定代表人姓名、职务）代表本公司授权在下面签字的</w:t>
      </w:r>
      <w:r>
        <w:rPr>
          <w:rFonts w:hint="eastAsia" w:ascii="方正仿宋_GBK" w:hAnsi="仿宋_GB2312" w:eastAsia="方正仿宋_GBK" w:cs="仿宋_GB2312"/>
          <w:bCs/>
          <w:i/>
          <w:iCs/>
          <w:color w:val="000000" w:themeColor="text1"/>
          <w:kern w:val="0"/>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被授权人的姓名、职务）为本公司的合法代理人，就</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color w:val="000000" w:themeColor="text1"/>
          <w:kern w:val="0"/>
          <w:sz w:val="28"/>
          <w:szCs w:val="28"/>
          <w:highlight w:val="none"/>
          <w14:textFill>
            <w14:solidFill>
              <w14:schemeClr w14:val="tx1"/>
            </w14:solidFill>
          </w14:textFill>
        </w:rPr>
      </w:pP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报价单位名称（盖章）：</w:t>
      </w:r>
      <w:r>
        <w:rPr>
          <w:rFonts w:hint="eastAsia" w:ascii="宋体" w:hAnsi="宋体" w:eastAsia="方正仿宋_GBK" w:cs="华文楷体"/>
          <w:color w:val="000000" w:themeColor="text1"/>
          <w:kern w:val="0"/>
          <w:sz w:val="28"/>
          <w:szCs w:val="28"/>
          <w:highlight w:val="none"/>
          <w14:textFill>
            <w14:solidFill>
              <w14:schemeClr w14:val="tx1"/>
            </w14:solidFill>
          </w14:textFill>
        </w:rPr>
        <w:t>         </w:t>
      </w: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授权人（法定代表人）签字：</w:t>
      </w:r>
      <w:r>
        <w:rPr>
          <w:rFonts w:hint="eastAsia" w:ascii="宋体" w:hAnsi="宋体" w:eastAsia="方正仿宋_GBK" w:cs="华文楷体"/>
          <w:color w:val="000000" w:themeColor="text1"/>
          <w:kern w:val="0"/>
          <w:sz w:val="28"/>
          <w:szCs w:val="28"/>
          <w:highlight w:val="none"/>
          <w14:textFill>
            <w14:solidFill>
              <w14:schemeClr w14:val="tx1"/>
            </w14:solidFill>
          </w14:textFill>
        </w:rPr>
        <w:t>                    </w:t>
      </w: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被授权人（代理人）签字：</w:t>
      </w:r>
      <w:r>
        <w:rPr>
          <w:rFonts w:hint="eastAsia" w:ascii="宋体" w:hAnsi="宋体" w:eastAsia="方正仿宋_GBK" w:cs="华文楷体"/>
          <w:color w:val="000000" w:themeColor="text1"/>
          <w:kern w:val="0"/>
          <w:sz w:val="28"/>
          <w:szCs w:val="28"/>
          <w:highlight w:val="none"/>
          <w14:textFill>
            <w14:solidFill>
              <w14:schemeClr w14:val="tx1"/>
            </w14:solidFill>
          </w14:textFill>
        </w:rPr>
        <w:t>  </w:t>
      </w:r>
      <w:r>
        <w:rPr>
          <w:rFonts w:hint="eastAsia" w:ascii="宋体" w:hAnsi="宋体" w:eastAsia="方正仿宋_GBK" w:cs="华文楷体"/>
          <w:color w:val="000000" w:themeColor="text1"/>
          <w:kern w:val="0"/>
          <w:sz w:val="32"/>
          <w:szCs w:val="32"/>
          <w:highlight w:val="none"/>
          <w14:textFill>
            <w14:solidFill>
              <w14:schemeClr w14:val="tx1"/>
            </w14:solidFill>
          </w14:textFill>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ascii="仿宋_GB2312" w:hAnsi="仿宋_GB2312" w:eastAsia="仿宋_GB2312" w:cs="仿宋_GB2312"/>
          <w:b/>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 </w:t>
      </w:r>
    </w:p>
    <w:p>
      <w:pPr>
        <w:widowControl/>
        <w:spacing w:before="100" w:beforeAutospacing="1" w:after="100" w:afterAutospacing="1" w:line="252" w:lineRule="atLeast"/>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pacing w:before="100" w:beforeAutospacing="1" w:after="100" w:afterAutospacing="1" w:line="252" w:lineRule="atLeast"/>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t>格式四</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业绩证明材料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项目名称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发包人名称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发包人地址</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发包人电话</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合同价格</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开工日期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竣工日期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承担的工作</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工程质量</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项目描述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备注</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bl>
    <w:p>
      <w:pPr>
        <w:widowControl/>
        <w:spacing w:before="100" w:beforeAutospacing="1" w:after="100" w:afterAutospacing="1" w:line="252" w:lineRule="atLeast"/>
        <w:jc w:val="both"/>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注：以上工程需提供合同复印件、完成情况证明材料（如：竣工验收证明、施工图审查合格书等，根据比选项目的类型进行选择）并加盖鲜章。</w:t>
      </w:r>
    </w:p>
    <w:p>
      <w:pPr>
        <w:widowControl/>
        <w:spacing w:before="100" w:beforeAutospacing="1" w:after="100" w:afterAutospacing="1" w:line="252" w:lineRule="atLeast"/>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t>格式五</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拟投入项目人员名单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姓名</w:t>
            </w: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资质证书</w:t>
            </w: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/职称</w:t>
            </w: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专业</w:t>
            </w: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拟在本项目任职</w:t>
            </w: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r>
    </w:tbl>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pacing w:before="100" w:beforeAutospacing="1" w:after="100" w:afterAutospacing="1" w:line="252" w:lineRule="atLeast"/>
        <w:jc w:val="both"/>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p>
    <w:p>
      <w:pPr>
        <w:widowControl/>
        <w:spacing w:before="100" w:beforeAutospacing="1" w:after="100" w:afterAutospacing="1" w:line="252" w:lineRule="atLeast"/>
        <w:jc w:val="both"/>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六、合同条款</w:t>
      </w:r>
    </w:p>
    <w:p>
      <w:pPr>
        <w:tabs>
          <w:tab w:val="left" w:pos="7020"/>
        </w:tabs>
        <w:jc w:val="center"/>
        <w:rPr>
          <w:rFonts w:hint="eastAsia" w:ascii="仿宋_GB2312" w:hAnsi="仿宋_GB2312" w:eastAsia="仿宋_GB2312" w:cs="仿宋_GB2312"/>
          <w:bCs/>
          <w:color w:val="000000" w:themeColor="text1"/>
          <w:sz w:val="48"/>
          <w:szCs w:val="48"/>
          <w:highlight w:val="none"/>
          <w14:textFill>
            <w14:solidFill>
              <w14:schemeClr w14:val="tx1"/>
            </w14:solidFill>
          </w14:textFill>
        </w:rPr>
      </w:pPr>
      <w:r>
        <w:rPr>
          <w:rFonts w:hint="eastAsia" w:ascii="仿宋_GB2312" w:hAnsi="仿宋_GB2312" w:eastAsia="仿宋_GB2312" w:cs="仿宋_GB2312"/>
          <w:bCs/>
          <w:color w:val="000000" w:themeColor="text1"/>
          <w:sz w:val="48"/>
          <w:szCs w:val="48"/>
          <w:highlight w:val="none"/>
          <w14:textFill>
            <w14:solidFill>
              <w14:schemeClr w14:val="tx1"/>
            </w14:solidFill>
          </w14:textFill>
        </w:rPr>
        <w:t>重庆市房屋建筑和市政基础设施工程</w:t>
      </w:r>
    </w:p>
    <w:p>
      <w:pPr>
        <w:tabs>
          <w:tab w:val="left" w:pos="7020"/>
        </w:tabs>
        <w:jc w:val="center"/>
        <w:rPr>
          <w:rFonts w:hint="eastAsia" w:ascii="仿宋_GB2312" w:hAnsi="仿宋_GB2312" w:eastAsia="仿宋_GB2312" w:cs="仿宋_GB2312"/>
          <w:bCs/>
          <w:color w:val="000000" w:themeColor="text1"/>
          <w:sz w:val="48"/>
          <w:szCs w:val="48"/>
          <w:highlight w:val="none"/>
          <w14:textFill>
            <w14:solidFill>
              <w14:schemeClr w14:val="tx1"/>
            </w14:solidFill>
          </w14:textFill>
        </w:rPr>
      </w:pPr>
      <w:r>
        <w:rPr>
          <w:rFonts w:hint="eastAsia" w:ascii="仿宋_GB2312" w:hAnsi="仿宋_GB2312" w:eastAsia="仿宋_GB2312" w:cs="仿宋_GB2312"/>
          <w:bCs/>
          <w:color w:val="000000" w:themeColor="text1"/>
          <w:sz w:val="48"/>
          <w:szCs w:val="48"/>
          <w:highlight w:val="none"/>
          <w14:textFill>
            <w14:solidFill>
              <w14:schemeClr w14:val="tx1"/>
            </w14:solidFill>
          </w14:textFill>
        </w:rPr>
        <w:t>勘察审查</w:t>
      </w:r>
      <w:r>
        <w:rPr>
          <w:rFonts w:hint="eastAsia" w:ascii="仿宋_GB2312" w:hAnsi="仿宋_GB2312" w:eastAsia="仿宋_GB2312" w:cs="仿宋_GB2312"/>
          <w:bCs/>
          <w:color w:val="000000" w:themeColor="text1"/>
          <w:sz w:val="48"/>
          <w:szCs w:val="4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48"/>
          <w:szCs w:val="48"/>
          <w:highlight w:val="none"/>
          <w14:textFill>
            <w14:solidFill>
              <w14:schemeClr w14:val="tx1"/>
            </w14:solidFill>
          </w14:textFill>
        </w:rPr>
        <w:t>高边坡</w:t>
      </w:r>
      <w:r>
        <w:rPr>
          <w:rFonts w:hint="eastAsia" w:ascii="仿宋_GB2312" w:hAnsi="仿宋_GB2312" w:eastAsia="仿宋_GB2312" w:cs="仿宋_GB2312"/>
          <w:bCs/>
          <w:color w:val="000000" w:themeColor="text1"/>
          <w:sz w:val="48"/>
          <w:szCs w:val="48"/>
          <w:highlight w:val="none"/>
          <w:lang w:val="en-US" w:eastAsia="zh-CN"/>
          <w14:textFill>
            <w14:solidFill>
              <w14:schemeClr w14:val="tx1"/>
            </w14:solidFill>
          </w14:textFill>
        </w:rPr>
        <w:t>及深基坑</w:t>
      </w:r>
      <w:r>
        <w:rPr>
          <w:rFonts w:hint="eastAsia" w:ascii="仿宋_GB2312" w:hAnsi="仿宋_GB2312" w:eastAsia="仿宋_GB2312" w:cs="仿宋_GB2312"/>
          <w:bCs/>
          <w:color w:val="000000" w:themeColor="text1"/>
          <w:sz w:val="48"/>
          <w:szCs w:val="48"/>
          <w:highlight w:val="none"/>
          <w14:textFill>
            <w14:solidFill>
              <w14:schemeClr w14:val="tx1"/>
            </w14:solidFill>
          </w14:textFill>
        </w:rPr>
        <w:t>可行性评估合同</w:t>
      </w:r>
    </w:p>
    <w:p>
      <w:pPr>
        <w:tabs>
          <w:tab w:val="left" w:pos="7020"/>
        </w:tabs>
        <w:jc w:val="center"/>
        <w:rPr>
          <w:rFonts w:hint="eastAsia" w:ascii="仿宋_GB2312" w:hAnsi="仿宋_GB2312" w:eastAsia="仿宋_GB2312" w:cs="仿宋_GB2312"/>
          <w:color w:val="000000" w:themeColor="text1"/>
          <w:sz w:val="44"/>
          <w:szCs w:val="44"/>
          <w:highlight w:val="none"/>
          <w14:textFill>
            <w14:solidFill>
              <w14:schemeClr w14:val="tx1"/>
            </w14:solidFill>
          </w14:textFill>
        </w:rPr>
      </w:pPr>
    </w:p>
    <w:p>
      <w:pPr>
        <w:jc w:val="center"/>
        <w:rPr>
          <w:rFonts w:hint="eastAsia" w:ascii="仿宋_GB2312" w:hAnsi="仿宋_GB2312" w:eastAsia="仿宋_GB2312" w:cs="仿宋_GB2312"/>
          <w:b/>
          <w:bCs/>
          <w:color w:val="000000" w:themeColor="text1"/>
          <w:sz w:val="30"/>
          <w:highlight w:val="none"/>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highlight w:val="none"/>
          <w14:textFill>
            <w14:solidFill>
              <w14:schemeClr w14:val="tx1"/>
            </w14:solidFill>
          </w14:textFill>
        </w:rPr>
      </w:pPr>
    </w:p>
    <w:p>
      <w:pPr>
        <w:spacing w:line="360" w:lineRule="auto"/>
        <w:ind w:left="2696" w:leftChars="270" w:hanging="2132" w:hangingChars="400"/>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bCs/>
          <w:color w:val="000000" w:themeColor="text1"/>
          <w:spacing w:val="107"/>
          <w:kern w:val="0"/>
          <w:sz w:val="32"/>
          <w:highlight w:val="none"/>
          <w14:textFill>
            <w14:solidFill>
              <w14:schemeClr w14:val="tx1"/>
            </w14:solidFill>
          </w14:textFill>
        </w:rPr>
        <w:t>工程名</w:t>
      </w:r>
      <w:r>
        <w:rPr>
          <w:rFonts w:hint="eastAsia" w:ascii="仿宋_GB2312" w:hAnsi="仿宋_GB2312" w:eastAsia="仿宋_GB2312" w:cs="仿宋_GB2312"/>
          <w:bCs/>
          <w:color w:val="000000" w:themeColor="text1"/>
          <w:spacing w:val="-1"/>
          <w:kern w:val="0"/>
          <w:sz w:val="32"/>
          <w:highlight w:val="none"/>
          <w14:textFill>
            <w14:solidFill>
              <w14:schemeClr w14:val="tx1"/>
            </w14:solidFill>
          </w14:textFill>
        </w:rPr>
        <w:t>称</w:t>
      </w:r>
      <w:r>
        <w:rPr>
          <w:rFonts w:hint="eastAsia" w:ascii="仿宋_GB2312" w:hAnsi="仿宋_GB2312" w:eastAsia="仿宋_GB2312" w:cs="仿宋_GB2312"/>
          <w:bCs/>
          <w:color w:val="000000" w:themeColor="text1"/>
          <w:kern w:val="0"/>
          <w:sz w:val="32"/>
          <w:highlight w:val="none"/>
          <w14:textFill>
            <w14:solidFill>
              <w14:schemeClr w14:val="tx1"/>
            </w14:solidFill>
          </w14:textFill>
        </w:rPr>
        <w:t>：</w:t>
      </w:r>
      <w:r>
        <w:rPr>
          <w:rFonts w:hint="eastAsia" w:ascii="仿宋_GB2312" w:hAnsi="仿宋_GB2312" w:eastAsia="仿宋_GB2312" w:cs="仿宋_GB2312"/>
          <w:color w:val="000000" w:themeColor="text1"/>
          <w:spacing w:val="-8"/>
          <w:sz w:val="28"/>
          <w:szCs w:val="28"/>
          <w:highlight w:val="none"/>
          <w:u w:val="single"/>
          <w14:textFill>
            <w14:solidFill>
              <w14:schemeClr w14:val="tx1"/>
            </w14:solidFill>
          </w14:textFill>
        </w:rPr>
        <w:t>重庆东站铁路综合交通枢纽高铁新经济区基础设施工程</w:t>
      </w:r>
      <w:r>
        <w:rPr>
          <w:rFonts w:hint="eastAsia" w:ascii="仿宋_GB2312" w:hAnsi="仿宋_GB2312" w:eastAsia="仿宋_GB2312" w:cs="仿宋_GB2312"/>
          <w:color w:val="000000" w:themeColor="text1"/>
          <w:spacing w:val="-8"/>
          <w:sz w:val="28"/>
          <w:szCs w:val="28"/>
          <w:highlight w:val="none"/>
          <w:u w:val="single"/>
          <w:lang w:val="en-US" w:eastAsia="zh-CN"/>
          <w14:textFill>
            <w14:solidFill>
              <w14:schemeClr w14:val="tx1"/>
            </w14:solidFill>
          </w14:textFill>
        </w:rPr>
        <w:t>站前片区路网项目</w:t>
      </w:r>
      <w:r>
        <w:rPr>
          <w:rFonts w:hint="eastAsia" w:ascii="仿宋_GB2312" w:hAnsi="仿宋_GB2312" w:eastAsia="仿宋_GB2312" w:cs="仿宋_GB2312"/>
          <w:color w:val="000000" w:themeColor="text1"/>
          <w:spacing w:val="-8"/>
          <w:sz w:val="28"/>
          <w:szCs w:val="28"/>
          <w:highlight w:val="none"/>
          <w:u w:val="single"/>
          <w14:textFill>
            <w14:solidFill>
              <w14:schemeClr w14:val="tx1"/>
            </w14:solidFill>
          </w14:textFill>
        </w:rPr>
        <w:t>地勘初勘审查、高边坡</w:t>
      </w:r>
      <w:r>
        <w:rPr>
          <w:rFonts w:hint="eastAsia" w:ascii="仿宋_GB2312" w:hAnsi="仿宋_GB2312" w:eastAsia="仿宋_GB2312" w:cs="仿宋_GB2312"/>
          <w:color w:val="000000" w:themeColor="text1"/>
          <w:spacing w:val="-8"/>
          <w:sz w:val="28"/>
          <w:szCs w:val="28"/>
          <w:highlight w:val="none"/>
          <w:u w:val="single"/>
          <w:lang w:val="en-US" w:eastAsia="zh-CN"/>
          <w14:textFill>
            <w14:solidFill>
              <w14:schemeClr w14:val="tx1"/>
            </w14:solidFill>
          </w14:textFill>
        </w:rPr>
        <w:t>及深基坑</w:t>
      </w:r>
      <w:r>
        <w:rPr>
          <w:rFonts w:hint="eastAsia" w:ascii="仿宋_GB2312" w:hAnsi="仿宋_GB2312" w:eastAsia="仿宋_GB2312" w:cs="仿宋_GB2312"/>
          <w:color w:val="000000" w:themeColor="text1"/>
          <w:spacing w:val="-8"/>
          <w:sz w:val="28"/>
          <w:szCs w:val="28"/>
          <w:highlight w:val="none"/>
          <w:u w:val="single"/>
          <w14:textFill>
            <w14:solidFill>
              <w14:schemeClr w14:val="tx1"/>
            </w14:solidFill>
          </w14:textFill>
        </w:rPr>
        <w:t xml:space="preserve">可行性评估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tabs>
          <w:tab w:val="left" w:pos="8845"/>
        </w:tabs>
        <w:spacing w:line="360" w:lineRule="auto"/>
        <w:ind w:left="1069" w:leftChars="259" w:hanging="528" w:hangingChars="99"/>
        <w:rPr>
          <w:rFonts w:hint="eastAsia" w:ascii="仿宋_GB2312" w:hAnsi="仿宋_GB2312" w:eastAsia="仿宋_GB2312" w:cs="仿宋_GB2312"/>
          <w:bCs/>
          <w:color w:val="000000" w:themeColor="text1"/>
          <w:sz w:val="32"/>
          <w:highlight w:val="none"/>
          <w:u w:val="single"/>
          <w14:textFill>
            <w14:solidFill>
              <w14:schemeClr w14:val="tx1"/>
            </w14:solidFill>
          </w14:textFill>
        </w:rPr>
      </w:pPr>
      <w:r>
        <w:rPr>
          <w:rFonts w:hint="eastAsia" w:ascii="仿宋_GB2312" w:hAnsi="仿宋_GB2312" w:eastAsia="仿宋_GB2312" w:cs="仿宋_GB2312"/>
          <w:bCs/>
          <w:color w:val="000000" w:themeColor="text1"/>
          <w:spacing w:val="107"/>
          <w:kern w:val="0"/>
          <w:sz w:val="32"/>
          <w:highlight w:val="none"/>
          <w14:textFill>
            <w14:solidFill>
              <w14:schemeClr w14:val="tx1"/>
            </w14:solidFill>
          </w14:textFill>
        </w:rPr>
        <w:t>工程地</w:t>
      </w:r>
      <w:r>
        <w:rPr>
          <w:rFonts w:hint="eastAsia" w:ascii="仿宋_GB2312" w:hAnsi="仿宋_GB2312" w:eastAsia="仿宋_GB2312" w:cs="仿宋_GB2312"/>
          <w:bCs/>
          <w:color w:val="000000" w:themeColor="text1"/>
          <w:spacing w:val="-1"/>
          <w:kern w:val="0"/>
          <w:sz w:val="32"/>
          <w:highlight w:val="none"/>
          <w14:textFill>
            <w14:solidFill>
              <w14:schemeClr w14:val="tx1"/>
            </w14:solidFill>
          </w14:textFill>
        </w:rPr>
        <w:t>点</w:t>
      </w:r>
      <w:r>
        <w:rPr>
          <w:rFonts w:hint="eastAsia" w:ascii="仿宋_GB2312" w:hAnsi="仿宋_GB2312" w:eastAsia="仿宋_GB2312" w:cs="仿宋_GB2312"/>
          <w:bCs/>
          <w:color w:val="000000" w:themeColor="text1"/>
          <w:kern w:val="0"/>
          <w:sz w:val="32"/>
          <w:highlight w:val="none"/>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bookmarkStart w:id="0" w:name="_Hlk36148331"/>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重庆市</w:t>
      </w:r>
      <w:bookmarkEnd w:id="0"/>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p>
    <w:p>
      <w:pPr>
        <w:spacing w:line="360" w:lineRule="auto"/>
        <w:ind w:left="883" w:leftChars="259" w:hanging="342" w:hangingChars="99"/>
        <w:rPr>
          <w:rFonts w:hint="eastAsia" w:ascii="仿宋_GB2312" w:hAnsi="仿宋_GB2312" w:eastAsia="仿宋_GB2312" w:cs="仿宋_GB2312"/>
          <w:bCs/>
          <w:color w:val="000000" w:themeColor="text1"/>
          <w:sz w:val="32"/>
          <w:highlight w:val="none"/>
          <w:u w:val="single"/>
          <w14:textFill>
            <w14:solidFill>
              <w14:schemeClr w14:val="tx1"/>
            </w14:solidFill>
          </w14:textFill>
        </w:rPr>
      </w:pPr>
      <w:r>
        <w:rPr>
          <w:rFonts w:hint="eastAsia" w:ascii="仿宋_GB2312" w:hAnsi="仿宋_GB2312" w:eastAsia="仿宋_GB2312" w:cs="仿宋_GB2312"/>
          <w:bCs/>
          <w:color w:val="000000" w:themeColor="text1"/>
          <w:spacing w:val="15"/>
          <w:w w:val="99"/>
          <w:kern w:val="0"/>
          <w:sz w:val="32"/>
          <w:highlight w:val="none"/>
          <w14:textFill>
            <w14:solidFill>
              <w14:schemeClr w14:val="tx1"/>
            </w14:solidFill>
          </w14:textFill>
        </w:rPr>
        <w:t xml:space="preserve">建 设 单 </w:t>
      </w:r>
      <w:r>
        <w:rPr>
          <w:rFonts w:hint="eastAsia" w:ascii="仿宋_GB2312" w:hAnsi="仿宋_GB2312" w:eastAsia="仿宋_GB2312" w:cs="仿宋_GB2312"/>
          <w:bCs/>
          <w:color w:val="000000" w:themeColor="text1"/>
          <w:spacing w:val="3"/>
          <w:w w:val="99"/>
          <w:kern w:val="0"/>
          <w:sz w:val="32"/>
          <w:highlight w:val="none"/>
          <w14:textFill>
            <w14:solidFill>
              <w14:schemeClr w14:val="tx1"/>
            </w14:solidFill>
          </w14:textFill>
        </w:rPr>
        <w:t>位</w:t>
      </w:r>
      <w:r>
        <w:rPr>
          <w:rFonts w:hint="eastAsia" w:ascii="仿宋_GB2312" w:hAnsi="仿宋_GB2312" w:eastAsia="仿宋_GB2312" w:cs="仿宋_GB2312"/>
          <w:bCs/>
          <w:color w:val="000000" w:themeColor="text1"/>
          <w:kern w:val="0"/>
          <w:sz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重庆城市综合交通枢纽（集团）有限公司   </w:t>
      </w:r>
    </w:p>
    <w:p>
      <w:pPr>
        <w:spacing w:line="360" w:lineRule="auto"/>
        <w:ind w:left="1071" w:leftChars="259" w:hanging="530" w:hangingChars="99"/>
        <w:rPr>
          <w:rFonts w:hint="eastAsia" w:ascii="仿宋_GB2312" w:hAnsi="仿宋_GB2312" w:eastAsia="仿宋_GB2312" w:cs="仿宋_GB2312"/>
          <w:bCs/>
          <w:color w:val="000000" w:themeColor="text1"/>
          <w:sz w:val="32"/>
          <w:highlight w:val="none"/>
          <w:u w:val="single"/>
          <w14:textFill>
            <w14:solidFill>
              <w14:schemeClr w14:val="tx1"/>
            </w14:solidFill>
          </w14:textFill>
        </w:rPr>
      </w:pPr>
      <w:r>
        <w:rPr>
          <w:rFonts w:hint="eastAsia" w:ascii="仿宋_GB2312" w:hAnsi="仿宋_GB2312" w:eastAsia="仿宋_GB2312" w:cs="仿宋_GB2312"/>
          <w:bCs/>
          <w:color w:val="000000" w:themeColor="text1"/>
          <w:spacing w:val="110"/>
          <w:w w:val="99"/>
          <w:kern w:val="0"/>
          <w:sz w:val="32"/>
          <w:highlight w:val="none"/>
          <w14:textFill>
            <w14:solidFill>
              <w14:schemeClr w14:val="tx1"/>
            </w14:solidFill>
          </w14:textFill>
        </w:rPr>
        <w:t>审查机</w:t>
      </w:r>
      <w:r>
        <w:rPr>
          <w:rFonts w:hint="eastAsia" w:ascii="仿宋_GB2312" w:hAnsi="仿宋_GB2312" w:eastAsia="仿宋_GB2312" w:cs="仿宋_GB2312"/>
          <w:bCs/>
          <w:color w:val="000000" w:themeColor="text1"/>
          <w:w w:val="99"/>
          <w:kern w:val="0"/>
          <w:sz w:val="32"/>
          <w:highlight w:val="none"/>
          <w14:textFill>
            <w14:solidFill>
              <w14:schemeClr w14:val="tx1"/>
            </w14:solidFill>
          </w14:textFill>
        </w:rPr>
        <w:t>构</w:t>
      </w:r>
      <w:r>
        <w:rPr>
          <w:rFonts w:hint="eastAsia" w:ascii="仿宋_GB2312" w:hAnsi="仿宋_GB2312" w:eastAsia="仿宋_GB2312" w:cs="仿宋_GB2312"/>
          <w:bCs/>
          <w:color w:val="000000" w:themeColor="text1"/>
          <w:kern w:val="0"/>
          <w:sz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32"/>
          <w:highlight w:val="none"/>
          <w:u w:val="single"/>
          <w14:textFill>
            <w14:solidFill>
              <w14:schemeClr w14:val="tx1"/>
            </w14:solidFill>
          </w14:textFill>
        </w:rPr>
        <w:t xml:space="preserve">    </w:t>
      </w:r>
    </w:p>
    <w:p>
      <w:pPr>
        <w:spacing w:line="360" w:lineRule="auto"/>
        <w:ind w:left="818" w:leftChars="259" w:hanging="277" w:hangingChars="99"/>
        <w:rPr>
          <w:rFonts w:hint="eastAsia" w:ascii="仿宋_GB2312" w:hAnsi="仿宋_GB2312" w:eastAsia="仿宋_GB2312" w:cs="仿宋_GB2312"/>
          <w:bCs/>
          <w:color w:val="000000" w:themeColor="text1"/>
          <w:sz w:val="26"/>
          <w:highlight w:val="none"/>
          <w:u w:val="single"/>
          <w14:textFill>
            <w14:solidFill>
              <w14:schemeClr w14:val="tx1"/>
            </w14:solidFill>
          </w14:textFill>
        </w:rPr>
      </w:pPr>
      <w:r>
        <w:rPr>
          <w:rFonts w:hint="eastAsia" w:ascii="仿宋_GB2312" w:hAnsi="仿宋_GB2312" w:eastAsia="仿宋_GB2312" w:cs="仿宋_GB2312"/>
          <w:bCs/>
          <w:color w:val="000000" w:themeColor="text1"/>
          <w:spacing w:val="4"/>
          <w:w w:val="85"/>
          <w:kern w:val="0"/>
          <w:sz w:val="32"/>
          <w:highlight w:val="none"/>
          <w14:textFill>
            <w14:solidFill>
              <w14:schemeClr w14:val="tx1"/>
            </w14:solidFill>
          </w14:textFill>
        </w:rPr>
        <w:t>审查类别及范</w:t>
      </w:r>
      <w:r>
        <w:rPr>
          <w:rFonts w:hint="eastAsia" w:ascii="仿宋_GB2312" w:hAnsi="仿宋_GB2312" w:eastAsia="仿宋_GB2312" w:cs="仿宋_GB2312"/>
          <w:bCs/>
          <w:color w:val="000000" w:themeColor="text1"/>
          <w:spacing w:val="-9"/>
          <w:w w:val="85"/>
          <w:kern w:val="0"/>
          <w:sz w:val="32"/>
          <w:highlight w:val="none"/>
          <w14:textFill>
            <w14:solidFill>
              <w14:schemeClr w14:val="tx1"/>
            </w14:solidFill>
          </w14:textFill>
        </w:rPr>
        <w:t>围</w:t>
      </w:r>
      <w:r>
        <w:rPr>
          <w:rFonts w:hint="eastAsia" w:ascii="仿宋_GB2312" w:hAnsi="仿宋_GB2312" w:eastAsia="仿宋_GB2312" w:cs="仿宋_GB2312"/>
          <w:bCs/>
          <w:color w:val="000000" w:themeColor="text1"/>
          <w:sz w:val="32"/>
          <w:highlight w:val="none"/>
          <w14:textFill>
            <w14:solidFill>
              <w14:schemeClr w14:val="tx1"/>
            </w14:solidFill>
          </w14:textFill>
        </w:rPr>
        <w:t>：</w:t>
      </w:r>
      <w:r>
        <w:rPr>
          <w:rFonts w:hint="eastAsia" w:ascii="仿宋_GB2312" w:hAnsi="仿宋_GB2312" w:eastAsia="仿宋_GB2312" w:cs="仿宋_GB2312"/>
          <w:bCs/>
          <w:color w:val="000000" w:themeColor="text1"/>
          <w:sz w:val="26"/>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6"/>
          <w:highlight w:val="none"/>
          <w:u w:val="single"/>
          <w14:textFill>
            <w14:solidFill>
              <w14:schemeClr w14:val="tx1"/>
            </w14:solidFill>
          </w14:textFill>
        </w:rPr>
        <w:t xml:space="preserve">                               </w:t>
      </w:r>
    </w:p>
    <w:p>
      <w:pPr>
        <w:tabs>
          <w:tab w:val="left" w:pos="8845"/>
        </w:tabs>
        <w:spacing w:line="360" w:lineRule="auto"/>
        <w:ind w:left="1071" w:leftChars="259" w:hanging="530" w:hangingChars="99"/>
        <w:rPr>
          <w:rFonts w:hint="eastAsia" w:ascii="仿宋_GB2312" w:hAnsi="仿宋_GB2312" w:eastAsia="仿宋_GB2312" w:cs="仿宋_GB2312"/>
          <w:bCs/>
          <w:color w:val="000000" w:themeColor="text1"/>
          <w:sz w:val="32"/>
          <w:highlight w:val="none"/>
          <w:u w:val="single"/>
          <w14:textFill>
            <w14:solidFill>
              <w14:schemeClr w14:val="tx1"/>
            </w14:solidFill>
          </w14:textFill>
        </w:rPr>
      </w:pPr>
      <w:r>
        <w:rPr>
          <w:rFonts w:hint="eastAsia" w:ascii="仿宋_GB2312" w:hAnsi="仿宋_GB2312" w:eastAsia="仿宋_GB2312" w:cs="仿宋_GB2312"/>
          <w:bCs/>
          <w:color w:val="000000" w:themeColor="text1"/>
          <w:spacing w:val="110"/>
          <w:w w:val="99"/>
          <w:kern w:val="0"/>
          <w:sz w:val="32"/>
          <w:highlight w:val="none"/>
          <w14:textFill>
            <w14:solidFill>
              <w14:schemeClr w14:val="tx1"/>
            </w14:solidFill>
          </w14:textFill>
        </w:rPr>
        <w:t>签订时</w:t>
      </w:r>
      <w:r>
        <w:rPr>
          <w:rFonts w:hint="eastAsia" w:ascii="仿宋_GB2312" w:hAnsi="仿宋_GB2312" w:eastAsia="仿宋_GB2312" w:cs="仿宋_GB2312"/>
          <w:bCs/>
          <w:color w:val="000000" w:themeColor="text1"/>
          <w:w w:val="99"/>
          <w:kern w:val="0"/>
          <w:sz w:val="32"/>
          <w:highlight w:val="none"/>
          <w14:textFill>
            <w14:solidFill>
              <w14:schemeClr w14:val="tx1"/>
            </w14:solidFill>
          </w14:textFill>
        </w:rPr>
        <w:t>间</w:t>
      </w:r>
      <w:r>
        <w:rPr>
          <w:rFonts w:hint="eastAsia" w:ascii="仿宋_GB2312" w:hAnsi="仿宋_GB2312" w:eastAsia="仿宋_GB2312" w:cs="仿宋_GB2312"/>
          <w:bCs/>
          <w:color w:val="000000" w:themeColor="text1"/>
          <w:kern w:val="0"/>
          <w:sz w:val="32"/>
          <w:highlight w:val="none"/>
          <w14:textFill>
            <w14:solidFill>
              <w14:schemeClr w14:val="tx1"/>
            </w14:solidFill>
          </w14:textFill>
        </w:rPr>
        <w:t>：</w:t>
      </w:r>
      <w:r>
        <w:rPr>
          <w:rFonts w:hint="eastAsia" w:ascii="仿宋_GB2312" w:hAnsi="仿宋_GB2312" w:eastAsia="仿宋_GB2312" w:cs="仿宋_GB2312"/>
          <w:bCs/>
          <w:color w:val="000000" w:themeColor="text1"/>
          <w:sz w:val="32"/>
          <w:highlight w:val="none"/>
          <w:u w:val="single"/>
          <w14:textFill>
            <w14:solidFill>
              <w14:schemeClr w14:val="tx1"/>
            </w14:solidFill>
          </w14:textFill>
        </w:rPr>
        <w:t xml:space="preserve">  202</w:t>
      </w:r>
      <w:r>
        <w:rPr>
          <w:rFonts w:hint="eastAsia" w:ascii="仿宋_GB2312" w:hAnsi="仿宋_GB2312" w:eastAsia="仿宋_GB2312" w:cs="仿宋_GB2312"/>
          <w:bCs/>
          <w:color w:val="000000" w:themeColor="text1"/>
          <w:sz w:val="32"/>
          <w:highlight w:val="none"/>
          <w:u w:val="singl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年   月   日 </w:t>
      </w:r>
      <w:r>
        <w:rPr>
          <w:rFonts w:hint="eastAsia" w:ascii="仿宋_GB2312" w:hAnsi="仿宋_GB2312" w:eastAsia="仿宋_GB2312" w:cs="仿宋_GB2312"/>
          <w:bCs/>
          <w:color w:val="000000" w:themeColor="text1"/>
          <w:sz w:val="32"/>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kern w:val="0"/>
          <w:sz w:val="32"/>
          <w:highlight w:val="none"/>
          <w:u w:val="single"/>
          <w14:textFill>
            <w14:solidFill>
              <w14:schemeClr w14:val="tx1"/>
            </w14:solidFill>
          </w14:textFill>
        </w:rPr>
        <w:t xml:space="preserve">                </w:t>
      </w:r>
    </w:p>
    <w:p>
      <w:pPr>
        <w:spacing w:line="360" w:lineRule="auto"/>
        <w:ind w:left="798" w:leftChars="259" w:hanging="257" w:hangingChars="99"/>
        <w:rPr>
          <w:rFonts w:hint="eastAsia" w:ascii="仿宋_GB2312" w:hAnsi="仿宋_GB2312" w:eastAsia="仿宋_GB2312" w:cs="仿宋_GB2312"/>
          <w:bCs/>
          <w:color w:val="000000" w:themeColor="text1"/>
          <w:sz w:val="26"/>
          <w:highlight w:val="none"/>
          <w:u w:val="single"/>
          <w14:textFill>
            <w14:solidFill>
              <w14:schemeClr w14:val="tx1"/>
            </w14:solidFill>
          </w14:textFill>
        </w:rPr>
      </w:pPr>
    </w:p>
    <w:p>
      <w:pPr>
        <w:ind w:firstLine="957" w:firstLineChars="300"/>
        <w:rPr>
          <w:rFonts w:hint="eastAsia" w:ascii="仿宋_GB2312" w:hAnsi="仿宋_GB2312" w:eastAsia="仿宋_GB2312" w:cs="仿宋_GB2312"/>
          <w:color w:val="000000" w:themeColor="text1"/>
          <w:sz w:val="32"/>
          <w:highlight w:val="none"/>
          <w:u w:val="single"/>
          <w14:textFill>
            <w14:solidFill>
              <w14:schemeClr w14:val="tx1"/>
            </w14:solidFill>
          </w14:textFill>
        </w:rPr>
      </w:pPr>
    </w:p>
    <w:p>
      <w:pPr>
        <w:ind w:firstLine="957" w:firstLineChars="300"/>
        <w:rPr>
          <w:rFonts w:hint="eastAsia" w:ascii="仿宋_GB2312" w:hAnsi="仿宋_GB2312" w:eastAsia="仿宋_GB2312" w:cs="仿宋_GB2312"/>
          <w:color w:val="000000" w:themeColor="text1"/>
          <w:sz w:val="32"/>
          <w:highlight w:val="none"/>
          <w:u w:val="single"/>
          <w14:textFill>
            <w14:solidFill>
              <w14:schemeClr w14:val="tx1"/>
            </w14:solidFill>
          </w14:textFill>
        </w:rPr>
      </w:pPr>
    </w:p>
    <w:p>
      <w:pPr>
        <w:ind w:firstLine="957" w:firstLineChars="300"/>
        <w:rPr>
          <w:rFonts w:hint="eastAsia" w:ascii="仿宋_GB2312" w:hAnsi="仿宋_GB2312" w:eastAsia="仿宋_GB2312" w:cs="仿宋_GB2312"/>
          <w:color w:val="000000" w:themeColor="text1"/>
          <w:sz w:val="32"/>
          <w:highlight w:val="none"/>
          <w:u w:val="single"/>
          <w14:textFill>
            <w14:solidFill>
              <w14:schemeClr w14:val="tx1"/>
            </w14:solidFill>
          </w14:textFill>
        </w:rPr>
      </w:pPr>
    </w:p>
    <w:p>
      <w:pPr>
        <w:ind w:firstLine="957" w:firstLineChars="300"/>
        <w:rPr>
          <w:rFonts w:hint="eastAsia" w:ascii="仿宋_GB2312" w:hAnsi="仿宋_GB2312" w:eastAsia="仿宋_GB2312" w:cs="仿宋_GB2312"/>
          <w:color w:val="000000" w:themeColor="text1"/>
          <w:sz w:val="32"/>
          <w:highlight w:val="none"/>
          <w:u w:val="single"/>
          <w14:textFill>
            <w14:solidFill>
              <w14:schemeClr w14:val="tx1"/>
            </w14:solidFill>
          </w14:textFill>
        </w:rPr>
      </w:pPr>
    </w:p>
    <w:p>
      <w:pPr>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重庆市城乡建设委员会  监制</w:t>
      </w:r>
    </w:p>
    <w:p>
      <w:pPr>
        <w:spacing w:line="400" w:lineRule="exact"/>
        <w:rPr>
          <w:rFonts w:hint="eastAsia" w:ascii="仿宋_GB2312" w:hAnsi="仿宋_GB2312" w:eastAsia="仿宋_GB2312" w:cs="仿宋_GB2312"/>
          <w:color w:val="000000" w:themeColor="text1"/>
          <w:sz w:val="24"/>
          <w:highlight w:val="none"/>
          <w14:textFill>
            <w14:solidFill>
              <w14:schemeClr w14:val="tx1"/>
            </w14:solidFill>
          </w14:textFill>
        </w:rPr>
        <w:sectPr>
          <w:pgSz w:w="11906" w:h="16838"/>
          <w:pgMar w:top="1418" w:right="1531" w:bottom="1418" w:left="1531" w:header="964" w:footer="964" w:gutter="284"/>
          <w:lnNumType w:countBy="0" w:restart="continuous"/>
          <w:cols w:space="720" w:num="1"/>
          <w:docGrid w:type="linesAndChars" w:linePitch="447" w:charSpace="-338"/>
        </w:sectPr>
      </w:pPr>
    </w:p>
    <w:p>
      <w:pPr>
        <w:spacing w:line="460" w:lineRule="exact"/>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建设单位：</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重庆城市综合交通枢纽（集团）有限公司</w:t>
      </w:r>
      <w:r>
        <w:rPr>
          <w:rFonts w:hint="eastAsia" w:ascii="仿宋_GB2312" w:hAnsi="仿宋_GB2312" w:eastAsia="仿宋_GB2312" w:cs="仿宋_GB2312"/>
          <w:color w:val="000000" w:themeColor="text1"/>
          <w:spacing w:val="-4"/>
          <w:sz w:val="28"/>
          <w:szCs w:val="28"/>
          <w:highlight w:val="none"/>
          <w:u w:val="single"/>
          <w14:textFill>
            <w14:solidFill>
              <w14:schemeClr w14:val="tx1"/>
            </w14:solidFill>
          </w14:textFill>
        </w:rPr>
        <w:t xml:space="preserve">（以下简称甲方） </w:t>
      </w:r>
    </w:p>
    <w:p>
      <w:pPr>
        <w:spacing w:line="460" w:lineRule="exact"/>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审查机构：</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以下简称乙方） </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甲方委托乙方承担</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重庆东站铁路综合交通枢纽高铁新经济区基础设施工程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站前片区路网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项目地勘初勘审查、高边坡</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及深基坑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可行性评估</w:t>
      </w: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。根据《中华人民共和国合同法》、《中华人民共和国建筑法》及其他有关</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"http://www.jianshe99.com/web/fagui/" \t "_blank"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法律</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"http://www.jianshe99.com/web/fagui/" \t "_blank"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法规</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等，遵循平等、自愿、公平和诚实信用的原则，经双方协商一致，签订本合同。</w:t>
      </w:r>
    </w:p>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第一条  合同签订依据</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1.1  《中华人民共和国合同法》（主席令第15号）、《中华人民共和国建筑法》（主席令第46号）、《建设工程勘察设计管理条例》(国务院令第279号)、《建设工程质量管理条例》（国务院令第293号）、《重庆市建设工程勘察设计管理条例》（市人大公告第33号）等。</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1.2  住房和城乡建设部《房屋建筑工程和市政基础设施工程施工图设计文件审查管理办法》（住建部令第13号）、《重庆市房屋建筑和市政基础设施工程施工图设计文件审查管理办法》（渝建发[2006]75号）、《关于加强施工图审查工作的意见》（渝建发[2008]158号）和《关于贯彻实施住建部&lt;房屋建筑和市政基础设施工程施工图设计文件审查管理办法&gt;（住建部13号令）的通知》（渝建[2013]557号）等。</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  重庆市物价局《关于建筑工程施工图设计文件审查收费标准的通知》（渝价[2013]423号）等。</w:t>
      </w:r>
    </w:p>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第二条  工程概况</w:t>
      </w:r>
    </w:p>
    <w:p>
      <w:pPr>
        <w:spacing w:line="460" w:lineRule="exact"/>
        <w:ind w:left="2519" w:leftChars="266" w:hanging="1960" w:hangingChars="7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  工程名称：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重庆东站铁路综合交通枢纽高铁新经济区基础设施工程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站前片区路网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项目地勘初勘审查、高边坡</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及深基坑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可行性评估                                        </w:t>
      </w:r>
    </w:p>
    <w:p>
      <w:pPr>
        <w:spacing w:line="4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  子项目名称：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  工程规模：</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  审查范围：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p>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第三条  审查内容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乙方应按照住建部和重庆市有关</w:t>
      </w:r>
      <w:r>
        <w:rPr>
          <w:rFonts w:hint="eastAsia" w:ascii="仿宋_GB2312" w:hAnsi="仿宋_GB2312" w:eastAsia="仿宋_GB2312" w:cs="仿宋_GB2312"/>
          <w:color w:val="000000" w:themeColor="text1"/>
          <w:sz w:val="28"/>
          <w:szCs w:val="28"/>
          <w:highlight w:val="none"/>
          <w14:textFill>
            <w14:solidFill>
              <w14:schemeClr w14:val="tx1"/>
            </w14:solidFill>
          </w14:textFill>
        </w:rPr>
        <w:t>勘察</w:t>
      </w:r>
      <w:r>
        <w:rPr>
          <w:rFonts w:hint="eastAsia" w:ascii="仿宋_GB2312" w:hAnsi="仿宋_GB2312" w:eastAsia="仿宋_GB2312" w:cs="仿宋_GB2312"/>
          <w:color w:val="000000" w:themeColor="text1"/>
          <w:sz w:val="28"/>
          <w:szCs w:val="28"/>
          <w:highlight w:val="none"/>
          <w14:textFill>
            <w14:solidFill>
              <w14:schemeClr w14:val="tx1"/>
            </w14:solidFill>
          </w14:textFill>
        </w:rPr>
        <w:t>审查管理文件规定进行审查，主要审查以下内容：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3.1  送审材料是否齐备；</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3.2  是否满足国家和本市勘察文件编制深度要求；</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3.3  是否满足勘察合同和设计使用需要；</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3.4  是否符合工程建设强制性标准；</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3.5  勘察单位资质和人员资格是否符合有关规定；</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3.6  勘察文件签章是否符合有关规定；</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3.7  勘察范围、勘察阶段及勘察工期是否符合有关规定；</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3.8  根据中华人民共和国建设部和重庆市建委关于高边坡的有关管理要求，乙方依据国家和重庆市的规程、规范，对高边坡方案设计可行性进行评估。</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3.9  有关法律、法规、规章和行业管理规定须审查的内容。</w:t>
      </w:r>
    </w:p>
    <w:p>
      <w:pPr>
        <w:spacing w:line="4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第四条  甲方应向乙方提供下列勘察文件资料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bl>
      <w:tblPr>
        <w:tblStyle w:val="5"/>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8"/>
        <w:gridCol w:w="4778"/>
        <w:gridCol w:w="709"/>
        <w:gridCol w:w="136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序号</w:t>
            </w:r>
          </w:p>
        </w:tc>
        <w:tc>
          <w:tcPr>
            <w:tcW w:w="4778" w:type="dxa"/>
            <w:noWrap w:val="0"/>
            <w:vAlign w:val="center"/>
          </w:tcPr>
          <w:p>
            <w:pPr>
              <w:snapToGrid w:val="0"/>
              <w:spacing w:line="460" w:lineRule="exact"/>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资料及文件名称</w:t>
            </w:r>
          </w:p>
        </w:tc>
        <w:tc>
          <w:tcPr>
            <w:tcW w:w="709" w:type="dxa"/>
            <w:noWrap w:val="0"/>
            <w:vAlign w:val="center"/>
          </w:tcPr>
          <w:p>
            <w:pPr>
              <w:snapToGrid w:val="0"/>
              <w:spacing w:line="460" w:lineRule="exact"/>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份数</w:t>
            </w:r>
          </w:p>
        </w:tc>
        <w:tc>
          <w:tcPr>
            <w:tcW w:w="1364" w:type="dxa"/>
            <w:noWrap w:val="0"/>
            <w:vAlign w:val="center"/>
          </w:tcPr>
          <w:p>
            <w:pPr>
              <w:snapToGrid w:val="0"/>
              <w:spacing w:line="460" w:lineRule="exact"/>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提交日期</w:t>
            </w:r>
          </w:p>
        </w:tc>
        <w:tc>
          <w:tcPr>
            <w:tcW w:w="1156" w:type="dxa"/>
            <w:noWrap w:val="0"/>
            <w:vAlign w:val="center"/>
          </w:tcPr>
          <w:p>
            <w:pPr>
              <w:snapToGrid w:val="0"/>
              <w:spacing w:line="460" w:lineRule="exact"/>
              <w:jc w:val="center"/>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8775" w:type="dxa"/>
            <w:gridSpan w:val="5"/>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一、勘察报告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勘察文字报告</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岩、土、水试验测试成果（含物探、原位测试、抽水试验等）</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勘察平面图、剖面图及钻孔柱状图（含井槽探展示图）</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工程场地内或其影响区边坡、基坑、填方勘察资料</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高边坡</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深基坑、人工挖孔桩</w:t>
            </w:r>
            <w:r>
              <w:rPr>
                <w:rFonts w:hint="eastAsia" w:ascii="仿宋_GB2312" w:hAnsi="仿宋_GB2312" w:eastAsia="仿宋_GB2312" w:cs="仿宋_GB2312"/>
                <w:color w:val="000000" w:themeColor="text1"/>
                <w:sz w:val="28"/>
                <w:szCs w:val="28"/>
                <w:highlight w:val="none"/>
                <w14:textFill>
                  <w14:solidFill>
                    <w14:schemeClr w14:val="tx1"/>
                  </w14:solidFill>
                </w14:textFill>
              </w:rPr>
              <w:t>方案设计</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8775" w:type="dxa"/>
            <w:gridSpan w:val="5"/>
            <w:noWrap w:val="0"/>
            <w:vAlign w:val="center"/>
          </w:tcPr>
          <w:p>
            <w:pPr>
              <w:snapToGrid w:val="0"/>
              <w:spacing w:line="460" w:lineRule="exac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重庆市房屋建筑和市政基础设施</w:t>
            </w:r>
            <w:r>
              <w:rPr>
                <w:rFonts w:hint="eastAsia" w:ascii="仿宋_GB2312" w:hAnsi="仿宋_GB2312" w:eastAsia="仿宋_GB2312" w:cs="仿宋_GB2312"/>
                <w:color w:val="000000" w:themeColor="text1"/>
                <w:sz w:val="28"/>
                <w:szCs w:val="28"/>
                <w:highlight w:val="none"/>
                <w14:textFill>
                  <w14:solidFill>
                    <w14:schemeClr w14:val="tx1"/>
                  </w14:solidFill>
                </w14:textFill>
              </w:rPr>
              <w:t>初步</w:t>
            </w:r>
            <w:r>
              <w:rPr>
                <w:rFonts w:hint="eastAsia" w:ascii="仿宋_GB2312" w:hAnsi="仿宋_GB2312" w:eastAsia="仿宋_GB2312" w:cs="仿宋_GB2312"/>
                <w:color w:val="000000" w:themeColor="text1"/>
                <w:sz w:val="28"/>
                <w:szCs w:val="28"/>
                <w:highlight w:val="none"/>
                <w14:textFill>
                  <w14:solidFill>
                    <w14:schemeClr w14:val="tx1"/>
                  </w14:solidFill>
                </w14:textFill>
              </w:rPr>
              <w:t>设计文件审查送审表（工程勘察）</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勘察纲要</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测量成果</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勘察外业见证报告及岩芯照片</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勘察外业原始记录</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视审查情况提供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勘察单位资质（包括市外勘察单位入渝备案登记证）和勘察项目负责人执业资格证书复印件</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勘察合同（含边坡、基坑、填方勘察合同以及钻探劳务合同）和勘察任务委托书</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建设工程勘察外业见证合同</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建设单位法人代表授权书及项目负责人质量责任承诺书</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勘察单位法人代表授权书及项目负责人质量责任承诺书</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68"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11</w:t>
            </w:r>
          </w:p>
        </w:tc>
        <w:tc>
          <w:tcPr>
            <w:tcW w:w="4778"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勘察费结算书</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768" w:type="dxa"/>
            <w:noWrap w:val="0"/>
            <w:vAlign w:val="center"/>
          </w:tcPr>
          <w:p>
            <w:pPr>
              <w:snapToGrid w:val="0"/>
              <w:spacing w:line="460" w:lineRule="exact"/>
              <w:jc w:val="center"/>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12</w:t>
            </w:r>
          </w:p>
        </w:tc>
        <w:tc>
          <w:tcPr>
            <w:tcW w:w="4778" w:type="dxa"/>
            <w:noWrap w:val="0"/>
            <w:vAlign w:val="center"/>
          </w:tcPr>
          <w:p>
            <w:pPr>
              <w:snapToGrid w:val="0"/>
              <w:spacing w:line="46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初步设计概算及批复</w:t>
            </w:r>
          </w:p>
        </w:tc>
        <w:tc>
          <w:tcPr>
            <w:tcW w:w="709" w:type="dxa"/>
            <w:noWrap w:val="0"/>
            <w:vAlign w:val="center"/>
          </w:tcPr>
          <w:p>
            <w:pPr>
              <w:snapToGrid w:val="0"/>
              <w:spacing w:line="4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1364"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156" w:type="dxa"/>
            <w:noWrap w:val="0"/>
            <w:vAlign w:val="center"/>
          </w:tcPr>
          <w:p>
            <w:pPr>
              <w:snapToGrid w:val="0"/>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第五条  工期及提交的成果</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  工期</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在甲方提供符合本合同第四条要求的资料后，乙方不少于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个工作日且不多于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个工作日（不包括勘察文件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高边坡方案设计文件的修改复核、复审时间）完成本项目的勘察文件审查</w:t>
      </w:r>
      <w:r>
        <w:rPr>
          <w:rFonts w:hint="eastAsia" w:ascii="仿宋_GB2312" w:hAnsi="仿宋_GB2312" w:eastAsia="仿宋_GB2312" w:cs="仿宋_GB2312"/>
          <w:color w:val="000000" w:themeColor="text1"/>
          <w:sz w:val="28"/>
          <w:szCs w:val="28"/>
          <w:highlight w:val="none"/>
          <w14:textFill>
            <w14:solidFill>
              <w14:schemeClr w14:val="tx1"/>
            </w14:solidFill>
          </w14:textFill>
        </w:rPr>
        <w:t>和高边坡方案可行性评估</w:t>
      </w:r>
      <w:r>
        <w:rPr>
          <w:rFonts w:hint="eastAsia" w:ascii="仿宋_GB2312" w:hAnsi="仿宋_GB2312" w:eastAsia="仿宋_GB2312" w:cs="仿宋_GB2312"/>
          <w:color w:val="000000" w:themeColor="text1"/>
          <w:sz w:val="28"/>
          <w:szCs w:val="28"/>
          <w:highlight w:val="none"/>
          <w14:textFill>
            <w14:solidFill>
              <w14:schemeClr w14:val="tx1"/>
            </w14:solidFill>
          </w14:textFill>
        </w:rPr>
        <w:t>工作。甲方未按约定时间提交材料的，乙方有权顺延审查工期。</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5.2  乙方提交的成果如下：</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5.2.1 工程勘察文件审查合格书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份，高边坡方案可行性评估报告</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份（纸质档和光盘各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5.2.2 按规定在勘察文件扉页及平面图上加盖审查专用章。</w:t>
      </w:r>
    </w:p>
    <w:p>
      <w:pPr>
        <w:spacing w:line="4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第六条  收费标准及付费方式</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  本项目收费：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6.1.1本合同总额暂定为人民币</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元（大写：</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元整），其中，暂定地勘初勘审查费为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元（暂定地勘初勘审查费=暂定地勘初勘工程勘察费×地勘初勘审查中标折扣费率</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）；暂估高边坡评估数量为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个，高边坡可行性评估费为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元（暂定高边坡可行性评估费=暂定评估个数×中标评估包干单价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元/个）。以上费用包含开展地质地勘初勘审查、高边坡可行性评估等满足初步设计阶段行业主管部门要求的审查内容所有费用，包含但不限于材料费、人工费、综合管理费、利润、税金等相关手续的所有费用。最终按6.3款结算原则规定进行结算。</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  付款方式</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乙方完成并提交符合建设行政主管部门要求的工程勘察文件审查合格书和高边坡方案可行性评估报告</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初步设计开展完毕并出具审查报告，取得初步设计概算批复后进行支付和结算。</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以上费用乙方按甲方税收征管要求出具相应增值税专用发票</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，甲方收到增值税专用发票后30日内</w:t>
      </w:r>
      <w:r>
        <w:rPr>
          <w:rFonts w:hint="eastAsia" w:ascii="仿宋_GB2312" w:hAnsi="仿宋_GB2312" w:eastAsia="仿宋_GB2312" w:cs="仿宋_GB2312"/>
          <w:color w:val="000000" w:themeColor="text1"/>
          <w:sz w:val="28"/>
          <w:szCs w:val="28"/>
          <w:highlight w:val="none"/>
          <w14:textFill>
            <w14:solidFill>
              <w14:schemeClr w14:val="tx1"/>
            </w14:solidFill>
          </w14:textFill>
        </w:rPr>
        <w:t>进行支付。</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 审查费结算原则：</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合同结算费=结算地勘初勘审查费+结算高边坡可行性评估费，其中：</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6.3.1结算地勘初勘审查费=结算地勘</w:t>
      </w:r>
      <w:r>
        <w:rPr>
          <w:rFonts w:hint="eastAsia" w:ascii="仿宋_GB2312" w:hAnsi="宋体" w:eastAsia="仿宋_GB2312"/>
          <w:color w:val="000000" w:themeColor="text1"/>
          <w:sz w:val="28"/>
          <w:szCs w:val="28"/>
          <w:highlight w:val="none"/>
          <w14:textFill>
            <w14:solidFill>
              <w14:schemeClr w14:val="tx1"/>
            </w14:solidFill>
          </w14:textFill>
        </w:rPr>
        <w:t>初勘工程勘察费</w:t>
      </w:r>
      <w:r>
        <w:rPr>
          <w:rFonts w:hint="eastAsia" w:ascii="仿宋_GB2312" w:hAnsi="仿宋_GB2312" w:eastAsia="仿宋_GB2312" w:cs="仿宋_GB2312"/>
          <w:color w:val="000000" w:themeColor="text1"/>
          <w:sz w:val="28"/>
          <w:szCs w:val="28"/>
          <w:highlight w:val="none"/>
          <w14:textFill>
            <w14:solidFill>
              <w14:schemeClr w14:val="tx1"/>
            </w14:solidFill>
          </w14:textFill>
        </w:rPr>
        <w:t>×地勘初勘审查中标折扣费率</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-违约金（如果有）</w:t>
      </w:r>
    </w:p>
    <w:p>
      <w:pPr>
        <w:spacing w:line="4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6.3.1.1结算地勘</w:t>
      </w:r>
      <w:r>
        <w:rPr>
          <w:rFonts w:hint="eastAsia" w:ascii="仿宋_GB2312" w:hAnsi="宋体" w:eastAsia="仿宋_GB2312"/>
          <w:color w:val="000000" w:themeColor="text1"/>
          <w:sz w:val="28"/>
          <w:szCs w:val="28"/>
          <w:highlight w:val="none"/>
          <w14:textFill>
            <w14:solidFill>
              <w14:schemeClr w14:val="tx1"/>
            </w14:solidFill>
          </w14:textFill>
        </w:rPr>
        <w:t>初勘工程勘察费的计算方式为</w:t>
      </w:r>
      <w:r>
        <w:rPr>
          <w:rFonts w:hint="eastAsia" w:ascii="仿宋_GB2312" w:hAnsi="仿宋_GB2312" w:eastAsia="仿宋_GB2312" w:cs="仿宋_GB2312"/>
          <w:color w:val="000000" w:themeColor="text1"/>
          <w:sz w:val="28"/>
          <w:szCs w:val="28"/>
          <w:highlight w:val="none"/>
          <w14:textFill>
            <w14:solidFill>
              <w14:schemeClr w14:val="tx1"/>
            </w14:solidFill>
          </w14:textFill>
        </w:rPr>
        <w:t>：按</w:t>
      </w:r>
      <w:r>
        <w:rPr>
          <w:rFonts w:hint="eastAsia" w:ascii="仿宋_GB2312" w:hAnsi="宋体" w:eastAsia="仿宋_GB2312"/>
          <w:color w:val="000000" w:themeColor="text1"/>
          <w:sz w:val="28"/>
          <w:szCs w:val="28"/>
          <w:highlight w:val="none"/>
          <w14:textFill>
            <w14:solidFill>
              <w14:schemeClr w14:val="tx1"/>
            </w14:solidFill>
          </w14:textFill>
        </w:rPr>
        <w:t>地勘初勘勘察实际完成的工作量，根据</w:t>
      </w:r>
      <w:r>
        <w:rPr>
          <w:rFonts w:hint="eastAsia" w:ascii="仿宋_GB2312" w:hAnsi="仿宋_GB2312" w:eastAsia="仿宋_GB2312" w:cs="仿宋_GB2312"/>
          <w:color w:val="000000" w:themeColor="text1"/>
          <w:sz w:val="28"/>
          <w:szCs w:val="28"/>
          <w:highlight w:val="none"/>
          <w14:textFill>
            <w14:solidFill>
              <w14:schemeClr w14:val="tx1"/>
            </w14:solidFill>
          </w14:textFill>
        </w:rPr>
        <w:t>《国家计委、建设部关于发布&lt;工程勘察设计收费管理规定&gt;的通知》（计价格〔2002〕10号）核算的费用。</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6.3.2结算高边坡可行性评估费=结算评估数量（以建设行政主管部门的要求为准）×中标包干单价-违约金（如果有）</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注：本项目结算金额均以建设单位审核确认的实际审查道路及相关区域为准，未审查道路及相关区域不计入结算金额。</w:t>
      </w:r>
    </w:p>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第七条  甲乙双方责任</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  甲方责任</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7.1.1  甲方对报送乙方的审查资料准确性、真实性负责。甲方有义务积极配合审查工作，及时提供审查所需的相关资料。甲方不得要求审查机构违反或降低国家有关标准进行审查。</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7.1.2  甲方承担本项目工程勘察文件审查费。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7.1.3  甲方同乙方签订合同且合同未终止的及审查不合格的，不得变更委托其他审查机构审查。</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7.1.4  若报告审查不合格，乙方应在出具不合格报告之前及时通知甲方，并提出修改报告修改意见，尽量协助甲方完善报告内容。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  乙方责任</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7.2.1  乙方应当按照有关法律、法规对施工图涉及公共利益、公众安全和工程建设强制性标准等内容进行审查，认真履行建设行政主管部门赋予的审查职责。</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7.2.2  乙方应当在市建设主管部门认定的资质及类别范围内进行地勘初勘审查及高边坡可行性评估。</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7.2.3  乙方不得向第三方扩散、转让甲方提交的勘察文件及经济技术资料。</w:t>
      </w:r>
    </w:p>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第八条  违约责任</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8.1  甲方应按合同约定时间和金额向乙方支付审查费，若超期延误支付,按逾期每个工作日承担审查费总额的0.5‰违约金支付给乙方。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  乙方由于自身原因未能按本合同约定的时间交付审查合格书，按逾期每个工作日承担审查费的0.5‰的违约金支付给甲方。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8.3  由于乙方的原因给甲方造成较大经济损失的，乙方应承担与工程直接损失部分审查费相等的赔偿金。</w:t>
      </w:r>
    </w:p>
    <w:p>
      <w:pPr>
        <w:spacing w:line="460" w:lineRule="exact"/>
        <w:ind w:firstLine="562"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第九条  其它事项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  乙方提交合格书后，下列情况甲乙双方应签订补充条款：</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（一）因甲方提交的资料错误需要乙方进行重新审查时，甲乙双方应另行协商，签订补充条款；</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（二）因工程规模、功能变化等设计方案变化需重新进行勘察，甲方将重新勘察的勘察文件及批准部门同意修改、调整的批文送乙方重新审查时，甲乙双方应另行签订审查合同。</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  由于不可抗力因素致使本合同无法履行时，甲乙双方应及时协商解决。</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  凡因本合同引起的或与本合同有关的任何争议，由双方协商解决；协商不果时，可采用方式即提请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重庆 </w:t>
      </w:r>
      <w:r>
        <w:rPr>
          <w:rFonts w:hint="eastAsia" w:ascii="仿宋_GB2312" w:hAnsi="仿宋_GB2312" w:eastAsia="仿宋_GB2312" w:cs="仿宋_GB2312"/>
          <w:color w:val="000000" w:themeColor="text1"/>
          <w:sz w:val="28"/>
          <w:szCs w:val="28"/>
          <w:highlight w:val="none"/>
          <w14:textFill>
            <w14:solidFill>
              <w14:schemeClr w14:val="tx1"/>
            </w14:solidFill>
          </w14:textFill>
        </w:rPr>
        <w:t>仲裁委员会进行仲裁（仲裁裁决是终局的，对双方均有约束力）。</w:t>
      </w:r>
    </w:p>
    <w:p>
      <w:pPr>
        <w:spacing w:line="4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9.4</w:t>
      </w: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其它约定事项：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无                                </w:t>
      </w:r>
    </w:p>
    <w:p>
      <w:pPr>
        <w:spacing w:line="4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 xml:space="preserve">第十条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本合同经甲乙双方签字盖章后生效。乙方提供审查合格书且甲方向乙方付清审查费后，甲乙双方履行合同的义务即终止。</w:t>
      </w:r>
    </w:p>
    <w:p>
      <w:pPr>
        <w:spacing w:line="4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本合同自双方签字盖章后生效，双方履行完合同规定的义务后本合同终止。本合同一式</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陆</w:t>
      </w:r>
      <w:r>
        <w:rPr>
          <w:rFonts w:hint="eastAsia" w:ascii="仿宋_GB2312" w:hAnsi="仿宋_GB2312" w:eastAsia="仿宋_GB2312" w:cs="仿宋_GB2312"/>
          <w:color w:val="000000" w:themeColor="text1"/>
          <w:sz w:val="28"/>
          <w:szCs w:val="28"/>
          <w:highlight w:val="none"/>
          <w14:textFill>
            <w14:solidFill>
              <w14:schemeClr w14:val="tx1"/>
            </w14:solidFill>
          </w14:textFill>
        </w:rPr>
        <w:t>份，甲方执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叁</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叁</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份，具同等法律效力。</w:t>
      </w:r>
    </w:p>
    <w:p>
      <w:pPr>
        <w:spacing w:line="4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（以下无正文）</w:t>
      </w: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建设单位（盖章）：              审查机构（勘察类）（盖章）：        </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法定代表人（签章）：             法定代表人（签章）：  </w:t>
      </w: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或其授权代理人：                或其授权代理人：  </w:t>
      </w:r>
    </w:p>
    <w:p>
      <w:pP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联系人：                        联系人：  </w:t>
      </w:r>
    </w:p>
    <w:p>
      <w:pPr>
        <w:tabs>
          <w:tab w:val="left" w:pos="4718"/>
        </w:tabs>
        <w:snapToGrid w:val="0"/>
        <w:spacing w:line="420" w:lineRule="exact"/>
        <w:ind w:left="6020" w:hanging="6020" w:hangingChars="2150"/>
        <w:rPr>
          <w:rFonts w:hint="eastAsia" w:ascii="仿宋_GB2312" w:hAnsi="仿宋_GB2312" w:eastAsia="仿宋_GB2312" w:cs="仿宋_GB2312"/>
          <w:color w:val="000000" w:themeColor="text1"/>
          <w:spacing w:val="-24"/>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办公地址：                      办公地址：</w:t>
      </w:r>
      <w:r>
        <w:rPr>
          <w:rFonts w:hint="eastAsia" w:ascii="仿宋_GB2312" w:hAnsi="仿宋_GB2312" w:eastAsia="仿宋_GB2312" w:cs="仿宋_GB2312"/>
          <w:color w:val="000000" w:themeColor="text1"/>
          <w:spacing w:val="-2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20"/>
          <w:sz w:val="28"/>
          <w:szCs w:val="28"/>
          <w:highlight w:val="none"/>
          <w:lang w:val="en-US" w:eastAsia="zh-CN"/>
          <w14:textFill>
            <w14:solidFill>
              <w14:schemeClr w14:val="tx1"/>
            </w14:solidFill>
          </w14:textFill>
        </w:rPr>
        <w:t xml:space="preserve"> </w:t>
      </w:r>
    </w:p>
    <w:p>
      <w:pPr>
        <w:tabs>
          <w:tab w:val="left" w:pos="4820"/>
        </w:tabs>
        <w:snapToGrid w:val="0"/>
        <w:spacing w:line="42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纳税人识别号：                  纳税人识别号：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tabs>
          <w:tab w:val="left" w:pos="4550"/>
        </w:tabs>
        <w:snapToGrid w:val="0"/>
        <w:spacing w:line="42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邮政编码：</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t>邮政编码：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tabs>
          <w:tab w:val="left" w:pos="4450"/>
        </w:tabs>
        <w:snapToGrid w:val="0"/>
        <w:spacing w:line="42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电    话： </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电     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tabs>
          <w:tab w:val="left" w:pos="4450"/>
        </w:tabs>
        <w:snapToGrid w:val="0"/>
        <w:spacing w:line="42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    真：</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传     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tabs>
          <w:tab w:val="left" w:pos="4720"/>
        </w:tabs>
        <w:snapToGrid w:val="0"/>
        <w:spacing w:line="420" w:lineRule="exact"/>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开户银行：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开户银行：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tabs>
          <w:tab w:val="left" w:pos="4450"/>
        </w:tabs>
        <w:snapToGrid w:val="0"/>
        <w:spacing w:line="420" w:lineRule="exact"/>
        <w:rPr>
          <w:rFonts w:hint="eastAsia" w:ascii="仿宋_GB2312" w:hAnsi="仿宋_GB2312" w:eastAsia="仿宋_GB2312" w:cs="仿宋_GB2312"/>
          <w:color w:val="000000" w:themeColor="text1"/>
          <w:sz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帐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t>帐    号：</w:t>
      </w:r>
    </w:p>
    <w:p>
      <w:pPr>
        <w:rPr>
          <w:color w:val="000000" w:themeColor="text1"/>
          <w:highlight w:val="none"/>
          <w14:textFill>
            <w14:solidFill>
              <w14:schemeClr w14:val="tx1"/>
            </w14:solidFill>
          </w14:textFill>
        </w:rPr>
      </w:pP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w:t>
      </w:r>
    </w:p>
    <w:p>
      <w:pPr>
        <w:spacing w:before="156" w:beforeLines="50" w:after="156" w:afterLines="50" w:line="480" w:lineRule="auto"/>
        <w:jc w:val="cente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p>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3007A"/>
    <w:multiLevelType w:val="singleLevel"/>
    <w:tmpl w:val="8CF3007A"/>
    <w:lvl w:ilvl="0" w:tentative="0">
      <w:start w:val="1"/>
      <w:numFmt w:val="decimal"/>
      <w:suff w:val="nothing"/>
      <w:lvlText w:val="%1、"/>
      <w:lvlJc w:val="left"/>
    </w:lvl>
  </w:abstractNum>
  <w:abstractNum w:abstractNumId="1">
    <w:nsid w:val="D8615C4F"/>
    <w:multiLevelType w:val="singleLevel"/>
    <w:tmpl w:val="D8615C4F"/>
    <w:lvl w:ilvl="0" w:tentative="0">
      <w:start w:val="1"/>
      <w:numFmt w:val="decimal"/>
      <w:suff w:val="nothing"/>
      <w:lvlText w:val="（%1）"/>
      <w:lvlJc w:val="left"/>
      <w:pPr>
        <w:ind w:left="-62"/>
      </w:pPr>
    </w:lvl>
  </w:abstractNum>
  <w:abstractNum w:abstractNumId="2">
    <w:nsid w:val="091640C1"/>
    <w:multiLevelType w:val="multilevel"/>
    <w:tmpl w:val="091640C1"/>
    <w:lvl w:ilvl="0" w:tentative="0">
      <w:start w:val="1"/>
      <w:numFmt w:val="decimal"/>
      <w:suff w:val="nothing"/>
      <w:lvlText w:val="（%1）"/>
      <w:lvlJc w:val="left"/>
      <w:pPr>
        <w:ind w:left="-140" w:firstLine="5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2D76FBF"/>
    <w:rsid w:val="04CD134A"/>
    <w:rsid w:val="06B805C0"/>
    <w:rsid w:val="0B9243F5"/>
    <w:rsid w:val="0CC14577"/>
    <w:rsid w:val="0DDB13F7"/>
    <w:rsid w:val="0E4C6EDD"/>
    <w:rsid w:val="10023076"/>
    <w:rsid w:val="14F91DE7"/>
    <w:rsid w:val="1F850613"/>
    <w:rsid w:val="34DA1DD4"/>
    <w:rsid w:val="397F0029"/>
    <w:rsid w:val="45566F3E"/>
    <w:rsid w:val="45E176F5"/>
    <w:rsid w:val="47CB4D90"/>
    <w:rsid w:val="4D536CD0"/>
    <w:rsid w:val="4F3B1489"/>
    <w:rsid w:val="5295062B"/>
    <w:rsid w:val="545258C3"/>
    <w:rsid w:val="5DCC40A2"/>
    <w:rsid w:val="5F4C2474"/>
    <w:rsid w:val="631D53C3"/>
    <w:rsid w:val="64372CA3"/>
    <w:rsid w:val="66D84240"/>
    <w:rsid w:val="68580E30"/>
    <w:rsid w:val="6DD46D37"/>
    <w:rsid w:val="70F65CA1"/>
    <w:rsid w:val="770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枢纽集团</cp:lastModifiedBy>
  <dcterms:modified xsi:type="dcterms:W3CDTF">2021-03-29T06:29:22Z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SaveFontToCloudKey">
    <vt:lpwstr>371890483_cloud</vt:lpwstr>
  </property>
</Properties>
</file>